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7E45" w14:textId="77777777" w:rsidR="00956E1A" w:rsidRDefault="00447BE1" w:rsidP="00B85671">
      <w:r>
        <w:rPr>
          <w:noProof/>
        </w:rPr>
        <w:drawing>
          <wp:anchor distT="0" distB="0" distL="114300" distR="114300" simplePos="0" relativeHeight="251654656" behindDoc="1" locked="0" layoutInCell="1" allowOverlap="1" wp14:anchorId="5472C6E0" wp14:editId="16EE21BF">
            <wp:simplePos x="0" y="0"/>
            <wp:positionH relativeFrom="column">
              <wp:posOffset>-22860</wp:posOffset>
            </wp:positionH>
            <wp:positionV relativeFrom="paragraph">
              <wp:posOffset>-55880</wp:posOffset>
            </wp:positionV>
            <wp:extent cx="6781800" cy="30784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0" cy="3078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26B17B87" wp14:editId="0B02BE2C">
            <wp:simplePos x="0" y="0"/>
            <wp:positionH relativeFrom="column">
              <wp:posOffset>411480</wp:posOffset>
            </wp:positionH>
            <wp:positionV relativeFrom="paragraph">
              <wp:posOffset>-152400</wp:posOffset>
            </wp:positionV>
            <wp:extent cx="2286000" cy="548640"/>
            <wp:effectExtent l="0" t="0" r="0" b="3810"/>
            <wp:wrapNone/>
            <wp:docPr id="4" name="Picture 4">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286000" cy="548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0C569228" wp14:editId="0A191E4E">
            <wp:simplePos x="0" y="0"/>
            <wp:positionH relativeFrom="column">
              <wp:posOffset>83820</wp:posOffset>
            </wp:positionH>
            <wp:positionV relativeFrom="paragraph">
              <wp:posOffset>-350520</wp:posOffset>
            </wp:positionV>
            <wp:extent cx="6633845" cy="12649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_polygon_top_transparent.png"/>
                    <pic:cNvPicPr/>
                  </pic:nvPicPr>
                  <pic:blipFill>
                    <a:blip r:embed="rId11">
                      <a:extLst>
                        <a:ext uri="{28A0092B-C50C-407E-A947-70E740481C1C}">
                          <a14:useLocalDpi xmlns:a14="http://schemas.microsoft.com/office/drawing/2010/main" val="0"/>
                        </a:ext>
                      </a:extLst>
                    </a:blip>
                    <a:stretch>
                      <a:fillRect/>
                    </a:stretch>
                  </pic:blipFill>
                  <pic:spPr>
                    <a:xfrm>
                      <a:off x="0" y="0"/>
                      <a:ext cx="6633845" cy="1264920"/>
                    </a:xfrm>
                    <a:prstGeom prst="rect">
                      <a:avLst/>
                    </a:prstGeom>
                  </pic:spPr>
                </pic:pic>
              </a:graphicData>
            </a:graphic>
            <wp14:sizeRelH relativeFrom="page">
              <wp14:pctWidth>0</wp14:pctWidth>
            </wp14:sizeRelH>
            <wp14:sizeRelV relativeFrom="page">
              <wp14:pctHeight>0</wp14:pctHeight>
            </wp14:sizeRelV>
          </wp:anchor>
        </w:drawing>
      </w:r>
    </w:p>
    <w:p w14:paraId="1F99E560" w14:textId="77777777" w:rsidR="00956E1A" w:rsidRDefault="00956E1A" w:rsidP="00B85671"/>
    <w:p w14:paraId="6E015236" w14:textId="77777777" w:rsidR="00956E1A" w:rsidRDefault="00956E1A" w:rsidP="00B85671"/>
    <w:p w14:paraId="43BBE69D" w14:textId="77777777" w:rsidR="00956E1A" w:rsidRDefault="00956E1A" w:rsidP="00B85671"/>
    <w:p w14:paraId="1A8AFEC3" w14:textId="77777777" w:rsidR="00956E1A" w:rsidRDefault="00956E1A" w:rsidP="00B85671"/>
    <w:p w14:paraId="615C3DA1" w14:textId="77777777" w:rsidR="00956E1A" w:rsidRDefault="00956E1A" w:rsidP="00B85671"/>
    <w:p w14:paraId="2AB52B92" w14:textId="77777777" w:rsidR="00956E1A" w:rsidRDefault="00956E1A" w:rsidP="00B85671"/>
    <w:p w14:paraId="035550F7" w14:textId="77777777" w:rsidR="00956E1A" w:rsidRDefault="00956E1A" w:rsidP="00B85671"/>
    <w:p w14:paraId="7B0FCDCC" w14:textId="77777777" w:rsidR="00956E1A" w:rsidRDefault="00956E1A" w:rsidP="00956E1A"/>
    <w:p w14:paraId="2857028D" w14:textId="77777777" w:rsidR="00EE67B8" w:rsidRDefault="00EE67B8" w:rsidP="00EE67B8">
      <w:pPr>
        <w:spacing w:after="0"/>
        <w:jc w:val="center"/>
        <w:rPr>
          <w:b/>
          <w:color w:val="2D7C82"/>
          <w:sz w:val="48"/>
          <w:szCs w:val="48"/>
        </w:rPr>
      </w:pPr>
    </w:p>
    <w:p w14:paraId="2D0993F2" w14:textId="77777777" w:rsidR="00692C96" w:rsidRDefault="00692C96" w:rsidP="00692C96">
      <w:pPr>
        <w:rPr>
          <w:b/>
          <w:color w:val="2D7C82"/>
          <w:sz w:val="48"/>
          <w:szCs w:val="48"/>
        </w:rPr>
      </w:pPr>
    </w:p>
    <w:p w14:paraId="637D71A5" w14:textId="35429028" w:rsidR="00F2326E" w:rsidRPr="00692C96" w:rsidRDefault="001A5ABE" w:rsidP="009B6535">
      <w:pPr>
        <w:rPr>
          <w:b/>
          <w:color w:val="2D7C82"/>
          <w:sz w:val="40"/>
          <w:szCs w:val="48"/>
        </w:rPr>
      </w:pPr>
      <w:r w:rsidRPr="00621356">
        <w:rPr>
          <w:noProof/>
          <w:sz w:val="22"/>
          <w:szCs w:val="22"/>
        </w:rPr>
        <mc:AlternateContent>
          <mc:Choice Requires="wps">
            <w:drawing>
              <wp:anchor distT="0" distB="0" distL="114300" distR="114300" simplePos="0" relativeHeight="251663360" behindDoc="0" locked="0" layoutInCell="1" allowOverlap="1" wp14:anchorId="4190242A" wp14:editId="4AB1331D">
                <wp:simplePos x="0" y="0"/>
                <wp:positionH relativeFrom="column">
                  <wp:posOffset>-49530</wp:posOffset>
                </wp:positionH>
                <wp:positionV relativeFrom="paragraph">
                  <wp:posOffset>62230</wp:posOffset>
                </wp:positionV>
                <wp:extent cx="6835140" cy="116014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160145"/>
                        </a:xfrm>
                        <a:prstGeom prst="rect">
                          <a:avLst/>
                        </a:prstGeom>
                        <a:noFill/>
                        <a:ln w="9525">
                          <a:noFill/>
                          <a:miter lim="800000"/>
                          <a:headEnd/>
                          <a:tailEnd/>
                        </a:ln>
                      </wps:spPr>
                      <wps:txbx>
                        <w:txbxContent>
                          <w:p w14:paraId="1FAC3E22" w14:textId="77777777" w:rsidR="00E87DBF" w:rsidRPr="004837FE" w:rsidRDefault="00E87DBF" w:rsidP="00621356">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90242A" id="_x0000_t202" coordsize="21600,21600" o:spt="202" path="m,l,21600r21600,l21600,xe">
                <v:stroke joinstyle="miter"/>
                <v:path gradientshapeok="t" o:connecttype="rect"/>
              </v:shapetype>
              <v:shape id="Text Box 2" o:spid="_x0000_s1026" type="#_x0000_t202" alt="&quot;&quot;" style="position:absolute;margin-left:-3.9pt;margin-top:4.9pt;width:538.2pt;height:91.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" filled="f" stroked="f">
                <v:textbox style="mso-fit-shape-to-text:t">
                  <w:txbxContent>
                    <w:p w14:paraId="1FAC3E22" w14:textId="77777777" w:rsidR="00E87DBF" w:rsidRPr="004837FE" w:rsidRDefault="00E87DBF" w:rsidP="00621356">
                      <w:pPr>
                        <w:jc w:val="center"/>
                      </w:pPr>
                    </w:p>
                  </w:txbxContent>
                </v:textbox>
              </v:shape>
            </w:pict>
          </mc:Fallback>
        </mc:AlternateContent>
      </w:r>
    </w:p>
    <w:p w14:paraId="5E7DB2C3" w14:textId="55A1144A" w:rsidR="00F2326E" w:rsidRDefault="00822A8B" w:rsidP="00956E1A">
      <w:pPr>
        <w:jc w:val="center"/>
        <w:rPr>
          <w:b/>
          <w:color w:val="2D7C82"/>
          <w:sz w:val="48"/>
          <w:szCs w:val="48"/>
        </w:rPr>
      </w:pPr>
      <w:r w:rsidRPr="00621356">
        <w:rPr>
          <w:noProof/>
          <w:sz w:val="22"/>
          <w:szCs w:val="22"/>
        </w:rPr>
        <mc:AlternateContent>
          <mc:Choice Requires="wps">
            <w:drawing>
              <wp:anchor distT="0" distB="0" distL="114300" distR="114300" simplePos="0" relativeHeight="251666432" behindDoc="0" locked="0" layoutInCell="1" allowOverlap="1" wp14:anchorId="09B64096" wp14:editId="03466146">
                <wp:simplePos x="0" y="0"/>
                <wp:positionH relativeFrom="column">
                  <wp:posOffset>-144532</wp:posOffset>
                </wp:positionH>
                <wp:positionV relativeFrom="paragraph">
                  <wp:posOffset>363911</wp:posOffset>
                </wp:positionV>
                <wp:extent cx="6705600" cy="1616765"/>
                <wp:effectExtent l="0" t="0" r="0" b="2540"/>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616765"/>
                        </a:xfrm>
                        <a:prstGeom prst="rect">
                          <a:avLst/>
                        </a:prstGeom>
                        <a:noFill/>
                        <a:ln w="9525">
                          <a:noFill/>
                          <a:miter lim="800000"/>
                          <a:headEnd/>
                          <a:tailEnd/>
                        </a:ln>
                      </wps:spPr>
                      <wps:txbx>
                        <w:txbxContent>
                          <w:p w14:paraId="6737252B" w14:textId="77777777" w:rsidR="00803A49" w:rsidRPr="00803A49" w:rsidRDefault="00803A49" w:rsidP="00803A49">
                            <w:pPr>
                              <w:ind w:left="360"/>
                              <w:jc w:val="center"/>
                              <w:rPr>
                                <w:b/>
                                <w:color w:val="2D7C82"/>
                                <w:sz w:val="40"/>
                                <w:szCs w:val="48"/>
                              </w:rPr>
                            </w:pPr>
                            <w:r w:rsidRPr="00803A49">
                              <w:rPr>
                                <w:b/>
                                <w:color w:val="2D7C82"/>
                                <w:sz w:val="40"/>
                                <w:szCs w:val="48"/>
                              </w:rPr>
                              <w:t>Gurkha and Nepalese armed forces CYP accessing SEND services (ASD)</w:t>
                            </w:r>
                          </w:p>
                          <w:p w14:paraId="5DC0155B" w14:textId="7407DD7A" w:rsidR="00822A8B" w:rsidRPr="00822A8B" w:rsidRDefault="00803A49" w:rsidP="009E6E08">
                            <w:pPr>
                              <w:ind w:left="360"/>
                              <w:jc w:val="center"/>
                              <w:rPr>
                                <w:b/>
                                <w:color w:val="2D7C82"/>
                                <w:sz w:val="40"/>
                                <w:szCs w:val="48"/>
                              </w:rPr>
                            </w:pPr>
                            <w:r>
                              <w:rPr>
                                <w:b/>
                                <w:color w:val="2D7C82"/>
                                <w:sz w:val="40"/>
                                <w:szCs w:val="48"/>
                              </w:rPr>
                              <w:t>March</w:t>
                            </w:r>
                            <w:r w:rsidR="009E6E08">
                              <w:rPr>
                                <w:b/>
                                <w:color w:val="2D7C82"/>
                                <w:sz w:val="40"/>
                                <w:szCs w:val="48"/>
                              </w:rPr>
                              <w:t xml:space="preserve"> 2021</w:t>
                            </w:r>
                          </w:p>
                          <w:p w14:paraId="2A50812D" w14:textId="77777777" w:rsidR="009B6535" w:rsidRPr="004837FE" w:rsidRDefault="009B6535" w:rsidP="009B653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64096" id="_x0000_s1027" type="#_x0000_t202" alt="&quot;&quot;" style="position:absolute;left:0;text-align:left;margin-left:-11.4pt;margin-top:28.65pt;width:528pt;height:12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" filled="f" stroked="f">
                <v:textbox>
                  <w:txbxContent>
                    <w:p w14:paraId="6737252B" w14:textId="77777777" w:rsidR="00803A49" w:rsidRPr="00803A49" w:rsidRDefault="00803A49" w:rsidP="00803A49">
                      <w:pPr>
                        <w:ind w:left="360"/>
                        <w:jc w:val="center"/>
                        <w:rPr>
                          <w:b/>
                          <w:color w:val="2D7C82"/>
                          <w:sz w:val="40"/>
                          <w:szCs w:val="48"/>
                        </w:rPr>
                      </w:pPr>
                      <w:r w:rsidRPr="00803A49">
                        <w:rPr>
                          <w:b/>
                          <w:color w:val="2D7C82"/>
                          <w:sz w:val="40"/>
                          <w:szCs w:val="48"/>
                        </w:rPr>
                        <w:t>Gurkha and Nepalese armed forces CYP accessing SEND services (ASD)</w:t>
                      </w:r>
                    </w:p>
                    <w:p w14:paraId="5DC0155B" w14:textId="7407DD7A" w:rsidR="00822A8B" w:rsidRPr="00822A8B" w:rsidRDefault="00803A49" w:rsidP="009E6E08">
                      <w:pPr>
                        <w:ind w:left="360"/>
                        <w:jc w:val="center"/>
                        <w:rPr>
                          <w:b/>
                          <w:color w:val="2D7C82"/>
                          <w:sz w:val="40"/>
                          <w:szCs w:val="48"/>
                        </w:rPr>
                      </w:pPr>
                      <w:r>
                        <w:rPr>
                          <w:b/>
                          <w:color w:val="2D7C82"/>
                          <w:sz w:val="40"/>
                          <w:szCs w:val="48"/>
                        </w:rPr>
                        <w:t>March</w:t>
                      </w:r>
                      <w:r w:rsidR="009E6E08">
                        <w:rPr>
                          <w:b/>
                          <w:color w:val="2D7C82"/>
                          <w:sz w:val="40"/>
                          <w:szCs w:val="48"/>
                        </w:rPr>
                        <w:t xml:space="preserve"> 2021</w:t>
                      </w:r>
                    </w:p>
                    <w:p w14:paraId="2A50812D" w14:textId="77777777" w:rsidR="009B6535" w:rsidRPr="004837FE" w:rsidRDefault="009B6535" w:rsidP="009B6535">
                      <w:pPr>
                        <w:jc w:val="center"/>
                      </w:pPr>
                    </w:p>
                  </w:txbxContent>
                </v:textbox>
              </v:shape>
            </w:pict>
          </mc:Fallback>
        </mc:AlternateContent>
      </w:r>
    </w:p>
    <w:p w14:paraId="173FCB4B" w14:textId="4784D902" w:rsidR="005433A7" w:rsidRDefault="005433A7" w:rsidP="00956E1A">
      <w:pPr>
        <w:jc w:val="center"/>
        <w:rPr>
          <w:b/>
          <w:color w:val="2D7C82"/>
          <w:sz w:val="48"/>
          <w:szCs w:val="48"/>
        </w:rPr>
      </w:pPr>
    </w:p>
    <w:p w14:paraId="0566B7AB" w14:textId="5EB7B9C7" w:rsidR="005433A7" w:rsidRDefault="005433A7" w:rsidP="00956E1A">
      <w:pPr>
        <w:jc w:val="center"/>
        <w:rPr>
          <w:b/>
          <w:color w:val="2D7C82"/>
          <w:sz w:val="48"/>
          <w:szCs w:val="48"/>
        </w:rPr>
      </w:pPr>
    </w:p>
    <w:p w14:paraId="50A0D02B" w14:textId="77777777" w:rsidR="005433A7" w:rsidRDefault="001A5ABE" w:rsidP="005433A7">
      <w:pPr>
        <w:jc w:val="right"/>
        <w:rPr>
          <w:b/>
          <w:color w:val="2D7C82"/>
          <w:sz w:val="26"/>
          <w:szCs w:val="26"/>
        </w:rPr>
      </w:pPr>
      <w:r>
        <w:rPr>
          <w:noProof/>
        </w:rPr>
        <w:drawing>
          <wp:anchor distT="0" distB="0" distL="114300" distR="114300" simplePos="0" relativeHeight="251660800" behindDoc="0" locked="0" layoutInCell="1" allowOverlap="1" wp14:anchorId="1B396934" wp14:editId="66D6B668">
            <wp:simplePos x="0" y="0"/>
            <wp:positionH relativeFrom="column">
              <wp:posOffset>3044190</wp:posOffset>
            </wp:positionH>
            <wp:positionV relativeFrom="paragraph">
              <wp:posOffset>226695</wp:posOffset>
            </wp:positionV>
            <wp:extent cx="647700" cy="73152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e_apple_transparent.png"/>
                    <pic:cNvPicPr/>
                  </pic:nvPicPr>
                  <pic:blipFill>
                    <a:blip r:embed="rId12">
                      <a:extLst>
                        <a:ext uri="{28A0092B-C50C-407E-A947-70E740481C1C}">
                          <a14:useLocalDpi xmlns:a14="http://schemas.microsoft.com/office/drawing/2010/main" val="0"/>
                        </a:ext>
                      </a:extLst>
                    </a:blip>
                    <a:stretch>
                      <a:fillRect/>
                    </a:stretch>
                  </pic:blipFill>
                  <pic:spPr>
                    <a:xfrm>
                      <a:off x="0" y="0"/>
                      <a:ext cx="647700" cy="731520"/>
                    </a:xfrm>
                    <a:prstGeom prst="rect">
                      <a:avLst/>
                    </a:prstGeom>
                  </pic:spPr>
                </pic:pic>
              </a:graphicData>
            </a:graphic>
            <wp14:sizeRelH relativeFrom="page">
              <wp14:pctWidth>0</wp14:pctWidth>
            </wp14:sizeRelH>
            <wp14:sizeRelV relativeFrom="page">
              <wp14:pctHeight>0</wp14:pctHeight>
            </wp14:sizeRelV>
          </wp:anchor>
        </w:drawing>
      </w:r>
    </w:p>
    <w:p w14:paraId="445EF28A" w14:textId="77777777" w:rsidR="00F2326E" w:rsidRDefault="00F2326E" w:rsidP="00F2326E"/>
    <w:p w14:paraId="098B67B6" w14:textId="77777777" w:rsidR="00AE684F" w:rsidRDefault="00AE684F" w:rsidP="00F2326E"/>
    <w:p w14:paraId="441660D9" w14:textId="77777777" w:rsidR="00F2326E" w:rsidRDefault="00F2326E" w:rsidP="00F2326E"/>
    <w:p w14:paraId="298E335C" w14:textId="77777777" w:rsidR="00CE57B9" w:rsidRDefault="00CE57B9">
      <w:r>
        <w:br w:type="page"/>
      </w:r>
    </w:p>
    <w:p w14:paraId="4F5511AF" w14:textId="77777777" w:rsidR="00B51B2D" w:rsidRDefault="00B51B2D" w:rsidP="00B51B2D">
      <w:pPr>
        <w:spacing w:after="0"/>
        <w:sectPr w:rsidR="00B51B2D" w:rsidSect="00822A8B">
          <w:footerReference w:type="default" r:id="rId13"/>
          <w:footerReference w:type="first" r:id="rId14"/>
          <w:pgSz w:w="11906" w:h="16838"/>
          <w:pgMar w:top="1440" w:right="567" w:bottom="1440" w:left="709" w:header="709" w:footer="709" w:gutter="0"/>
          <w:cols w:space="708"/>
          <w:titlePg/>
          <w:docGrid w:linePitch="360"/>
        </w:sectPr>
      </w:pPr>
    </w:p>
    <w:p w14:paraId="2FD78A8F" w14:textId="77777777" w:rsidR="00021A80" w:rsidRPr="008A0F79" w:rsidRDefault="00FF1199" w:rsidP="00FF1199">
      <w:pPr>
        <w:rPr>
          <w:b/>
          <w:vanish/>
          <w:sz w:val="36"/>
          <w:szCs w:val="36"/>
          <w:specVanish/>
        </w:rPr>
      </w:pPr>
      <w:r w:rsidRPr="008A0F79">
        <w:rPr>
          <w:b/>
          <w:color w:val="2D7C82"/>
          <w:sz w:val="36"/>
          <w:szCs w:val="36"/>
        </w:rPr>
        <w:lastRenderedPageBreak/>
        <w:t>|</w:t>
      </w:r>
      <w:r w:rsidRPr="008A0F79">
        <w:rPr>
          <w:b/>
          <w:sz w:val="36"/>
          <w:szCs w:val="36"/>
        </w:rPr>
        <w:t xml:space="preserve"> </w:t>
      </w:r>
    </w:p>
    <w:sdt>
      <w:sdtPr>
        <w:rPr>
          <w:rFonts w:asciiTheme="minorHAnsi" w:eastAsiaTheme="minorEastAsia" w:hAnsiTheme="minorHAnsi" w:cs="Arial"/>
          <w:b w:val="0"/>
          <w:bCs w:val="0"/>
          <w:color w:val="auto"/>
          <w:sz w:val="24"/>
          <w:szCs w:val="24"/>
          <w:lang w:val="en-GB" w:eastAsia="en-GB"/>
        </w:rPr>
        <w:id w:val="-1431887029"/>
        <w:docPartObj>
          <w:docPartGallery w:val="Table of Contents"/>
          <w:docPartUnique/>
        </w:docPartObj>
      </w:sdtPr>
      <w:sdtEndPr>
        <w:rPr>
          <w:noProof/>
        </w:rPr>
      </w:sdtEndPr>
      <w:sdtContent>
        <w:p w14:paraId="7AEB654A" w14:textId="31FD1679" w:rsidR="00021A80" w:rsidRPr="00822A8B" w:rsidRDefault="00021A80">
          <w:pPr>
            <w:pStyle w:val="TOCHeading"/>
            <w:rPr>
              <w:rStyle w:val="Heading2Char"/>
            </w:rPr>
          </w:pPr>
          <w:r w:rsidRPr="00822A8B">
            <w:rPr>
              <w:rStyle w:val="Heading2Char"/>
            </w:rPr>
            <w:t>Table of Contents</w:t>
          </w:r>
        </w:p>
        <w:p w14:paraId="05E13B63" w14:textId="3CF7B5B0" w:rsidR="007260E6" w:rsidRDefault="00021A80">
          <w:pPr>
            <w:pStyle w:val="TOC1"/>
            <w:tabs>
              <w:tab w:val="left" w:pos="440"/>
              <w:tab w:val="right" w:leader="dot" w:pos="9016"/>
            </w:tabs>
            <w:rPr>
              <w:rFonts w:cstheme="minorBidi"/>
              <w:b w:val="0"/>
              <w:noProof/>
              <w:sz w:val="22"/>
              <w:szCs w:val="22"/>
            </w:rPr>
          </w:pPr>
          <w:r>
            <w:rPr>
              <w:b w:val="0"/>
            </w:rPr>
            <w:fldChar w:fldCharType="begin"/>
          </w:r>
          <w:r>
            <w:instrText xml:space="preserve"> TOC \o "1-3" \h \z \u </w:instrText>
          </w:r>
          <w:r>
            <w:rPr>
              <w:b w:val="0"/>
            </w:rPr>
            <w:fldChar w:fldCharType="separate"/>
          </w:r>
          <w:hyperlink w:anchor="_Toc79415934" w:history="1">
            <w:r w:rsidR="007260E6" w:rsidRPr="00C42DAA">
              <w:rPr>
                <w:rStyle w:val="Hyperlink"/>
                <w:noProof/>
              </w:rPr>
              <w:t>1. Introduction &amp; Objectives</w:t>
            </w:r>
            <w:r w:rsidR="007260E6">
              <w:rPr>
                <w:noProof/>
                <w:webHidden/>
              </w:rPr>
              <w:tab/>
            </w:r>
            <w:r w:rsidR="007260E6">
              <w:rPr>
                <w:noProof/>
                <w:webHidden/>
              </w:rPr>
              <w:fldChar w:fldCharType="begin"/>
            </w:r>
            <w:r w:rsidR="007260E6">
              <w:rPr>
                <w:noProof/>
                <w:webHidden/>
              </w:rPr>
              <w:instrText xml:space="preserve"> PAGEREF _Toc79415934 \h </w:instrText>
            </w:r>
            <w:r w:rsidR="007260E6">
              <w:rPr>
                <w:noProof/>
                <w:webHidden/>
              </w:rPr>
            </w:r>
            <w:r w:rsidR="007260E6">
              <w:rPr>
                <w:noProof/>
                <w:webHidden/>
              </w:rPr>
              <w:fldChar w:fldCharType="separate"/>
            </w:r>
            <w:r w:rsidR="007260E6">
              <w:rPr>
                <w:noProof/>
                <w:webHidden/>
              </w:rPr>
              <w:t>2</w:t>
            </w:r>
            <w:r w:rsidR="007260E6">
              <w:rPr>
                <w:noProof/>
                <w:webHidden/>
              </w:rPr>
              <w:fldChar w:fldCharType="end"/>
            </w:r>
          </w:hyperlink>
        </w:p>
        <w:p w14:paraId="2CAFE676" w14:textId="261BBE71" w:rsidR="007260E6" w:rsidRDefault="00EE32DD">
          <w:pPr>
            <w:pStyle w:val="TOC2"/>
            <w:tabs>
              <w:tab w:val="right" w:leader="dot" w:pos="9016"/>
            </w:tabs>
            <w:rPr>
              <w:rFonts w:cstheme="minorBidi"/>
              <w:noProof/>
              <w:sz w:val="22"/>
              <w:szCs w:val="22"/>
            </w:rPr>
          </w:pPr>
          <w:hyperlink w:anchor="_Toc79415935" w:history="1">
            <w:r w:rsidR="007260E6" w:rsidRPr="00C42DAA">
              <w:rPr>
                <w:rStyle w:val="Hyperlink"/>
                <w:noProof/>
              </w:rPr>
              <w:t>1.1</w:t>
            </w:r>
            <w:r w:rsidR="007260E6">
              <w:rPr>
                <w:noProof/>
                <w:webHidden/>
              </w:rPr>
              <w:tab/>
            </w:r>
            <w:r w:rsidR="007260E6">
              <w:rPr>
                <w:noProof/>
                <w:webHidden/>
              </w:rPr>
              <w:fldChar w:fldCharType="begin"/>
            </w:r>
            <w:r w:rsidR="007260E6">
              <w:rPr>
                <w:noProof/>
                <w:webHidden/>
              </w:rPr>
              <w:instrText xml:space="preserve"> PAGEREF _Toc79415935 \h </w:instrText>
            </w:r>
            <w:r w:rsidR="007260E6">
              <w:rPr>
                <w:noProof/>
                <w:webHidden/>
              </w:rPr>
            </w:r>
            <w:r w:rsidR="007260E6">
              <w:rPr>
                <w:noProof/>
                <w:webHidden/>
              </w:rPr>
              <w:fldChar w:fldCharType="separate"/>
            </w:r>
            <w:r w:rsidR="007260E6">
              <w:rPr>
                <w:noProof/>
                <w:webHidden/>
              </w:rPr>
              <w:t>2</w:t>
            </w:r>
            <w:r w:rsidR="007260E6">
              <w:rPr>
                <w:noProof/>
                <w:webHidden/>
              </w:rPr>
              <w:fldChar w:fldCharType="end"/>
            </w:r>
          </w:hyperlink>
        </w:p>
        <w:p w14:paraId="7328F7C2" w14:textId="0417119C" w:rsidR="007260E6" w:rsidRDefault="00EE32DD">
          <w:pPr>
            <w:pStyle w:val="TOC1"/>
            <w:tabs>
              <w:tab w:val="left" w:pos="440"/>
              <w:tab w:val="right" w:leader="dot" w:pos="9016"/>
            </w:tabs>
            <w:rPr>
              <w:rFonts w:cstheme="minorBidi"/>
              <w:b w:val="0"/>
              <w:noProof/>
              <w:sz w:val="22"/>
              <w:szCs w:val="22"/>
            </w:rPr>
          </w:pPr>
          <w:hyperlink w:anchor="_Toc79415936" w:history="1">
            <w:r w:rsidR="007260E6" w:rsidRPr="00C42DAA">
              <w:rPr>
                <w:rStyle w:val="Hyperlink"/>
                <w:noProof/>
              </w:rPr>
              <w:t>2. Evidence Summary</w:t>
            </w:r>
            <w:r w:rsidR="007260E6">
              <w:rPr>
                <w:noProof/>
                <w:webHidden/>
              </w:rPr>
              <w:tab/>
            </w:r>
            <w:r w:rsidR="007260E6">
              <w:rPr>
                <w:noProof/>
                <w:webHidden/>
              </w:rPr>
              <w:fldChar w:fldCharType="begin"/>
            </w:r>
            <w:r w:rsidR="007260E6">
              <w:rPr>
                <w:noProof/>
                <w:webHidden/>
              </w:rPr>
              <w:instrText xml:space="preserve"> PAGEREF _Toc79415936 \h </w:instrText>
            </w:r>
            <w:r w:rsidR="007260E6">
              <w:rPr>
                <w:noProof/>
                <w:webHidden/>
              </w:rPr>
            </w:r>
            <w:r w:rsidR="007260E6">
              <w:rPr>
                <w:noProof/>
                <w:webHidden/>
              </w:rPr>
              <w:fldChar w:fldCharType="separate"/>
            </w:r>
            <w:r w:rsidR="007260E6">
              <w:rPr>
                <w:noProof/>
                <w:webHidden/>
              </w:rPr>
              <w:t>3</w:t>
            </w:r>
            <w:r w:rsidR="007260E6">
              <w:rPr>
                <w:noProof/>
                <w:webHidden/>
              </w:rPr>
              <w:fldChar w:fldCharType="end"/>
            </w:r>
          </w:hyperlink>
        </w:p>
        <w:p w14:paraId="294D2D38" w14:textId="2C4B273B" w:rsidR="007260E6" w:rsidRPr="007260E6" w:rsidRDefault="00EE32DD" w:rsidP="007260E6">
          <w:pPr>
            <w:pStyle w:val="TOC2"/>
            <w:tabs>
              <w:tab w:val="left" w:pos="880"/>
              <w:tab w:val="right" w:leader="dot" w:pos="9016"/>
            </w:tabs>
            <w:rPr>
              <w:rFonts w:cstheme="minorBidi"/>
              <w:noProof/>
              <w:sz w:val="22"/>
              <w:szCs w:val="22"/>
            </w:rPr>
          </w:pPr>
          <w:hyperlink w:anchor="_Toc79415937" w:history="1">
            <w:r w:rsidR="007260E6" w:rsidRPr="00C42DAA">
              <w:rPr>
                <w:rStyle w:val="Hyperlink"/>
                <w:noProof/>
              </w:rPr>
              <w:t>2.1</w:t>
            </w:r>
            <w:r w:rsidR="007260E6">
              <w:rPr>
                <w:rFonts w:cstheme="minorBidi"/>
                <w:noProof/>
                <w:sz w:val="22"/>
                <w:szCs w:val="22"/>
              </w:rPr>
              <w:tab/>
            </w:r>
            <w:r w:rsidR="007260E6" w:rsidRPr="00C42DAA">
              <w:rPr>
                <w:rStyle w:val="Hyperlink"/>
                <w:noProof/>
              </w:rPr>
              <w:t>Background</w:t>
            </w:r>
            <w:r w:rsidR="007260E6">
              <w:rPr>
                <w:noProof/>
                <w:webHidden/>
              </w:rPr>
              <w:tab/>
            </w:r>
            <w:r w:rsidR="007260E6">
              <w:rPr>
                <w:noProof/>
                <w:webHidden/>
              </w:rPr>
              <w:fldChar w:fldCharType="begin"/>
            </w:r>
            <w:r w:rsidR="007260E6">
              <w:rPr>
                <w:noProof/>
                <w:webHidden/>
              </w:rPr>
              <w:instrText xml:space="preserve"> PAGEREF _Toc79415937 \h </w:instrText>
            </w:r>
            <w:r w:rsidR="007260E6">
              <w:rPr>
                <w:noProof/>
                <w:webHidden/>
              </w:rPr>
            </w:r>
            <w:r w:rsidR="007260E6">
              <w:rPr>
                <w:noProof/>
                <w:webHidden/>
              </w:rPr>
              <w:fldChar w:fldCharType="separate"/>
            </w:r>
            <w:r w:rsidR="007260E6">
              <w:rPr>
                <w:noProof/>
                <w:webHidden/>
              </w:rPr>
              <w:t>3</w:t>
            </w:r>
            <w:r w:rsidR="007260E6">
              <w:rPr>
                <w:noProof/>
                <w:webHidden/>
              </w:rPr>
              <w:fldChar w:fldCharType="end"/>
            </w:r>
          </w:hyperlink>
        </w:p>
        <w:p w14:paraId="12EDA1F7" w14:textId="7143C04E" w:rsidR="007260E6" w:rsidRPr="007260E6" w:rsidRDefault="00EE32DD" w:rsidP="007260E6">
          <w:pPr>
            <w:pStyle w:val="TOC2"/>
            <w:tabs>
              <w:tab w:val="left" w:pos="880"/>
              <w:tab w:val="right" w:leader="dot" w:pos="9016"/>
            </w:tabs>
            <w:rPr>
              <w:rFonts w:cstheme="minorBidi"/>
              <w:noProof/>
              <w:sz w:val="22"/>
              <w:szCs w:val="22"/>
            </w:rPr>
          </w:pPr>
          <w:hyperlink w:anchor="_Toc79415939" w:history="1">
            <w:r w:rsidR="007260E6" w:rsidRPr="00C42DAA">
              <w:rPr>
                <w:rStyle w:val="Hyperlink"/>
                <w:noProof/>
              </w:rPr>
              <w:t>2.2</w:t>
            </w:r>
            <w:r w:rsidR="007260E6">
              <w:rPr>
                <w:rFonts w:cstheme="minorBidi"/>
                <w:noProof/>
                <w:sz w:val="22"/>
                <w:szCs w:val="22"/>
              </w:rPr>
              <w:tab/>
            </w:r>
            <w:r w:rsidR="007260E6" w:rsidRPr="00C42DAA">
              <w:rPr>
                <w:rStyle w:val="Hyperlink"/>
                <w:noProof/>
              </w:rPr>
              <w:t>Language Barrier</w:t>
            </w:r>
            <w:r w:rsidR="007260E6">
              <w:rPr>
                <w:noProof/>
                <w:webHidden/>
              </w:rPr>
              <w:tab/>
            </w:r>
            <w:r w:rsidR="007260E6">
              <w:rPr>
                <w:noProof/>
                <w:webHidden/>
              </w:rPr>
              <w:fldChar w:fldCharType="begin"/>
            </w:r>
            <w:r w:rsidR="007260E6">
              <w:rPr>
                <w:noProof/>
                <w:webHidden/>
              </w:rPr>
              <w:instrText xml:space="preserve"> PAGEREF _Toc79415939 \h </w:instrText>
            </w:r>
            <w:r w:rsidR="007260E6">
              <w:rPr>
                <w:noProof/>
                <w:webHidden/>
              </w:rPr>
            </w:r>
            <w:r w:rsidR="007260E6">
              <w:rPr>
                <w:noProof/>
                <w:webHidden/>
              </w:rPr>
              <w:fldChar w:fldCharType="separate"/>
            </w:r>
            <w:r w:rsidR="007260E6">
              <w:rPr>
                <w:noProof/>
                <w:webHidden/>
              </w:rPr>
              <w:t>3</w:t>
            </w:r>
            <w:r w:rsidR="007260E6">
              <w:rPr>
                <w:noProof/>
                <w:webHidden/>
              </w:rPr>
              <w:fldChar w:fldCharType="end"/>
            </w:r>
          </w:hyperlink>
        </w:p>
        <w:p w14:paraId="416B466A" w14:textId="2783FCDE" w:rsidR="007260E6" w:rsidRDefault="00EE32DD">
          <w:pPr>
            <w:pStyle w:val="TOC2"/>
            <w:tabs>
              <w:tab w:val="right" w:leader="dot" w:pos="9016"/>
            </w:tabs>
            <w:rPr>
              <w:rFonts w:cstheme="minorBidi"/>
              <w:noProof/>
              <w:sz w:val="22"/>
              <w:szCs w:val="22"/>
            </w:rPr>
          </w:pPr>
          <w:hyperlink w:anchor="_Toc79415941" w:history="1">
            <w:r w:rsidR="007260E6" w:rsidRPr="00C42DAA">
              <w:rPr>
                <w:rStyle w:val="Hyperlink"/>
                <w:noProof/>
              </w:rPr>
              <w:t>2.3 Cultural Differences</w:t>
            </w:r>
            <w:r w:rsidR="007260E6">
              <w:rPr>
                <w:noProof/>
                <w:webHidden/>
              </w:rPr>
              <w:tab/>
            </w:r>
            <w:r w:rsidR="007260E6">
              <w:rPr>
                <w:noProof/>
                <w:webHidden/>
              </w:rPr>
              <w:fldChar w:fldCharType="begin"/>
            </w:r>
            <w:r w:rsidR="007260E6">
              <w:rPr>
                <w:noProof/>
                <w:webHidden/>
              </w:rPr>
              <w:instrText xml:space="preserve"> PAGEREF _Toc79415941 \h </w:instrText>
            </w:r>
            <w:r w:rsidR="007260E6">
              <w:rPr>
                <w:noProof/>
                <w:webHidden/>
              </w:rPr>
            </w:r>
            <w:r w:rsidR="007260E6">
              <w:rPr>
                <w:noProof/>
                <w:webHidden/>
              </w:rPr>
              <w:fldChar w:fldCharType="separate"/>
            </w:r>
            <w:r w:rsidR="007260E6">
              <w:rPr>
                <w:noProof/>
                <w:webHidden/>
              </w:rPr>
              <w:t>4</w:t>
            </w:r>
            <w:r w:rsidR="007260E6">
              <w:rPr>
                <w:noProof/>
                <w:webHidden/>
              </w:rPr>
              <w:fldChar w:fldCharType="end"/>
            </w:r>
          </w:hyperlink>
        </w:p>
        <w:p w14:paraId="4B792780" w14:textId="718BD8B7" w:rsidR="007260E6" w:rsidRDefault="00EE32DD">
          <w:pPr>
            <w:pStyle w:val="TOC2"/>
            <w:tabs>
              <w:tab w:val="right" w:leader="dot" w:pos="9016"/>
            </w:tabs>
            <w:rPr>
              <w:rFonts w:cstheme="minorBidi"/>
              <w:noProof/>
              <w:sz w:val="22"/>
              <w:szCs w:val="22"/>
            </w:rPr>
          </w:pPr>
          <w:hyperlink w:anchor="_Toc79415942" w:history="1">
            <w:r w:rsidR="007260E6" w:rsidRPr="00C42DAA">
              <w:rPr>
                <w:rStyle w:val="Hyperlink"/>
                <w:noProof/>
              </w:rPr>
              <w:t>2.4 Lack of understanding of UK health services</w:t>
            </w:r>
            <w:r w:rsidR="007260E6">
              <w:rPr>
                <w:noProof/>
                <w:webHidden/>
              </w:rPr>
              <w:tab/>
            </w:r>
            <w:r w:rsidR="007260E6">
              <w:rPr>
                <w:noProof/>
                <w:webHidden/>
              </w:rPr>
              <w:fldChar w:fldCharType="begin"/>
            </w:r>
            <w:r w:rsidR="007260E6">
              <w:rPr>
                <w:noProof/>
                <w:webHidden/>
              </w:rPr>
              <w:instrText xml:space="preserve"> PAGEREF _Toc79415942 \h </w:instrText>
            </w:r>
            <w:r w:rsidR="007260E6">
              <w:rPr>
                <w:noProof/>
                <w:webHidden/>
              </w:rPr>
            </w:r>
            <w:r w:rsidR="007260E6">
              <w:rPr>
                <w:noProof/>
                <w:webHidden/>
              </w:rPr>
              <w:fldChar w:fldCharType="separate"/>
            </w:r>
            <w:r w:rsidR="007260E6">
              <w:rPr>
                <w:noProof/>
                <w:webHidden/>
              </w:rPr>
              <w:t>5</w:t>
            </w:r>
            <w:r w:rsidR="007260E6">
              <w:rPr>
                <w:noProof/>
                <w:webHidden/>
              </w:rPr>
              <w:fldChar w:fldCharType="end"/>
            </w:r>
          </w:hyperlink>
        </w:p>
        <w:p w14:paraId="01ED2EEC" w14:textId="0A2D702F" w:rsidR="007260E6" w:rsidRDefault="00EE32DD">
          <w:pPr>
            <w:pStyle w:val="TOC2"/>
            <w:tabs>
              <w:tab w:val="right" w:leader="dot" w:pos="9016"/>
            </w:tabs>
            <w:rPr>
              <w:rFonts w:cstheme="minorBidi"/>
              <w:noProof/>
              <w:sz w:val="22"/>
              <w:szCs w:val="22"/>
            </w:rPr>
          </w:pPr>
          <w:hyperlink w:anchor="_Toc79415943" w:history="1">
            <w:r w:rsidR="007260E6" w:rsidRPr="00C42DAA">
              <w:rPr>
                <w:rStyle w:val="Hyperlink"/>
                <w:noProof/>
              </w:rPr>
              <w:t>2.5 Mobility</w:t>
            </w:r>
            <w:r w:rsidR="007260E6">
              <w:rPr>
                <w:noProof/>
                <w:webHidden/>
              </w:rPr>
              <w:tab/>
            </w:r>
            <w:r w:rsidR="007260E6">
              <w:rPr>
                <w:noProof/>
                <w:webHidden/>
              </w:rPr>
              <w:fldChar w:fldCharType="begin"/>
            </w:r>
            <w:r w:rsidR="007260E6">
              <w:rPr>
                <w:noProof/>
                <w:webHidden/>
              </w:rPr>
              <w:instrText xml:space="preserve"> PAGEREF _Toc79415943 \h </w:instrText>
            </w:r>
            <w:r w:rsidR="007260E6">
              <w:rPr>
                <w:noProof/>
                <w:webHidden/>
              </w:rPr>
            </w:r>
            <w:r w:rsidR="007260E6">
              <w:rPr>
                <w:noProof/>
                <w:webHidden/>
              </w:rPr>
              <w:fldChar w:fldCharType="separate"/>
            </w:r>
            <w:r w:rsidR="007260E6">
              <w:rPr>
                <w:noProof/>
                <w:webHidden/>
              </w:rPr>
              <w:t>5</w:t>
            </w:r>
            <w:r w:rsidR="007260E6">
              <w:rPr>
                <w:noProof/>
                <w:webHidden/>
              </w:rPr>
              <w:fldChar w:fldCharType="end"/>
            </w:r>
          </w:hyperlink>
        </w:p>
        <w:p w14:paraId="032DC9E9" w14:textId="4200178D" w:rsidR="007260E6" w:rsidRDefault="00EE32DD">
          <w:pPr>
            <w:pStyle w:val="TOC2"/>
            <w:tabs>
              <w:tab w:val="right" w:leader="dot" w:pos="9016"/>
            </w:tabs>
            <w:rPr>
              <w:rFonts w:cstheme="minorBidi"/>
              <w:noProof/>
              <w:sz w:val="22"/>
              <w:szCs w:val="22"/>
            </w:rPr>
          </w:pPr>
          <w:hyperlink w:anchor="_Toc79415944" w:history="1">
            <w:r w:rsidR="007260E6" w:rsidRPr="00C42DAA">
              <w:rPr>
                <w:rStyle w:val="Hyperlink"/>
                <w:noProof/>
              </w:rPr>
              <w:t>2.6 Disability in Nepal</w:t>
            </w:r>
            <w:r w:rsidR="007260E6">
              <w:rPr>
                <w:noProof/>
                <w:webHidden/>
              </w:rPr>
              <w:tab/>
            </w:r>
            <w:r w:rsidR="007260E6">
              <w:rPr>
                <w:noProof/>
                <w:webHidden/>
              </w:rPr>
              <w:fldChar w:fldCharType="begin"/>
            </w:r>
            <w:r w:rsidR="007260E6">
              <w:rPr>
                <w:noProof/>
                <w:webHidden/>
              </w:rPr>
              <w:instrText xml:space="preserve"> PAGEREF _Toc79415944 \h </w:instrText>
            </w:r>
            <w:r w:rsidR="007260E6">
              <w:rPr>
                <w:noProof/>
                <w:webHidden/>
              </w:rPr>
            </w:r>
            <w:r w:rsidR="007260E6">
              <w:rPr>
                <w:noProof/>
                <w:webHidden/>
              </w:rPr>
              <w:fldChar w:fldCharType="separate"/>
            </w:r>
            <w:r w:rsidR="007260E6">
              <w:rPr>
                <w:noProof/>
                <w:webHidden/>
              </w:rPr>
              <w:t>6</w:t>
            </w:r>
            <w:r w:rsidR="007260E6">
              <w:rPr>
                <w:noProof/>
                <w:webHidden/>
              </w:rPr>
              <w:fldChar w:fldCharType="end"/>
            </w:r>
          </w:hyperlink>
        </w:p>
        <w:p w14:paraId="5209CF55" w14:textId="2A3AFD06" w:rsidR="007260E6" w:rsidRDefault="00EE32DD">
          <w:pPr>
            <w:pStyle w:val="TOC1"/>
            <w:tabs>
              <w:tab w:val="left" w:pos="440"/>
              <w:tab w:val="right" w:leader="dot" w:pos="9016"/>
            </w:tabs>
            <w:rPr>
              <w:rFonts w:cstheme="minorBidi"/>
              <w:b w:val="0"/>
              <w:noProof/>
              <w:sz w:val="22"/>
              <w:szCs w:val="22"/>
            </w:rPr>
          </w:pPr>
          <w:hyperlink w:anchor="_Toc79415946" w:history="1">
            <w:r w:rsidR="007260E6" w:rsidRPr="00C42DAA">
              <w:rPr>
                <w:rStyle w:val="Hyperlink"/>
                <w:noProof/>
              </w:rPr>
              <w:t>3. Discussion</w:t>
            </w:r>
            <w:r w:rsidR="007260E6">
              <w:rPr>
                <w:noProof/>
                <w:webHidden/>
              </w:rPr>
              <w:tab/>
            </w:r>
            <w:r w:rsidR="007260E6">
              <w:rPr>
                <w:noProof/>
                <w:webHidden/>
              </w:rPr>
              <w:fldChar w:fldCharType="begin"/>
            </w:r>
            <w:r w:rsidR="007260E6">
              <w:rPr>
                <w:noProof/>
                <w:webHidden/>
              </w:rPr>
              <w:instrText xml:space="preserve"> PAGEREF _Toc79415946 \h </w:instrText>
            </w:r>
            <w:r w:rsidR="007260E6">
              <w:rPr>
                <w:noProof/>
                <w:webHidden/>
              </w:rPr>
            </w:r>
            <w:r w:rsidR="007260E6">
              <w:rPr>
                <w:noProof/>
                <w:webHidden/>
              </w:rPr>
              <w:fldChar w:fldCharType="separate"/>
            </w:r>
            <w:r w:rsidR="007260E6">
              <w:rPr>
                <w:noProof/>
                <w:webHidden/>
              </w:rPr>
              <w:t>6</w:t>
            </w:r>
            <w:r w:rsidR="007260E6">
              <w:rPr>
                <w:noProof/>
                <w:webHidden/>
              </w:rPr>
              <w:fldChar w:fldCharType="end"/>
            </w:r>
          </w:hyperlink>
        </w:p>
        <w:p w14:paraId="3399C3D1" w14:textId="5D63E143" w:rsidR="00021A80" w:rsidRDefault="00021A80">
          <w:r>
            <w:rPr>
              <w:b/>
              <w:bCs/>
              <w:noProof/>
            </w:rPr>
            <w:fldChar w:fldCharType="end"/>
          </w:r>
        </w:p>
      </w:sdtContent>
    </w:sdt>
    <w:p w14:paraId="0D94486F" w14:textId="721F24E6" w:rsidR="00FF1199" w:rsidRPr="008A0F79" w:rsidRDefault="00FF1199" w:rsidP="00FF1199">
      <w:pPr>
        <w:rPr>
          <w:b/>
          <w:vanish/>
          <w:sz w:val="36"/>
          <w:szCs w:val="36"/>
          <w:specVanish/>
        </w:rPr>
      </w:pPr>
    </w:p>
    <w:p w14:paraId="71312C1E" w14:textId="70E66015" w:rsidR="00302727" w:rsidRPr="00AB2248" w:rsidRDefault="00302727" w:rsidP="00AB2248">
      <w:pPr>
        <w:pStyle w:val="TOC1"/>
        <w:rPr>
          <w:b w:val="0"/>
          <w:color w:val="2D7C82"/>
          <w:sz w:val="36"/>
          <w:szCs w:val="36"/>
        </w:rPr>
      </w:pPr>
    </w:p>
    <w:p w14:paraId="06767A0F" w14:textId="237A1C6D" w:rsidR="00302727" w:rsidRDefault="00302727" w:rsidP="00302727">
      <w:pPr>
        <w:pStyle w:val="TOC1"/>
      </w:pPr>
    </w:p>
    <w:p w14:paraId="7483943A" w14:textId="77777777" w:rsidR="0090554A" w:rsidRPr="0090554A" w:rsidRDefault="0090554A" w:rsidP="0090554A">
      <w:pPr>
        <w:pStyle w:val="Heading2"/>
        <w:numPr>
          <w:ilvl w:val="0"/>
          <w:numId w:val="0"/>
        </w:numPr>
        <w:ind w:left="576"/>
      </w:pPr>
    </w:p>
    <w:p w14:paraId="73DFC3E6" w14:textId="77777777" w:rsidR="008D0C8C" w:rsidRPr="004837FE" w:rsidRDefault="00F2326E" w:rsidP="008D0C8C">
      <w:pPr>
        <w:rPr>
          <w:b/>
          <w:vanish/>
          <w:sz w:val="36"/>
          <w:szCs w:val="36"/>
          <w:specVanish/>
        </w:rPr>
      </w:pPr>
      <w:r w:rsidRPr="004837FE">
        <w:br w:type="page"/>
      </w:r>
      <w:r w:rsidR="008D0C8C" w:rsidRPr="004837FE">
        <w:rPr>
          <w:b/>
          <w:color w:val="2D7C82"/>
          <w:sz w:val="36"/>
          <w:szCs w:val="36"/>
        </w:rPr>
        <w:lastRenderedPageBreak/>
        <w:t>|</w:t>
      </w:r>
      <w:r w:rsidR="008D0C8C" w:rsidRPr="004837FE">
        <w:rPr>
          <w:b/>
          <w:sz w:val="36"/>
          <w:szCs w:val="36"/>
        </w:rPr>
        <w:t xml:space="preserve"> </w:t>
      </w:r>
    </w:p>
    <w:p w14:paraId="6A6B52E0" w14:textId="57210B7E" w:rsidR="008D0C8C" w:rsidRPr="004837FE" w:rsidRDefault="008D0C8C" w:rsidP="008D0C8C">
      <w:pPr>
        <w:pStyle w:val="Heading1"/>
      </w:pPr>
      <w:r w:rsidRPr="004837FE">
        <w:t xml:space="preserve"> </w:t>
      </w:r>
      <w:bookmarkStart w:id="0" w:name="_Toc430679088"/>
      <w:bookmarkStart w:id="1" w:name="_Toc79415934"/>
      <w:r>
        <w:t>1</w:t>
      </w:r>
      <w:r w:rsidRPr="004837FE">
        <w:t>.</w:t>
      </w:r>
      <w:r w:rsidRPr="004837FE">
        <w:tab/>
      </w:r>
      <w:r>
        <w:t>Introduction &amp; Obje</w:t>
      </w:r>
      <w:bookmarkEnd w:id="0"/>
      <w:r>
        <w:t>ctives</w:t>
      </w:r>
      <w:bookmarkEnd w:id="1"/>
    </w:p>
    <w:p w14:paraId="680E2AE0" w14:textId="3CF23797" w:rsidR="009E6E08" w:rsidRDefault="008D0C8C" w:rsidP="008D0C8C">
      <w:pPr>
        <w:pStyle w:val="Heading2"/>
        <w:numPr>
          <w:ilvl w:val="0"/>
          <w:numId w:val="0"/>
        </w:numPr>
      </w:pPr>
      <w:bookmarkStart w:id="2" w:name="_Toc79415935"/>
      <w:r>
        <w:t>1.1</w:t>
      </w:r>
      <w:bookmarkEnd w:id="2"/>
    </w:p>
    <w:p w14:paraId="0089A2D1" w14:textId="18362A82" w:rsidR="008D0C8C" w:rsidRDefault="008D0C8C" w:rsidP="008D0C8C">
      <w:pPr>
        <w:rPr>
          <w:b/>
          <w:bCs/>
        </w:rPr>
      </w:pPr>
      <w:bookmarkStart w:id="3" w:name="_Hlk79408471"/>
      <w:r w:rsidRPr="00501450">
        <w:rPr>
          <w:b/>
          <w:bCs/>
        </w:rPr>
        <w:t>Gurkha and Nepalese armed forces CYP accessing SEND services (</w:t>
      </w:r>
      <w:r>
        <w:rPr>
          <w:b/>
          <w:bCs/>
        </w:rPr>
        <w:t>ASD</w:t>
      </w:r>
      <w:r w:rsidRPr="00501450">
        <w:rPr>
          <w:b/>
          <w:bCs/>
        </w:rPr>
        <w:t>)</w:t>
      </w:r>
    </w:p>
    <w:p w14:paraId="71098C33" w14:textId="77032395" w:rsidR="008D0C8C" w:rsidRPr="008D0C8C" w:rsidRDefault="008D0C8C" w:rsidP="008D0C8C">
      <w:r w:rsidRPr="008D0C8C">
        <w:t>The purpose of this evidence summary is to examine the current literature around the Nepalese community and possible barriers to access to the special educational needs (SEN) services.</w:t>
      </w:r>
    </w:p>
    <w:bookmarkEnd w:id="3"/>
    <w:p w14:paraId="3B37D523" w14:textId="77777777" w:rsidR="008D0C8C" w:rsidRPr="00EA5194" w:rsidRDefault="008D0C8C" w:rsidP="008D0C8C">
      <w:pPr>
        <w:rPr>
          <w:b/>
          <w:bCs/>
        </w:rPr>
      </w:pPr>
      <w:r w:rsidRPr="00EA5194">
        <w:rPr>
          <w:b/>
          <w:bCs/>
        </w:rPr>
        <w:t xml:space="preserve">Key Words: </w:t>
      </w:r>
    </w:p>
    <w:p w14:paraId="67F875CE" w14:textId="334B7BC4" w:rsidR="008D0C8C" w:rsidRDefault="008D0C8C" w:rsidP="008D0C8C">
      <w:r>
        <w:t>Nepalese/ Nepali, Gurkha community, armed forces, autism spectrum disorder (ASD), special educational needs and disabilities (SEND), special educational needs (SEN), education, cultural differences, language barrier, barriers to access.</w:t>
      </w:r>
    </w:p>
    <w:p w14:paraId="2EC6556B" w14:textId="09A66B9F" w:rsidR="009E6E08" w:rsidRDefault="009E6E08" w:rsidP="009E6E08">
      <w:r w:rsidRPr="00C03BD5">
        <w:rPr>
          <w:b/>
          <w:bCs/>
        </w:rPr>
        <w:t>Limits:</w:t>
      </w:r>
      <w:r>
        <w:t xml:space="preserve"> </w:t>
      </w:r>
      <w:r w:rsidR="008D0C8C">
        <w:t>N/A</w:t>
      </w:r>
    </w:p>
    <w:p w14:paraId="09C7A811" w14:textId="4C12FADC" w:rsidR="009E6E08" w:rsidRDefault="009E6E08" w:rsidP="009E6E08">
      <w:r w:rsidRPr="00C03BD5">
        <w:rPr>
          <w:b/>
          <w:bCs/>
        </w:rPr>
        <w:t>Databases:</w:t>
      </w:r>
      <w:r>
        <w:t xml:space="preserve"> </w:t>
      </w:r>
      <w:r w:rsidR="008D0C8C">
        <w:t>Social Care Online, LAPH database</w:t>
      </w:r>
      <w:r>
        <w:t>, NICE Evidence, Google Scholar, references from relevant literature</w:t>
      </w:r>
    </w:p>
    <w:p w14:paraId="207CD333" w14:textId="6FBF1A80" w:rsidR="009E6E08" w:rsidRDefault="009E6E08" w:rsidP="009E6E08"/>
    <w:p w14:paraId="11688B93" w14:textId="72BF4F9B" w:rsidR="009E6E08" w:rsidRDefault="009E6E08" w:rsidP="009E6E08"/>
    <w:p w14:paraId="305DD8E8" w14:textId="1B570FD4" w:rsidR="009E6E08" w:rsidRDefault="009E6E08" w:rsidP="009E6E08"/>
    <w:p w14:paraId="7606FFCB" w14:textId="05900F67" w:rsidR="009E6E08" w:rsidRDefault="009E6E08" w:rsidP="009E6E08"/>
    <w:p w14:paraId="02AB9141" w14:textId="0AF00BE3" w:rsidR="009E6E08" w:rsidRDefault="009E6E08" w:rsidP="009E6E08"/>
    <w:p w14:paraId="3604A975" w14:textId="6BE5BB7E" w:rsidR="009E6E08" w:rsidRDefault="009E6E08" w:rsidP="009E6E08"/>
    <w:p w14:paraId="6756C50F" w14:textId="06D2CD0F" w:rsidR="009E6E08" w:rsidRDefault="009E6E08" w:rsidP="009E6E08"/>
    <w:p w14:paraId="60116E8C" w14:textId="17CAD03F" w:rsidR="009E6E08" w:rsidRDefault="009E6E08" w:rsidP="009E6E08"/>
    <w:p w14:paraId="5AA3BD21" w14:textId="569B7653" w:rsidR="009E6E08" w:rsidRDefault="009E6E08" w:rsidP="009E6E08"/>
    <w:p w14:paraId="2517381A" w14:textId="06D01125" w:rsidR="009E6E08" w:rsidRDefault="009E6E08" w:rsidP="009E6E08"/>
    <w:p w14:paraId="772E67CB" w14:textId="4A50CF28" w:rsidR="009E6E08" w:rsidRDefault="009E6E08" w:rsidP="009E6E08"/>
    <w:p w14:paraId="1928077A" w14:textId="2FB393E9" w:rsidR="009E6E08" w:rsidRDefault="009E6E08" w:rsidP="009E6E08"/>
    <w:p w14:paraId="173E1B27" w14:textId="44A461E9" w:rsidR="009E6E08" w:rsidRDefault="009E6E08" w:rsidP="009E6E08"/>
    <w:p w14:paraId="714D1111" w14:textId="3494A8D2" w:rsidR="009E6E08" w:rsidRDefault="009E6E08" w:rsidP="009E6E08"/>
    <w:p w14:paraId="461D4CA4" w14:textId="6D120CF0" w:rsidR="009E6E08" w:rsidRDefault="009E6E08" w:rsidP="009E6E08"/>
    <w:p w14:paraId="68873976" w14:textId="26B461D3" w:rsidR="009E6E08" w:rsidRDefault="009E6E08" w:rsidP="009E6E08"/>
    <w:p w14:paraId="71199C17" w14:textId="7E860049" w:rsidR="009E6E08" w:rsidRDefault="009E6E08" w:rsidP="009E6E08"/>
    <w:p w14:paraId="75C5D9F1" w14:textId="4246E245" w:rsidR="009E6E08" w:rsidRDefault="009E6E08" w:rsidP="009E6E08"/>
    <w:p w14:paraId="34634450" w14:textId="5F408355" w:rsidR="009E6E08" w:rsidRDefault="009E6E08" w:rsidP="009E6E08"/>
    <w:p w14:paraId="48FB3EA7" w14:textId="699F6049" w:rsidR="009E6E08" w:rsidRDefault="009E6E08" w:rsidP="009E6E08"/>
    <w:p w14:paraId="71C7CB4F" w14:textId="18CF7935" w:rsidR="009E6E08" w:rsidRDefault="009E6E08" w:rsidP="009E6E08"/>
    <w:p w14:paraId="2F74F8A7" w14:textId="77777777" w:rsidR="008D0C8C" w:rsidRPr="004837FE" w:rsidRDefault="008D0C8C" w:rsidP="008D0C8C">
      <w:pPr>
        <w:rPr>
          <w:b/>
          <w:vanish/>
          <w:sz w:val="36"/>
          <w:szCs w:val="36"/>
          <w:specVanish/>
        </w:rPr>
      </w:pPr>
      <w:r w:rsidRPr="004837FE">
        <w:rPr>
          <w:b/>
          <w:color w:val="2D7C82"/>
          <w:sz w:val="36"/>
          <w:szCs w:val="36"/>
        </w:rPr>
        <w:t>|</w:t>
      </w:r>
      <w:r w:rsidRPr="004837FE">
        <w:rPr>
          <w:b/>
          <w:sz w:val="36"/>
          <w:szCs w:val="36"/>
        </w:rPr>
        <w:t xml:space="preserve"> </w:t>
      </w:r>
    </w:p>
    <w:p w14:paraId="3573E7A7" w14:textId="0B1D7E8D" w:rsidR="008D0C8C" w:rsidRDefault="008D0C8C" w:rsidP="008D0C8C">
      <w:pPr>
        <w:pStyle w:val="Heading1"/>
      </w:pPr>
      <w:r w:rsidRPr="004837FE">
        <w:t xml:space="preserve"> </w:t>
      </w:r>
      <w:bookmarkStart w:id="4" w:name="_Toc79415936"/>
      <w:r w:rsidRPr="004837FE">
        <w:t>2.</w:t>
      </w:r>
      <w:r w:rsidRPr="004837FE">
        <w:tab/>
      </w:r>
      <w:r>
        <w:t>Evidence Summary</w:t>
      </w:r>
      <w:bookmarkEnd w:id="4"/>
    </w:p>
    <w:p w14:paraId="16AD792D" w14:textId="0352BEF4" w:rsidR="008D0C8C" w:rsidRPr="004837FE" w:rsidRDefault="008D0C8C" w:rsidP="008D0C8C">
      <w:pPr>
        <w:pStyle w:val="Heading2"/>
        <w:numPr>
          <w:ilvl w:val="0"/>
          <w:numId w:val="0"/>
        </w:numPr>
        <w:ind w:left="576" w:hanging="576"/>
        <w:rPr>
          <w:vanish/>
          <w:specVanish/>
        </w:rPr>
      </w:pPr>
      <w:bookmarkStart w:id="5" w:name="_Toc430679089"/>
      <w:bookmarkStart w:id="6" w:name="_Toc79415937"/>
      <w:r w:rsidRPr="004837FE">
        <w:t>2.1</w:t>
      </w:r>
      <w:r w:rsidRPr="004837FE">
        <w:tab/>
      </w:r>
      <w:bookmarkEnd w:id="5"/>
      <w:r>
        <w:t>Background</w:t>
      </w:r>
      <w:bookmarkEnd w:id="6"/>
      <w:r w:rsidRPr="004837FE">
        <w:t xml:space="preserve"> </w:t>
      </w:r>
    </w:p>
    <w:p w14:paraId="058C9A41" w14:textId="3881353F" w:rsidR="008D0C8C" w:rsidRPr="008D0C8C" w:rsidRDefault="008D0C8C" w:rsidP="008D0C8C">
      <w:pPr>
        <w:pStyle w:val="Heading1"/>
      </w:pPr>
      <w:r w:rsidRPr="004837FE">
        <w:t xml:space="preserve"> </w:t>
      </w:r>
      <w:bookmarkStart w:id="7" w:name="_Toc79409971"/>
      <w:bookmarkStart w:id="8" w:name="_Toc79415917"/>
      <w:bookmarkStart w:id="9" w:name="_Toc79415938"/>
      <w:bookmarkEnd w:id="7"/>
      <w:bookmarkEnd w:id="8"/>
      <w:bookmarkEnd w:id="9"/>
    </w:p>
    <w:p w14:paraId="51AE0E1D" w14:textId="77777777" w:rsidR="008D0C8C" w:rsidRDefault="008D0C8C" w:rsidP="008D0C8C">
      <w:r>
        <w:t xml:space="preserve">There has been a considerable rise in population numbers of Nepali residents in the UK. British Gurkha soldiers and their families account for around 60% of the entire Nepali UK population. </w:t>
      </w:r>
      <w:r>
        <w:rPr>
          <w:rStyle w:val="FootnoteReference"/>
        </w:rPr>
        <w:footnoteReference w:id="1"/>
      </w:r>
    </w:p>
    <w:p w14:paraId="1D605650" w14:textId="77777777" w:rsidR="008D0C8C" w:rsidRDefault="008D0C8C" w:rsidP="008D0C8C">
      <w:r>
        <w:t>There is limited academic literature regarding the health needs of Nepali living in the UK. The current literature states that t</w:t>
      </w:r>
      <w:r w:rsidRPr="00187867">
        <w:t>here have been limited studies understanding the health and wellbeing of the Nepali population and little is known about their utilisation of the health and social care services in the UK</w:t>
      </w:r>
      <w:r>
        <w:t xml:space="preserve">. </w:t>
      </w:r>
      <w:bookmarkStart w:id="10" w:name="_Ref66364643"/>
      <w:r>
        <w:rPr>
          <w:rStyle w:val="FootnoteReference"/>
        </w:rPr>
        <w:footnoteReference w:id="2"/>
      </w:r>
      <w:bookmarkEnd w:id="10"/>
      <w:r>
        <w:t xml:space="preserve"> </w:t>
      </w:r>
      <w:bookmarkStart w:id="11" w:name="_Ref66369569"/>
      <w:r>
        <w:rPr>
          <w:rStyle w:val="FootnoteReference"/>
        </w:rPr>
        <w:footnoteReference w:id="3"/>
      </w:r>
      <w:bookmarkEnd w:id="11"/>
      <w:r>
        <w:t xml:space="preserve"> </w:t>
      </w:r>
      <w:r>
        <w:rPr>
          <w:rStyle w:val="FootnoteReference"/>
        </w:rPr>
        <w:footnoteReference w:id="4"/>
      </w:r>
    </w:p>
    <w:p w14:paraId="13DC047F" w14:textId="77777777" w:rsidR="008D0C8C" w:rsidRDefault="008D0C8C" w:rsidP="008D0C8C">
      <w:r>
        <w:t>Current understanding of health status of the Nepalese community is heavily dependent on results of surveys as epidemiological data available is extremely limited due to the recording of ethnicity.</w:t>
      </w:r>
    </w:p>
    <w:p w14:paraId="7AA52FE9" w14:textId="77777777" w:rsidR="008D0C8C" w:rsidRDefault="008D0C8C" w:rsidP="008D0C8C">
      <w:r>
        <w:t xml:space="preserve">This literature summary aims to outline some possible barriers to the Gurkha/Nepali community accessing health and social care services, which may help us understand the disengagement of Special Educational Needs (SEN) services for children in Nepali communities. </w:t>
      </w:r>
    </w:p>
    <w:p w14:paraId="28DBD2BA" w14:textId="689D88D3" w:rsidR="008D0C8C" w:rsidRPr="004837FE" w:rsidRDefault="008D0C8C" w:rsidP="008D0C8C">
      <w:pPr>
        <w:pStyle w:val="Heading2"/>
        <w:numPr>
          <w:ilvl w:val="0"/>
          <w:numId w:val="0"/>
        </w:numPr>
        <w:rPr>
          <w:vanish/>
          <w:specVanish/>
        </w:rPr>
      </w:pPr>
      <w:bookmarkStart w:id="12" w:name="_Toc79415939"/>
      <w:r w:rsidRPr="004837FE">
        <w:t>2.</w:t>
      </w:r>
      <w:r>
        <w:t>2</w:t>
      </w:r>
      <w:r w:rsidRPr="004837FE">
        <w:tab/>
      </w:r>
      <w:r>
        <w:t>Language Barrier</w:t>
      </w:r>
      <w:bookmarkEnd w:id="12"/>
      <w:r w:rsidRPr="004837FE">
        <w:t xml:space="preserve"> </w:t>
      </w:r>
    </w:p>
    <w:p w14:paraId="142FF540" w14:textId="77777777" w:rsidR="008D0C8C" w:rsidRPr="004837FE" w:rsidRDefault="008D0C8C" w:rsidP="008D0C8C">
      <w:pPr>
        <w:pStyle w:val="Heading1"/>
      </w:pPr>
      <w:r w:rsidRPr="004837FE">
        <w:t xml:space="preserve"> </w:t>
      </w:r>
      <w:bookmarkStart w:id="13" w:name="_Toc79409973"/>
      <w:bookmarkStart w:id="14" w:name="_Toc79415940"/>
      <w:bookmarkEnd w:id="13"/>
      <w:bookmarkEnd w:id="14"/>
    </w:p>
    <w:p w14:paraId="40871FB4" w14:textId="0EE05D43" w:rsidR="008D0C8C" w:rsidRDefault="008D0C8C" w:rsidP="008D0C8C">
      <w:r>
        <w:t>In 2017 North Yorkshire produced a needs assessment on the health of the Gurkha and Nepalese community and found that in the past few years GP practices in a local district noted a significant cohort of Nepali patients who had issues with accessing services due to language barriers. They addressed this with changes to printed material and staffing.</w:t>
      </w:r>
      <w:bookmarkStart w:id="15" w:name="_Ref66284763"/>
      <w:r>
        <w:rPr>
          <w:rStyle w:val="FootnoteReference"/>
        </w:rPr>
        <w:footnoteReference w:id="5"/>
      </w:r>
      <w:bookmarkEnd w:id="15"/>
    </w:p>
    <w:p w14:paraId="1AD82106" w14:textId="77777777" w:rsidR="008D0C8C" w:rsidRDefault="008D0C8C" w:rsidP="008D0C8C">
      <w:r>
        <w:lastRenderedPageBreak/>
        <w:t>The assessment included a survey of the Nepali community to gain an understanding of differences in health belief between the Nepali community and the general UK population which may affect the ways in which services are accessed.</w:t>
      </w:r>
    </w:p>
    <w:p w14:paraId="7077947B" w14:textId="77777777" w:rsidR="008D0C8C" w:rsidRDefault="008D0C8C" w:rsidP="008D0C8C">
      <w:pPr>
        <w:pStyle w:val="ListParagraph"/>
        <w:numPr>
          <w:ilvl w:val="0"/>
          <w:numId w:val="13"/>
        </w:numPr>
        <w:spacing w:before="0" w:after="160" w:line="259" w:lineRule="auto"/>
      </w:pPr>
      <w:r>
        <w:t>91% of respondents said they felt comfortable seeking medical attention if unwell.</w:t>
      </w:r>
    </w:p>
    <w:p w14:paraId="36882074" w14:textId="77777777" w:rsidR="008D0C8C" w:rsidRDefault="008D0C8C" w:rsidP="008D0C8C">
      <w:pPr>
        <w:pStyle w:val="ListParagraph"/>
        <w:numPr>
          <w:ilvl w:val="0"/>
          <w:numId w:val="13"/>
        </w:numPr>
        <w:spacing w:before="0" w:after="160" w:line="259" w:lineRule="auto"/>
      </w:pPr>
      <w:r>
        <w:t>60% thought it was sensible to do exactly as medical professionals advise.</w:t>
      </w:r>
    </w:p>
    <w:p w14:paraId="1F51E007" w14:textId="77777777" w:rsidR="008D0C8C" w:rsidRDefault="008D0C8C" w:rsidP="008D0C8C">
      <w:r>
        <w:t>A further survey sent to health professionals highlighted that not all the Nepali residents are able to understand and speak English which greatly restricts access to services</w:t>
      </w:r>
      <w:r w:rsidRPr="000C3DF6">
        <w:rPr>
          <w:i/>
          <w:iCs/>
        </w:rPr>
        <w:t xml:space="preserve">. </w:t>
      </w:r>
      <w:r>
        <w:rPr>
          <w:i/>
          <w:iCs/>
        </w:rPr>
        <w:t>“</w:t>
      </w:r>
      <w:r w:rsidRPr="000C3DF6">
        <w:rPr>
          <w:i/>
          <w:iCs/>
        </w:rPr>
        <w:t>This makes certain individuals heavily reliant on the assistance of certain community members, who often act as gatekeepers to wider public services</w:t>
      </w:r>
      <w:r>
        <w:t xml:space="preserve">”. </w:t>
      </w:r>
      <w:r>
        <w:fldChar w:fldCharType="begin"/>
      </w:r>
      <w:r>
        <w:instrText xml:space="preserve"> NOTEREF _Ref66284763 \f \h </w:instrText>
      </w:r>
      <w:r>
        <w:fldChar w:fldCharType="separate"/>
      </w:r>
      <w:r w:rsidRPr="007E11D2">
        <w:rPr>
          <w:rStyle w:val="FootnoteReference"/>
        </w:rPr>
        <w:t>5</w:t>
      </w:r>
      <w:r>
        <w:fldChar w:fldCharType="end"/>
      </w:r>
    </w:p>
    <w:p w14:paraId="230C36E0" w14:textId="77777777" w:rsidR="008D0C8C" w:rsidRDefault="008D0C8C" w:rsidP="008D0C8C">
      <w:r>
        <w:t>A 2020 study was conducted in Greenwich to establish the health and social care needs of the local Nepali community. Greenwich has one of the largest Nepali communities in London.</w:t>
      </w:r>
      <w:r>
        <w:rPr>
          <w:rStyle w:val="FootnoteReference"/>
        </w:rPr>
        <w:footnoteReference w:id="6"/>
      </w:r>
      <w:r>
        <w:t xml:space="preserve"> The study found that language was noted as a key barrier to accessing primary care services, with respondents suggesting an interpreter to explain their problems for them. </w:t>
      </w:r>
      <w:bookmarkStart w:id="16" w:name="_Ref66350250"/>
      <w:r>
        <w:rPr>
          <w:rStyle w:val="FootnoteReference"/>
        </w:rPr>
        <w:footnoteReference w:id="7"/>
      </w:r>
      <w:bookmarkEnd w:id="16"/>
    </w:p>
    <w:p w14:paraId="7F767418" w14:textId="070C9D15" w:rsidR="008D0C8C" w:rsidRDefault="008D0C8C" w:rsidP="008D0C8C">
      <w:r>
        <w:t>A 2008 Runneymede Trust report ‘</w:t>
      </w:r>
      <w:r w:rsidRPr="002C3684">
        <w:rPr>
          <w:i/>
          <w:iCs/>
        </w:rPr>
        <w:t>Soldiers, Migrants and Citizens- The Nepalese in Britain’</w:t>
      </w:r>
      <w:r>
        <w:t xml:space="preserve"> states that special educational needs may be masked for children of Gurkhas due to perceived language barriers. Extended Services Manager at Bracknell Forest School comments that learning difficulties of English children is easier to spot than in Nepalese students where learning difficulties are disguised as English not being their first language. He claims that this was the case for several students in his school.</w:t>
      </w:r>
      <w:r>
        <w:rPr>
          <w:rStyle w:val="FootnoteReference"/>
        </w:rPr>
        <w:footnoteReference w:id="8"/>
      </w:r>
    </w:p>
    <w:p w14:paraId="09F2D61F" w14:textId="295BDA14" w:rsidR="008D0C8C" w:rsidRPr="004837FE" w:rsidRDefault="008D0C8C" w:rsidP="008D0C8C">
      <w:pPr>
        <w:pStyle w:val="Heading2"/>
        <w:numPr>
          <w:ilvl w:val="0"/>
          <w:numId w:val="0"/>
        </w:numPr>
      </w:pPr>
      <w:bookmarkStart w:id="17" w:name="_Toc79415941"/>
      <w:r>
        <w:t xml:space="preserve">2.3 </w:t>
      </w:r>
      <w:r w:rsidR="007C68C3">
        <w:t>Cultural Differences</w:t>
      </w:r>
      <w:bookmarkEnd w:id="17"/>
      <w:r>
        <w:rPr>
          <w:vanish/>
        </w:rPr>
        <w:t xml:space="preserve"> Cultural Differences</w:t>
      </w:r>
    </w:p>
    <w:p w14:paraId="0C78518C" w14:textId="77777777" w:rsidR="008D0C8C" w:rsidRDefault="008D0C8C" w:rsidP="008D0C8C">
      <w:r>
        <w:t>A 2010 Health needs assessment</w:t>
      </w:r>
      <w:r>
        <w:rPr>
          <w:rStyle w:val="FootnoteReference"/>
        </w:rPr>
        <w:footnoteReference w:id="9"/>
      </w:r>
      <w:r>
        <w:t xml:space="preserve"> by NHS Hampshire of the Nepali community in </w:t>
      </w:r>
      <w:proofErr w:type="spellStart"/>
      <w:r>
        <w:t>Rushmoor</w:t>
      </w:r>
      <w:proofErr w:type="spellEnd"/>
      <w:r>
        <w:t xml:space="preserve"> highlighted issues around education and the Nepali community identified by local teachers and a Nepali parent. They noted:</w:t>
      </w:r>
    </w:p>
    <w:p w14:paraId="7EDD0D52" w14:textId="77777777" w:rsidR="008D0C8C" w:rsidRDefault="008D0C8C" w:rsidP="008D0C8C">
      <w:pPr>
        <w:spacing w:after="0"/>
      </w:pPr>
      <w:r w:rsidRPr="00CD7F22">
        <w:sym w:font="Symbol" w:char="F0B7"/>
      </w:r>
      <w:r w:rsidRPr="00CD7F22">
        <w:t xml:space="preserve"> A recent trend of rapid growth in this community </w:t>
      </w:r>
    </w:p>
    <w:p w14:paraId="0154FC1A" w14:textId="77777777" w:rsidR="008D0C8C" w:rsidRDefault="008D0C8C" w:rsidP="008D0C8C">
      <w:pPr>
        <w:spacing w:after="0"/>
      </w:pPr>
      <w:r w:rsidRPr="00CD7F22">
        <w:sym w:font="Symbol" w:char="F0B7"/>
      </w:r>
      <w:r w:rsidRPr="00CD7F22">
        <w:t xml:space="preserve"> Differences between educational systems in Nepal and the UK </w:t>
      </w:r>
    </w:p>
    <w:p w14:paraId="345827EB" w14:textId="77777777" w:rsidR="008D0C8C" w:rsidRDefault="008D0C8C" w:rsidP="008D0C8C">
      <w:pPr>
        <w:pStyle w:val="ListParagraph"/>
        <w:numPr>
          <w:ilvl w:val="0"/>
          <w:numId w:val="14"/>
        </w:numPr>
        <w:spacing w:before="0" w:after="0" w:line="259" w:lineRule="auto"/>
      </w:pPr>
      <w:r w:rsidRPr="00664E77">
        <w:rPr>
          <w:b/>
          <w:bCs/>
        </w:rPr>
        <w:t>Structure</w:t>
      </w:r>
      <w:r>
        <w:t>- One interviewee noted that in Nepal there are fees attached to any additional support given to a child who is not up to a certain educational standard.</w:t>
      </w:r>
    </w:p>
    <w:p w14:paraId="35003E3C" w14:textId="77777777" w:rsidR="008D0C8C" w:rsidRDefault="008D0C8C" w:rsidP="008D0C8C">
      <w:pPr>
        <w:pStyle w:val="ListParagraph"/>
        <w:numPr>
          <w:ilvl w:val="0"/>
          <w:numId w:val="14"/>
        </w:numPr>
        <w:spacing w:before="0" w:after="0" w:line="259" w:lineRule="auto"/>
      </w:pPr>
      <w:r w:rsidRPr="00664E77">
        <w:rPr>
          <w:b/>
          <w:bCs/>
        </w:rPr>
        <w:t>Teaching Styles</w:t>
      </w:r>
      <w:r>
        <w:t xml:space="preserve">- </w:t>
      </w:r>
      <w:r w:rsidRPr="00664E77">
        <w:t>The learning environment is more formal in Nepal, with children sitting in rows and taught in a more didactic fashion. This means that they are good at sitting down and taking instruction.</w:t>
      </w:r>
    </w:p>
    <w:p w14:paraId="65605D4C" w14:textId="77777777" w:rsidR="008D0C8C" w:rsidRDefault="008D0C8C" w:rsidP="008D0C8C">
      <w:pPr>
        <w:spacing w:after="0"/>
      </w:pPr>
      <w:r w:rsidRPr="00CD7F22">
        <w:lastRenderedPageBreak/>
        <w:sym w:font="Symbol" w:char="F0B7"/>
      </w:r>
      <w:r w:rsidRPr="00CD7F22">
        <w:t xml:space="preserve"> Local problems in integration</w:t>
      </w:r>
    </w:p>
    <w:p w14:paraId="3CE81878" w14:textId="77777777" w:rsidR="008D0C8C" w:rsidRDefault="008D0C8C" w:rsidP="008D0C8C">
      <w:pPr>
        <w:spacing w:after="0"/>
      </w:pPr>
      <w:r w:rsidRPr="00CD7F22">
        <w:t xml:space="preserve"> </w:t>
      </w:r>
      <w:r w:rsidRPr="00CD7F22">
        <w:sym w:font="Symbol" w:char="F0B7"/>
      </w:r>
      <w:r w:rsidRPr="00CD7F22">
        <w:t xml:space="preserve"> Learning English as well as adapting to a new environment can be challenging </w:t>
      </w:r>
    </w:p>
    <w:p w14:paraId="2EFF8C4F" w14:textId="77777777" w:rsidR="008D0C8C" w:rsidRDefault="008D0C8C" w:rsidP="008D0C8C">
      <w:pPr>
        <w:spacing w:after="0"/>
      </w:pPr>
      <w:r w:rsidRPr="00CD7F22">
        <w:sym w:font="Symbol" w:char="F0B7"/>
      </w:r>
      <w:r w:rsidRPr="00CD7F22">
        <w:t xml:space="preserve"> Parents may have poor English</w:t>
      </w:r>
    </w:p>
    <w:p w14:paraId="1CB68EF0" w14:textId="77777777" w:rsidR="008D0C8C" w:rsidRDefault="008D0C8C" w:rsidP="008D0C8C">
      <w:pPr>
        <w:spacing w:after="0"/>
      </w:pPr>
    </w:p>
    <w:p w14:paraId="7CAE03B9" w14:textId="085502A2" w:rsidR="008D0C8C" w:rsidRDefault="008D0C8C" w:rsidP="008D0C8C">
      <w:pPr>
        <w:spacing w:after="0"/>
      </w:pPr>
      <w:r>
        <w:t xml:space="preserve">The assessment also found that in the local area of </w:t>
      </w:r>
      <w:proofErr w:type="spellStart"/>
      <w:r>
        <w:t>Rushmoor</w:t>
      </w:r>
      <w:proofErr w:type="spellEnd"/>
      <w:r>
        <w:t xml:space="preserve">, parents are generally involved in their child’s education demonstrated by good parent teacher meeting attendance at schools. </w:t>
      </w:r>
    </w:p>
    <w:p w14:paraId="1BA07A05" w14:textId="4BA3C5EE" w:rsidR="008D0C8C" w:rsidRPr="004837FE" w:rsidRDefault="008D0C8C" w:rsidP="008D0C8C">
      <w:pPr>
        <w:pStyle w:val="Heading2"/>
        <w:numPr>
          <w:ilvl w:val="0"/>
          <w:numId w:val="0"/>
        </w:numPr>
        <w:ind w:left="576" w:hanging="576"/>
      </w:pPr>
      <w:bookmarkStart w:id="18" w:name="_Toc79415942"/>
      <w:r w:rsidRPr="004837FE">
        <w:t>2.</w:t>
      </w:r>
      <w:r>
        <w:t xml:space="preserve">4 Lack of understanding of </w:t>
      </w:r>
      <w:r w:rsidR="007C68C3">
        <w:t xml:space="preserve">UK </w:t>
      </w:r>
      <w:r>
        <w:t>health services</w:t>
      </w:r>
      <w:bookmarkEnd w:id="18"/>
      <w:r w:rsidRPr="004837FE">
        <w:t xml:space="preserve"> </w:t>
      </w:r>
    </w:p>
    <w:p w14:paraId="1E437D2C" w14:textId="77777777" w:rsidR="008D0C8C" w:rsidRDefault="008D0C8C" w:rsidP="008D0C8C">
      <w:r>
        <w:t xml:space="preserve">The 2010 study in </w:t>
      </w:r>
      <w:proofErr w:type="spellStart"/>
      <w:r>
        <w:t>Rishmoor</w:t>
      </w:r>
      <w:proofErr w:type="spellEnd"/>
      <w:r>
        <w:t xml:space="preserve"> also identified lack of understanding of the health care system in the UK as a barrier to access. The main difference was the expectation of immediate appointments, </w:t>
      </w:r>
      <w:proofErr w:type="gramStart"/>
      <w:r>
        <w:t>care</w:t>
      </w:r>
      <w:proofErr w:type="gramEnd"/>
      <w:r>
        <w:t xml:space="preserve"> and medicines.</w:t>
      </w:r>
      <w:r>
        <w:fldChar w:fldCharType="begin"/>
      </w:r>
      <w:r>
        <w:instrText xml:space="preserve"> NOTEREF _Ref66369569 \f \h </w:instrText>
      </w:r>
      <w:r>
        <w:fldChar w:fldCharType="separate"/>
      </w:r>
      <w:r w:rsidRPr="007E3BEF">
        <w:rPr>
          <w:rStyle w:val="FootnoteReference"/>
        </w:rPr>
        <w:t>3</w:t>
      </w:r>
      <w:r>
        <w:fldChar w:fldCharType="end"/>
      </w:r>
    </w:p>
    <w:p w14:paraId="1E25C5C5" w14:textId="77777777" w:rsidR="008D0C8C" w:rsidRDefault="008D0C8C" w:rsidP="008D0C8C">
      <w:r>
        <w:t>The 2020 Greenwich study of Nepali access to primary and social care highlighted some cultural differences between UK and Nepal health care. One respondent commented:</w:t>
      </w:r>
    </w:p>
    <w:p w14:paraId="2A20E6AB" w14:textId="77777777" w:rsidR="008D0C8C" w:rsidRDefault="008D0C8C" w:rsidP="008D0C8C">
      <w:r w:rsidRPr="00EB44FD">
        <w:rPr>
          <w:i/>
          <w:iCs/>
        </w:rPr>
        <w:t xml:space="preserve">“…Due to difference in the cultural background that plays another </w:t>
      </w:r>
      <w:proofErr w:type="gramStart"/>
      <w:r w:rsidRPr="00EB44FD">
        <w:rPr>
          <w:i/>
          <w:iCs/>
        </w:rPr>
        <w:t>role..</w:t>
      </w:r>
      <w:proofErr w:type="gramEnd"/>
      <w:r w:rsidRPr="00EB44FD">
        <w:rPr>
          <w:i/>
          <w:iCs/>
        </w:rPr>
        <w:t xml:space="preserve"> In Nepali context we always look for prompt recovery... here it is more like slow recovery and that may be the difference too</w:t>
      </w:r>
      <w:proofErr w:type="gramStart"/>
      <w:r w:rsidRPr="00EB44FD">
        <w:rPr>
          <w:i/>
          <w:iCs/>
        </w:rPr>
        <w:t xml:space="preserve"> ..</w:t>
      </w:r>
      <w:proofErr w:type="gramEnd"/>
      <w:r w:rsidRPr="00EB44FD">
        <w:rPr>
          <w:i/>
          <w:iCs/>
        </w:rPr>
        <w:t xml:space="preserve"> the system is different here and so sometimes we do not wish to wait for longer and we feel more difficult about it which reminds us to think that it was better at home as you could get the service immediately whenever you want, if you pay money. With money you get any treatment at any time but here due to long queues there are waiting times”</w:t>
      </w:r>
      <w:r>
        <w:fldChar w:fldCharType="begin"/>
      </w:r>
      <w:r>
        <w:rPr>
          <w:i/>
          <w:iCs/>
        </w:rPr>
        <w:instrText xml:space="preserve"> NOTEREF _Ref66350250 \f \h </w:instrText>
      </w:r>
      <w:r>
        <w:fldChar w:fldCharType="separate"/>
      </w:r>
      <w:r w:rsidRPr="00E60991">
        <w:rPr>
          <w:rStyle w:val="FootnoteReference"/>
        </w:rPr>
        <w:t>6</w:t>
      </w:r>
      <w:r>
        <w:fldChar w:fldCharType="end"/>
      </w:r>
    </w:p>
    <w:p w14:paraId="4B3DE844" w14:textId="694B91A7" w:rsidR="008D0C8C" w:rsidRPr="008D0C8C" w:rsidRDefault="008D0C8C" w:rsidP="008D0C8C">
      <w:pPr>
        <w:pStyle w:val="Heading2"/>
        <w:numPr>
          <w:ilvl w:val="0"/>
          <w:numId w:val="0"/>
        </w:numPr>
        <w:ind w:left="576" w:hanging="576"/>
      </w:pPr>
      <w:bookmarkStart w:id="19" w:name="_Toc79415943"/>
      <w:r w:rsidRPr="004837FE">
        <w:t>2.</w:t>
      </w:r>
      <w:r>
        <w:t>5 Mobility</w:t>
      </w:r>
      <w:bookmarkEnd w:id="19"/>
      <w:r w:rsidRPr="004837FE">
        <w:t xml:space="preserve"> </w:t>
      </w:r>
    </w:p>
    <w:p w14:paraId="210450BF" w14:textId="77777777" w:rsidR="008D0C8C" w:rsidRPr="00E3578F" w:rsidRDefault="008D0C8C" w:rsidP="008D0C8C">
      <w:r>
        <w:t xml:space="preserve">The 2008 </w:t>
      </w:r>
      <w:proofErr w:type="spellStart"/>
      <w:r>
        <w:t>Rushymede</w:t>
      </w:r>
      <w:proofErr w:type="spellEnd"/>
      <w:r>
        <w:t xml:space="preserve"> report highlighted mobility as having an impact on educational development and special educational needs for children of Gurkhas. W</w:t>
      </w:r>
      <w:r w:rsidRPr="00E3578F">
        <w:t>hile it is likely that most of the Gurkhas who have school-aged children in schools in the UK are retired, it is important to understand the legacy of being a service child, such as how mobility can continue to impact on a child’s education even after demobilization.</w:t>
      </w:r>
      <w:r>
        <w:fldChar w:fldCharType="begin"/>
      </w:r>
      <w:r>
        <w:instrText xml:space="preserve"> NOTEREF _Ref66364643 \f \h </w:instrText>
      </w:r>
      <w:r>
        <w:fldChar w:fldCharType="separate"/>
      </w:r>
      <w:r w:rsidRPr="0002202A">
        <w:rPr>
          <w:rStyle w:val="FootnoteReference"/>
        </w:rPr>
        <w:t>2</w:t>
      </w:r>
      <w:r>
        <w:fldChar w:fldCharType="end"/>
      </w:r>
      <w:r>
        <w:t xml:space="preserve"> A further 2017 report by The Children’s Society noted that mobility can impact the education of service children particularly if they have SEND, and therefore an early assessment of the child is key.</w:t>
      </w:r>
      <w:r>
        <w:rPr>
          <w:rStyle w:val="FootnoteReference"/>
        </w:rPr>
        <w:footnoteReference w:id="10"/>
      </w:r>
    </w:p>
    <w:p w14:paraId="3D9A7346" w14:textId="77777777" w:rsidR="008D0C8C" w:rsidRDefault="008D0C8C" w:rsidP="008D0C8C">
      <w:r>
        <w:t>The transport of student records is noted as important to minimize the time a child settles into a new school and will as little disruption to the child’s education as possible. The transfer of special educational needs statements was also included as a particular concern.</w:t>
      </w:r>
      <w:r>
        <w:fldChar w:fldCharType="begin"/>
      </w:r>
      <w:r>
        <w:instrText xml:space="preserve"> NOTEREF _Ref66364643 \f \h </w:instrText>
      </w:r>
      <w:r>
        <w:fldChar w:fldCharType="separate"/>
      </w:r>
      <w:r w:rsidRPr="0002202A">
        <w:rPr>
          <w:rStyle w:val="FootnoteReference"/>
        </w:rPr>
        <w:t>2</w:t>
      </w:r>
      <w:r>
        <w:fldChar w:fldCharType="end"/>
      </w:r>
      <w:r>
        <w:t xml:space="preserve"> </w:t>
      </w:r>
    </w:p>
    <w:p w14:paraId="131FB107" w14:textId="0A6416F0" w:rsidR="008D0C8C" w:rsidRPr="008D0C8C" w:rsidRDefault="008D0C8C" w:rsidP="008D0C8C">
      <w:r>
        <w:lastRenderedPageBreak/>
        <w:t xml:space="preserve">One area which contributed to the report stated that they had a higher proportion of service children with special needs compared to the general population. However, there is no current reliable data to confirm </w:t>
      </w:r>
      <w:proofErr w:type="gramStart"/>
      <w:r>
        <w:t>this.</w:t>
      </w:r>
      <w:r w:rsidRPr="004837FE">
        <w:t>.</w:t>
      </w:r>
      <w:proofErr w:type="gramEnd"/>
      <w:r w:rsidRPr="004837FE">
        <w:t>1</w:t>
      </w:r>
      <w:r w:rsidRPr="004837FE">
        <w:tab/>
        <w:t xml:space="preserve">Heading 2 is </w:t>
      </w:r>
      <w:r>
        <w:t>Calibri</w:t>
      </w:r>
      <w:r w:rsidRPr="004837FE">
        <w:t>, Teal, Bold, 14pt</w:t>
      </w:r>
    </w:p>
    <w:p w14:paraId="41D70899" w14:textId="77777777" w:rsidR="008D0C8C" w:rsidRPr="004837FE" w:rsidRDefault="008D0C8C" w:rsidP="008D0C8C">
      <w:pPr>
        <w:rPr>
          <w:vanish/>
          <w:specVanish/>
        </w:rPr>
      </w:pPr>
      <w:r w:rsidRPr="004837FE">
        <w:t xml:space="preserve"> </w:t>
      </w:r>
    </w:p>
    <w:p w14:paraId="2DC07DF7" w14:textId="7E021627" w:rsidR="008D0C8C" w:rsidRPr="004837FE" w:rsidRDefault="008D0C8C" w:rsidP="008D0C8C">
      <w:pPr>
        <w:pStyle w:val="Heading2"/>
        <w:numPr>
          <w:ilvl w:val="0"/>
          <w:numId w:val="0"/>
        </w:numPr>
        <w:ind w:left="576"/>
        <w:rPr>
          <w:vanish/>
          <w:specVanish/>
        </w:rPr>
      </w:pPr>
      <w:bookmarkStart w:id="20" w:name="_Toc79415944"/>
      <w:r w:rsidRPr="004837FE">
        <w:t>2.</w:t>
      </w:r>
      <w:r>
        <w:t>6 Disability in Nepal</w:t>
      </w:r>
      <w:bookmarkEnd w:id="20"/>
    </w:p>
    <w:p w14:paraId="7171B21E" w14:textId="4C597D7C" w:rsidR="008D0C8C" w:rsidRPr="004837FE" w:rsidRDefault="008D0C8C" w:rsidP="008D0C8C">
      <w:pPr>
        <w:pStyle w:val="Heading1"/>
      </w:pPr>
      <w:r w:rsidRPr="004837FE">
        <w:t xml:space="preserve"> </w:t>
      </w:r>
      <w:bookmarkStart w:id="21" w:name="_Toc79409978"/>
      <w:bookmarkStart w:id="22" w:name="_Toc79415945"/>
      <w:bookmarkEnd w:id="21"/>
      <w:bookmarkEnd w:id="22"/>
    </w:p>
    <w:p w14:paraId="51DD6E52" w14:textId="77777777" w:rsidR="008D0C8C" w:rsidRPr="00E372D9" w:rsidRDefault="008D0C8C" w:rsidP="008D0C8C">
      <w:r>
        <w:t>Evidence in the literature suggests that historically disability is not widely understood in Nepal.</w:t>
      </w:r>
      <w:r>
        <w:rPr>
          <w:rStyle w:val="FootnoteReference"/>
        </w:rPr>
        <w:footnoteReference w:id="11"/>
      </w:r>
      <w:r>
        <w:t xml:space="preserve"> A 2018 research by Human Rights Watch looked at the barriers children with disabilities face when accessing education in Nepal.</w:t>
      </w:r>
      <w:r>
        <w:fldChar w:fldCharType="begin"/>
      </w:r>
      <w:r>
        <w:instrText xml:space="preserve"> NOTEREF _Ref66700095 \f \h </w:instrText>
      </w:r>
      <w:r>
        <w:fldChar w:fldCharType="separate"/>
      </w:r>
      <w:r w:rsidRPr="00E372D9">
        <w:rPr>
          <w:rStyle w:val="FootnoteReference"/>
        </w:rPr>
        <w:t>11</w:t>
      </w:r>
      <w:r>
        <w:fldChar w:fldCharType="end"/>
      </w:r>
      <w:r>
        <w:t xml:space="preserve"> </w:t>
      </w:r>
      <w:r w:rsidRPr="00E372D9">
        <w:t xml:space="preserve">In Nepal children with disabilities are separated from classmates without disabilities. </w:t>
      </w:r>
    </w:p>
    <w:p w14:paraId="36DE2DEF" w14:textId="77777777" w:rsidR="008D0C8C" w:rsidRPr="00E372D9" w:rsidRDefault="008D0C8C" w:rsidP="008D0C8C">
      <w:r w:rsidRPr="00E372D9">
        <w:t>2011 Human Rights Watch report “</w:t>
      </w:r>
      <w:hyperlink r:id="rId15" w:history="1">
        <w:r w:rsidRPr="00E372D9">
          <w:rPr>
            <w:rStyle w:val="Hyperlink"/>
          </w:rPr>
          <w:t>Futures Stolen: Barriers to Education for Children with Disabilities in Nepal</w:t>
        </w:r>
      </w:hyperlink>
      <w:r w:rsidRPr="00E372D9">
        <w:t>,” found</w:t>
      </w:r>
      <w:r>
        <w:t xml:space="preserve"> that</w:t>
      </w:r>
      <w:r w:rsidRPr="00E372D9">
        <w:t xml:space="preserve"> many children with disabilities in Nepal face barriers in accessing schools and obtaining a quality education.</w:t>
      </w:r>
      <w:r>
        <w:rPr>
          <w:rStyle w:val="FootnoteReference"/>
        </w:rPr>
        <w:footnoteReference w:id="12"/>
      </w:r>
      <w:r>
        <w:t xml:space="preserve"> </w:t>
      </w:r>
      <w:r w:rsidRPr="00E372D9">
        <w:t>Since that time, Nepal has improved laws and policies regarding access to education for children with disabilities, and some children have benefited. Thousands of children with disabilities continue to face significant obstacles to education, however</w:t>
      </w:r>
      <w:r>
        <w:t>.</w:t>
      </w:r>
      <w:bookmarkStart w:id="23" w:name="_Ref66700095"/>
      <w:r>
        <w:rPr>
          <w:rStyle w:val="FootnoteReference"/>
        </w:rPr>
        <w:footnoteReference w:id="13"/>
      </w:r>
      <w:bookmarkEnd w:id="23"/>
      <w:r>
        <w:t xml:space="preserve"> </w:t>
      </w:r>
      <w:r w:rsidRPr="00E372D9">
        <w:t>Nepal has no academic curriculum for children with intellectual disabilities, including children with Down Syndrome. Those who do attend school learn only basic skills, largely focused on self-care. </w:t>
      </w:r>
    </w:p>
    <w:p w14:paraId="0495041E" w14:textId="57EB2362" w:rsidR="008D0C8C" w:rsidRDefault="008D0C8C" w:rsidP="008D0C8C"/>
    <w:p w14:paraId="018335E3" w14:textId="77777777" w:rsidR="007260E6" w:rsidRPr="004837FE" w:rsidRDefault="007260E6" w:rsidP="007260E6">
      <w:pPr>
        <w:rPr>
          <w:b/>
          <w:vanish/>
          <w:sz w:val="36"/>
          <w:szCs w:val="36"/>
          <w:specVanish/>
        </w:rPr>
      </w:pPr>
      <w:r w:rsidRPr="004837FE">
        <w:rPr>
          <w:b/>
          <w:color w:val="2D7C82"/>
          <w:sz w:val="36"/>
          <w:szCs w:val="36"/>
        </w:rPr>
        <w:t>|</w:t>
      </w:r>
      <w:r w:rsidRPr="004837FE">
        <w:rPr>
          <w:b/>
          <w:sz w:val="36"/>
          <w:szCs w:val="36"/>
        </w:rPr>
        <w:t xml:space="preserve"> </w:t>
      </w:r>
    </w:p>
    <w:p w14:paraId="21B6F4D2" w14:textId="77FD2D49" w:rsidR="007260E6" w:rsidRDefault="007260E6" w:rsidP="007260E6">
      <w:pPr>
        <w:pStyle w:val="Heading1"/>
      </w:pPr>
      <w:r w:rsidRPr="004837FE">
        <w:t xml:space="preserve"> </w:t>
      </w:r>
      <w:bookmarkStart w:id="24" w:name="_Toc79415946"/>
      <w:r>
        <w:t>3.</w:t>
      </w:r>
      <w:r w:rsidRPr="004837FE">
        <w:tab/>
      </w:r>
      <w:r>
        <w:t>Discussion</w:t>
      </w:r>
      <w:bookmarkEnd w:id="24"/>
    </w:p>
    <w:p w14:paraId="2ED03F09" w14:textId="46BF4BD2" w:rsidR="007260E6" w:rsidRDefault="007260E6" w:rsidP="008D0C8C">
      <w:r>
        <w:t>There is very little evidence on specifically SEND or ASD and the Nepalese community within the current literature. The evidence used in this summary highlights access barriers to health and social care for the Nepalese and Gurkha community and relationship with the education system. This can give a greater understanding of why these communities do not seem to engage with the SEND services, despite there being a need for this for some young members of the community. More evidence needs to be generated to demonstrate the number of children accessing SEND services within the Gurkha communities. Currently available data does not break down to specific ethnicities. Further research into the barriers faced by different communities when accessing services would be required.</w:t>
      </w:r>
    </w:p>
    <w:p w14:paraId="33CC8C55" w14:textId="493078F0" w:rsidR="007260E6" w:rsidRDefault="007260E6" w:rsidP="008D0C8C"/>
    <w:p w14:paraId="639C63C8" w14:textId="01ACCC46" w:rsidR="007260E6" w:rsidRDefault="007260E6" w:rsidP="008D0C8C"/>
    <w:p w14:paraId="5D253A06" w14:textId="782FD28B" w:rsidR="007260E6" w:rsidRDefault="007260E6" w:rsidP="008D0C8C"/>
    <w:p w14:paraId="5DAD1196" w14:textId="53888155" w:rsidR="007260E6" w:rsidRDefault="007260E6" w:rsidP="008D0C8C"/>
    <w:p w14:paraId="36D66B8D" w14:textId="5AE8D99C" w:rsidR="007260E6" w:rsidRDefault="007260E6" w:rsidP="008D0C8C"/>
    <w:p w14:paraId="31F12A43" w14:textId="0BEF1819" w:rsidR="007260E6" w:rsidRDefault="007260E6" w:rsidP="008D0C8C"/>
    <w:p w14:paraId="6E7C1CB2" w14:textId="2A65B98C" w:rsidR="007260E6" w:rsidRDefault="007260E6" w:rsidP="008D0C8C"/>
    <w:p w14:paraId="1B8C0475" w14:textId="6593B2C0" w:rsidR="007260E6" w:rsidRDefault="007260E6" w:rsidP="008D0C8C"/>
    <w:p w14:paraId="6E3D5D11" w14:textId="432855E7" w:rsidR="007260E6" w:rsidRDefault="007260E6" w:rsidP="008D0C8C"/>
    <w:p w14:paraId="7D745B27" w14:textId="73D9D802" w:rsidR="007260E6" w:rsidRDefault="007260E6" w:rsidP="008D0C8C"/>
    <w:p w14:paraId="0740B3D9" w14:textId="58404DB1" w:rsidR="007260E6" w:rsidRDefault="007260E6" w:rsidP="008D0C8C"/>
    <w:p w14:paraId="35F1728B" w14:textId="0AC3FFE9" w:rsidR="007260E6" w:rsidRDefault="007260E6" w:rsidP="008D0C8C"/>
    <w:p w14:paraId="1C3D5714" w14:textId="78424E0A" w:rsidR="007260E6" w:rsidRDefault="007260E6" w:rsidP="008D0C8C"/>
    <w:p w14:paraId="22B8C32E" w14:textId="252484C5" w:rsidR="007260E6" w:rsidRDefault="007260E6" w:rsidP="008D0C8C"/>
    <w:p w14:paraId="050630DE" w14:textId="598D6A12" w:rsidR="007260E6" w:rsidRDefault="007260E6" w:rsidP="008D0C8C"/>
    <w:p w14:paraId="212B21F0" w14:textId="0EC1AF29" w:rsidR="007260E6" w:rsidRDefault="007260E6" w:rsidP="008D0C8C"/>
    <w:p w14:paraId="3769697F" w14:textId="6201106A" w:rsidR="007260E6" w:rsidRDefault="007260E6" w:rsidP="008D0C8C"/>
    <w:p w14:paraId="5DDFA632" w14:textId="67F7B762" w:rsidR="007260E6" w:rsidRDefault="007260E6" w:rsidP="008D0C8C"/>
    <w:p w14:paraId="25432809" w14:textId="1C63974C" w:rsidR="007260E6" w:rsidRDefault="007260E6" w:rsidP="008D0C8C"/>
    <w:p w14:paraId="33AFF0AA" w14:textId="7FB06A1E" w:rsidR="007260E6" w:rsidRDefault="007260E6" w:rsidP="008D0C8C"/>
    <w:p w14:paraId="2DE4023A" w14:textId="1F363254" w:rsidR="007260E6" w:rsidRDefault="007260E6" w:rsidP="008D0C8C"/>
    <w:p w14:paraId="7D359063" w14:textId="77777777" w:rsidR="007260E6" w:rsidRDefault="007260E6" w:rsidP="008D0C8C"/>
    <w:p w14:paraId="2E88FC20" w14:textId="535764D3" w:rsidR="005C1FE4" w:rsidRDefault="005C1FE4" w:rsidP="00B94300">
      <w:pPr>
        <w:spacing w:before="0" w:after="0" w:line="240" w:lineRule="auto"/>
        <w:jc w:val="center"/>
        <w:rPr>
          <w:rFonts w:cstheme="minorHAnsi"/>
          <w:bCs/>
          <w:color w:val="595959" w:themeColor="text1" w:themeTint="A6"/>
          <w:u w:val="single"/>
        </w:rPr>
      </w:pPr>
      <w:r>
        <w:rPr>
          <w:rFonts w:cstheme="minorHAnsi"/>
          <w:bCs/>
          <w:color w:val="595959" w:themeColor="text1" w:themeTint="A6"/>
          <w:u w:val="single"/>
        </w:rPr>
        <w:t>Disclaimer</w:t>
      </w:r>
    </w:p>
    <w:p w14:paraId="583D1524" w14:textId="77777777" w:rsidR="005C1FE4" w:rsidRDefault="005C1FE4" w:rsidP="005C1FE4">
      <w:pPr>
        <w:spacing w:before="0" w:after="0" w:line="240" w:lineRule="auto"/>
        <w:rPr>
          <w:rFonts w:cstheme="minorHAnsi"/>
          <w:bCs/>
          <w:color w:val="595959" w:themeColor="text1" w:themeTint="A6"/>
        </w:rPr>
      </w:pPr>
    </w:p>
    <w:p w14:paraId="3A60E4CA" w14:textId="77777777" w:rsidR="005C1FE4" w:rsidRDefault="005C1FE4" w:rsidP="005C1FE4">
      <w:pPr>
        <w:spacing w:before="0" w:after="0" w:line="240" w:lineRule="auto"/>
        <w:jc w:val="center"/>
        <w:rPr>
          <w:rFonts w:cstheme="minorHAnsi"/>
          <w:bCs/>
          <w:color w:val="595959" w:themeColor="text1" w:themeTint="A6"/>
        </w:rPr>
      </w:pPr>
      <w:r>
        <w:rPr>
          <w:rFonts w:ascii="Times New Roman" w:hAnsi="Times New Roman" w:cs="Times New Roman"/>
          <w:color w:val="595959" w:themeColor="text1" w:themeTint="A6"/>
          <w:sz w:val="27"/>
          <w:szCs w:val="27"/>
        </w:rPr>
        <w:t>We hope that you find the evidence search service useful. Whilst care has been taken in the selection of the materials included in this evidence search, the Library and Knowledge Service is not responsible for the content or the accuracy of the enclosed research information. Accordingly, whilst every endeavour has been undertaken to execute a comprehensive search of the literature, the Library and Knowledge Service is not and will not be held responsible or liable for any omissions to pertinent research information not included as part of the results of the enclosed evidence search. Requestors are welcome to discuss the evidence search findings with the librarian responsible for executing the search. We welcome suggestions on additional search strategies / use of other information resources for further exploration. You must not use the results of this search for commercial purposes. Any usage or reproduction of the search output should acknowledge the Library and Knowledge Service that produced it.</w:t>
      </w:r>
    </w:p>
    <w:p w14:paraId="3235E3A3" w14:textId="77777777" w:rsidR="005C1FE4" w:rsidRDefault="005C1FE4" w:rsidP="005C1FE4"/>
    <w:p w14:paraId="05DA8D8C" w14:textId="77777777" w:rsidR="00F95D16" w:rsidRPr="00F95D16" w:rsidRDefault="00F95D16" w:rsidP="00F95D16"/>
    <w:sectPr w:rsidR="00F95D16" w:rsidRPr="00F95D16" w:rsidSect="0090554A">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D378" w14:textId="77777777" w:rsidR="00607340" w:rsidRDefault="00607340" w:rsidP="00CE57B9">
      <w:pPr>
        <w:spacing w:after="0" w:line="240" w:lineRule="auto"/>
      </w:pPr>
      <w:r>
        <w:separator/>
      </w:r>
    </w:p>
  </w:endnote>
  <w:endnote w:type="continuationSeparator" w:id="0">
    <w:p w14:paraId="5D9BFA5C" w14:textId="77777777" w:rsidR="00607340" w:rsidRDefault="00607340" w:rsidP="00CE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9670" w14:textId="77777777" w:rsidR="00822A8B" w:rsidRDefault="00822A8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9E06D38" w14:textId="3F65190E" w:rsidR="00AE684F" w:rsidRPr="004837FE" w:rsidRDefault="00AE684F" w:rsidP="00A57BA9">
    <w:pPr>
      <w:spacing w:before="0" w:after="0"/>
      <w:ind w:left="-567"/>
      <w:jc w:val="right"/>
      <w:rPr>
        <w:color w:val="2D7C8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027C" w14:textId="6C21BAA7" w:rsidR="00822A8B" w:rsidRDefault="00822A8B" w:rsidP="00822A8B">
    <w:pPr>
      <w:pStyle w:val="Footer"/>
      <w:jc w:val="right"/>
    </w:pPr>
    <w:r>
      <w:t>Maria Hughes- Public Health Specialist Librarian (maria.hughes@kent.gov.uk)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9862" w14:textId="77777777" w:rsidR="00607340" w:rsidRDefault="00607340" w:rsidP="00CE57B9">
      <w:pPr>
        <w:spacing w:after="0" w:line="240" w:lineRule="auto"/>
      </w:pPr>
      <w:r>
        <w:separator/>
      </w:r>
    </w:p>
  </w:footnote>
  <w:footnote w:type="continuationSeparator" w:id="0">
    <w:p w14:paraId="70F400E6" w14:textId="77777777" w:rsidR="00607340" w:rsidRDefault="00607340" w:rsidP="00CE57B9">
      <w:pPr>
        <w:spacing w:after="0" w:line="240" w:lineRule="auto"/>
      </w:pPr>
      <w:r>
        <w:continuationSeparator/>
      </w:r>
    </w:p>
  </w:footnote>
  <w:footnote w:id="1">
    <w:p w14:paraId="2E2BEB31" w14:textId="77777777" w:rsidR="008D0C8C" w:rsidRDefault="008D0C8C" w:rsidP="008D0C8C">
      <w:pPr>
        <w:pStyle w:val="FootnoteText"/>
      </w:pPr>
      <w:r>
        <w:rPr>
          <w:rStyle w:val="FootnoteReference"/>
        </w:rPr>
        <w:footnoteRef/>
      </w:r>
      <w:r>
        <w:t xml:space="preserve"> </w:t>
      </w:r>
      <w:r w:rsidRPr="007A650C">
        <w:t xml:space="preserve">Gellner D, </w:t>
      </w:r>
      <w:r>
        <w:t>et al</w:t>
      </w:r>
      <w:r w:rsidRPr="007A650C">
        <w:t xml:space="preserve"> </w:t>
      </w:r>
      <w:r w:rsidRPr="007E11D2">
        <w:rPr>
          <w:i/>
          <w:iCs/>
        </w:rPr>
        <w:t>Strategies of Religious Belonging in the UK and Belgium</w:t>
      </w:r>
      <w:r w:rsidRPr="007A650C">
        <w:t>. In: Gallo E, editor. Migration and Religion in Europe: Comparative Perspectives on South Asian Experiences. London: Routledge; 2014. p. 145–168.</w:t>
      </w:r>
    </w:p>
  </w:footnote>
  <w:footnote w:id="2">
    <w:p w14:paraId="65EA7FDB" w14:textId="77777777" w:rsidR="008D0C8C" w:rsidRDefault="008D0C8C" w:rsidP="008D0C8C">
      <w:pPr>
        <w:pStyle w:val="FootnoteText"/>
      </w:pPr>
      <w:r>
        <w:rPr>
          <w:rStyle w:val="FootnoteReference"/>
        </w:rPr>
        <w:footnoteRef/>
      </w:r>
      <w:r>
        <w:t xml:space="preserve"> </w:t>
      </w:r>
      <w:r w:rsidRPr="00187867">
        <w:t>Sims J</w:t>
      </w:r>
      <w:r w:rsidRPr="007E11D2">
        <w:rPr>
          <w:i/>
          <w:iCs/>
        </w:rPr>
        <w:t>. Soldiers, Migrants and Citizens-The Nepalese in Britain. London: The Runnymede Trust</w:t>
      </w:r>
      <w:r w:rsidRPr="00187867">
        <w:t>; 2008.</w:t>
      </w:r>
      <w:r>
        <w:t xml:space="preserve"> </w:t>
      </w:r>
    </w:p>
  </w:footnote>
  <w:footnote w:id="3">
    <w:p w14:paraId="7037D237" w14:textId="77777777" w:rsidR="008D0C8C" w:rsidRDefault="008D0C8C" w:rsidP="008D0C8C">
      <w:pPr>
        <w:pStyle w:val="FootnoteText"/>
      </w:pPr>
      <w:r>
        <w:rPr>
          <w:rStyle w:val="FootnoteReference"/>
        </w:rPr>
        <w:footnoteRef/>
      </w:r>
      <w:r>
        <w:t xml:space="preserve"> </w:t>
      </w:r>
      <w:r w:rsidRPr="00187867">
        <w:t>Casey M. Health needs assessment of the Nepali community in Rushmoor. Hampshire: National Health Service; 2010.</w:t>
      </w:r>
    </w:p>
  </w:footnote>
  <w:footnote w:id="4">
    <w:p w14:paraId="28888A22" w14:textId="77777777" w:rsidR="008D0C8C" w:rsidRDefault="008D0C8C" w:rsidP="008D0C8C">
      <w:pPr>
        <w:pStyle w:val="FootnoteText"/>
      </w:pPr>
      <w:r>
        <w:rPr>
          <w:rStyle w:val="FootnoteReference"/>
        </w:rPr>
        <w:footnoteRef/>
      </w:r>
      <w:r>
        <w:t xml:space="preserve"> </w:t>
      </w:r>
      <w:r w:rsidRPr="00187867">
        <w:t xml:space="preserve">Adhikary P, Simkhada PP, Van Teijlingen ER, Raja AE. </w:t>
      </w:r>
      <w:r w:rsidRPr="007E11D2">
        <w:rPr>
          <w:i/>
          <w:iCs/>
        </w:rPr>
        <w:t>Health and lifestyle of Nepalese migrants in the UK</w:t>
      </w:r>
      <w:r w:rsidRPr="00187867">
        <w:t>. BMC Int Health Human Rights. 2008;8(1):6.</w:t>
      </w:r>
    </w:p>
  </w:footnote>
  <w:footnote w:id="5">
    <w:p w14:paraId="63CBA1A7" w14:textId="77777777" w:rsidR="008D0C8C" w:rsidRDefault="008D0C8C" w:rsidP="008D0C8C">
      <w:pPr>
        <w:pStyle w:val="FootnoteText"/>
      </w:pPr>
      <w:r>
        <w:rPr>
          <w:rStyle w:val="FootnoteReference"/>
        </w:rPr>
        <w:footnoteRef/>
      </w:r>
      <w:r>
        <w:t xml:space="preserve"> North Yorkshire County Council (2017) </w:t>
      </w:r>
      <w:r w:rsidRPr="007E11D2">
        <w:rPr>
          <w:i/>
          <w:iCs/>
        </w:rPr>
        <w:t>Gurkha and Nepalese Health Needs Assessment</w:t>
      </w:r>
      <w:r>
        <w:t xml:space="preserve"> </w:t>
      </w:r>
      <w:hyperlink r:id="rId1" w:history="1">
        <w:r w:rsidRPr="00837EFE">
          <w:rPr>
            <w:rStyle w:val="Hyperlink"/>
          </w:rPr>
          <w:t>https://hub.datanorthyorkshire.org/dataset/2cb529f6-4715-4c2d-9364-a770deb03472/resource/f373bd8f-1ac5-4150-9411-4a2ebf28bdd4/download/north-yorkshire-nepalese-and-gurkha-health-needs-assessment.pdf</w:t>
        </w:r>
      </w:hyperlink>
      <w:r>
        <w:t xml:space="preserve"> </w:t>
      </w:r>
    </w:p>
  </w:footnote>
  <w:footnote w:id="6">
    <w:p w14:paraId="16056AB2" w14:textId="77777777" w:rsidR="008D0C8C" w:rsidRDefault="008D0C8C" w:rsidP="008D0C8C">
      <w:pPr>
        <w:pStyle w:val="FootnoteText"/>
      </w:pPr>
      <w:r>
        <w:rPr>
          <w:rStyle w:val="FootnoteReference"/>
        </w:rPr>
        <w:footnoteRef/>
      </w:r>
      <w:r>
        <w:t xml:space="preserve"> </w:t>
      </w:r>
      <w:r w:rsidRPr="003D3A6F">
        <w:t>Greenwich NHS. Greenwich Joint Strategic Needs Assessment: An Update for 2012 of the Impact of Deprivation on Health and Well-Being in Greenwich. Greenwich: NHS; 2012.</w:t>
      </w:r>
    </w:p>
  </w:footnote>
  <w:footnote w:id="7">
    <w:p w14:paraId="68DAFF23" w14:textId="77777777" w:rsidR="008D0C8C" w:rsidRPr="00187867" w:rsidRDefault="008D0C8C" w:rsidP="008D0C8C">
      <w:pPr>
        <w:pStyle w:val="FootnoteText"/>
        <w:rPr>
          <w:b/>
          <w:bCs/>
        </w:rPr>
      </w:pPr>
      <w:r>
        <w:rPr>
          <w:rStyle w:val="FootnoteReference"/>
        </w:rPr>
        <w:footnoteRef/>
      </w:r>
      <w:r>
        <w:t xml:space="preserve"> Simkhada, B. et al (2020) </w:t>
      </w:r>
      <w:r w:rsidRPr="00187867">
        <w:t>Perceptions and Experiences of Health and Social Care Utilisation of the UK-Nepali Population</w:t>
      </w:r>
      <w:r>
        <w:rPr>
          <w:b/>
          <w:bCs/>
        </w:rPr>
        <w:t xml:space="preserve">; </w:t>
      </w:r>
      <w:r w:rsidRPr="00187867">
        <w:t>Journal of Immigrant and Minority Health</w:t>
      </w:r>
      <w:r>
        <w:rPr>
          <w:b/>
          <w:bCs/>
        </w:rPr>
        <w:t xml:space="preserve">  </w:t>
      </w:r>
      <w:hyperlink r:id="rId2" w:history="1">
        <w:r w:rsidRPr="00187867">
          <w:rPr>
            <w:rStyle w:val="Hyperlink"/>
          </w:rPr>
          <w:t>https://link.springer.com/article/10.1007/s10903-020-00976-w</w:t>
        </w:r>
      </w:hyperlink>
      <w:r w:rsidRPr="00187867">
        <w:t xml:space="preserve"> </w:t>
      </w:r>
    </w:p>
  </w:footnote>
  <w:footnote w:id="8">
    <w:p w14:paraId="347ABEB4" w14:textId="77777777" w:rsidR="008D0C8C" w:rsidRDefault="008D0C8C" w:rsidP="008D0C8C">
      <w:pPr>
        <w:pStyle w:val="FootnoteText"/>
      </w:pPr>
    </w:p>
  </w:footnote>
  <w:footnote w:id="9">
    <w:p w14:paraId="63F2C2D3" w14:textId="77777777" w:rsidR="008D0C8C" w:rsidRDefault="008D0C8C" w:rsidP="008D0C8C">
      <w:pPr>
        <w:pStyle w:val="FootnoteText"/>
      </w:pPr>
      <w:r>
        <w:rPr>
          <w:rStyle w:val="FootnoteReference"/>
        </w:rPr>
        <w:footnoteRef/>
      </w:r>
      <w:hyperlink r:id="rId3" w:history="1">
        <w:r w:rsidRPr="00CB31B7">
          <w:rPr>
            <w:rStyle w:val="Hyperlink"/>
          </w:rPr>
          <w:t>https://assets.publishing.service.gov.uk/government/uploads/system/uploads/attachment_data/file/28116/NepaliHealthNeedsAssessmentOct2010.pdf</w:t>
        </w:r>
      </w:hyperlink>
      <w:r>
        <w:t xml:space="preserve"> </w:t>
      </w:r>
    </w:p>
  </w:footnote>
  <w:footnote w:id="10">
    <w:p w14:paraId="732904C5" w14:textId="77777777" w:rsidR="008D0C8C" w:rsidRDefault="008D0C8C" w:rsidP="008D0C8C">
      <w:pPr>
        <w:pStyle w:val="FootnoteText"/>
      </w:pPr>
      <w:r>
        <w:rPr>
          <w:rStyle w:val="FootnoteReference"/>
        </w:rPr>
        <w:footnoteRef/>
      </w:r>
      <w:r>
        <w:t xml:space="preserve"> The Children’s Society (2017) </w:t>
      </w:r>
      <w:r w:rsidRPr="00E372D9">
        <w:rPr>
          <w:i/>
          <w:iCs/>
        </w:rPr>
        <w:t>Young Carers in Armed Forces Families</w:t>
      </w:r>
      <w:r>
        <w:t xml:space="preserve"> </w:t>
      </w:r>
      <w:hyperlink r:id="rId4" w:history="1">
        <w:r w:rsidRPr="0097540B">
          <w:rPr>
            <w:rStyle w:val="Hyperlink"/>
          </w:rPr>
          <w:t>https://www.childrenssociety.org.uk/sites/default/files/2020-10/young-carers-armed-forces-families.pdf</w:t>
        </w:r>
      </w:hyperlink>
      <w:r>
        <w:t xml:space="preserve"> </w:t>
      </w:r>
    </w:p>
  </w:footnote>
  <w:footnote w:id="11">
    <w:p w14:paraId="07A8FDE5" w14:textId="77777777" w:rsidR="008D0C8C" w:rsidRDefault="008D0C8C" w:rsidP="008D0C8C">
      <w:pPr>
        <w:pStyle w:val="FootnoteText"/>
      </w:pPr>
      <w:r>
        <w:rPr>
          <w:rStyle w:val="FootnoteReference"/>
        </w:rPr>
        <w:footnoteRef/>
      </w:r>
      <w:r>
        <w:t xml:space="preserve"> </w:t>
      </w:r>
      <w:hyperlink r:id="rId5" w:history="1">
        <w:r w:rsidRPr="00837EFE">
          <w:rPr>
            <w:rStyle w:val="Hyperlink"/>
          </w:rPr>
          <w:t>https://disability-studies.leeds.ac.uk/wp-content/uploads/sites/40/library/stone-chapter-13.pdf</w:t>
        </w:r>
      </w:hyperlink>
      <w:r>
        <w:t xml:space="preserve"> </w:t>
      </w:r>
    </w:p>
  </w:footnote>
  <w:footnote w:id="12">
    <w:p w14:paraId="7920E546" w14:textId="77777777" w:rsidR="008D0C8C" w:rsidRPr="00E372D9" w:rsidRDefault="008D0C8C" w:rsidP="008D0C8C">
      <w:pPr>
        <w:pStyle w:val="FootnoteText"/>
        <w:rPr>
          <w:i/>
          <w:iCs/>
        </w:rPr>
      </w:pPr>
      <w:r>
        <w:rPr>
          <w:rStyle w:val="FootnoteReference"/>
        </w:rPr>
        <w:footnoteRef/>
      </w:r>
      <w:r>
        <w:t xml:space="preserve"> Human Rights Watch (2011)</w:t>
      </w:r>
      <w:r>
        <w:rPr>
          <w:rFonts w:ascii="Helvetica" w:eastAsia="Times New Roman" w:hAnsi="Helvetica" w:cs="Helvetica"/>
          <w:b/>
          <w:bCs/>
          <w:kern w:val="36"/>
          <w:sz w:val="48"/>
          <w:szCs w:val="48"/>
          <w:bdr w:val="single" w:sz="2" w:space="0" w:color="auto" w:frame="1"/>
        </w:rPr>
        <w:t xml:space="preserve"> </w:t>
      </w:r>
      <w:r w:rsidRPr="00E372D9">
        <w:rPr>
          <w:i/>
          <w:iCs/>
        </w:rPr>
        <w:t>Futures Stolen</w:t>
      </w:r>
    </w:p>
    <w:p w14:paraId="7E089946" w14:textId="77777777" w:rsidR="008D0C8C" w:rsidRPr="00E372D9" w:rsidRDefault="008D0C8C" w:rsidP="008D0C8C">
      <w:pPr>
        <w:pStyle w:val="FootnoteText"/>
        <w:rPr>
          <w:i/>
          <w:iCs/>
        </w:rPr>
      </w:pPr>
      <w:r w:rsidRPr="00E372D9">
        <w:rPr>
          <w:i/>
          <w:iCs/>
        </w:rPr>
        <w:t>Barriers to Education for Children with Disabilities in Nepal</w:t>
      </w:r>
    </w:p>
    <w:p w14:paraId="2AED1388" w14:textId="77777777" w:rsidR="008D0C8C" w:rsidRDefault="008D0C8C" w:rsidP="008D0C8C">
      <w:pPr>
        <w:pStyle w:val="FootnoteText"/>
      </w:pPr>
      <w:r>
        <w:t xml:space="preserve"> </w:t>
      </w:r>
      <w:hyperlink r:id="rId6" w:history="1">
        <w:r w:rsidRPr="00837EFE">
          <w:rPr>
            <w:rStyle w:val="Hyperlink"/>
          </w:rPr>
          <w:t>https://www.hrw.org/report/2011/08/24/futures-stolen/barriers-education-children-disabilities-nepal</w:t>
        </w:r>
      </w:hyperlink>
      <w:r>
        <w:t xml:space="preserve"> </w:t>
      </w:r>
    </w:p>
  </w:footnote>
  <w:footnote w:id="13">
    <w:p w14:paraId="6413210B" w14:textId="77777777" w:rsidR="008D0C8C" w:rsidRDefault="008D0C8C" w:rsidP="008D0C8C">
      <w:pPr>
        <w:pStyle w:val="FootnoteText"/>
      </w:pPr>
      <w:r>
        <w:rPr>
          <w:rStyle w:val="FootnoteReference"/>
        </w:rPr>
        <w:footnoteRef/>
      </w:r>
      <w:r>
        <w:t xml:space="preserve"> </w:t>
      </w:r>
      <w:hyperlink r:id="rId7" w:history="1">
        <w:r w:rsidRPr="00837EFE">
          <w:rPr>
            <w:rStyle w:val="Hyperlink"/>
          </w:rPr>
          <w:t>https://www.hrw.org/news/2018/09/13/nepal-barriers-inclusive-education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3B5"/>
    <w:multiLevelType w:val="multilevel"/>
    <w:tmpl w:val="8970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26E29"/>
    <w:multiLevelType w:val="hybridMultilevel"/>
    <w:tmpl w:val="D04220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ED21D76"/>
    <w:multiLevelType w:val="multilevel"/>
    <w:tmpl w:val="5696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65F4D"/>
    <w:multiLevelType w:val="hybridMultilevel"/>
    <w:tmpl w:val="8C60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B3EDA"/>
    <w:multiLevelType w:val="hybridMultilevel"/>
    <w:tmpl w:val="F51A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C26B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2952260"/>
    <w:multiLevelType w:val="hybridMultilevel"/>
    <w:tmpl w:val="F81E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956BB"/>
    <w:multiLevelType w:val="hybridMultilevel"/>
    <w:tmpl w:val="2E5A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D0C66"/>
    <w:multiLevelType w:val="multilevel"/>
    <w:tmpl w:val="8CB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A5B25"/>
    <w:multiLevelType w:val="hybridMultilevel"/>
    <w:tmpl w:val="CC2C6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6CA1B68"/>
    <w:multiLevelType w:val="hybridMultilevel"/>
    <w:tmpl w:val="AE62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C6C87"/>
    <w:multiLevelType w:val="hybridMultilevel"/>
    <w:tmpl w:val="FC48F8EE"/>
    <w:lvl w:ilvl="0" w:tplc="93F8F50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6C7332"/>
    <w:multiLevelType w:val="hybridMultilevel"/>
    <w:tmpl w:val="0BFA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95201"/>
    <w:multiLevelType w:val="hybridMultilevel"/>
    <w:tmpl w:val="4548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10"/>
  </w:num>
  <w:num w:numId="8">
    <w:abstractNumId w:val="13"/>
  </w:num>
  <w:num w:numId="9">
    <w:abstractNumId w:val="0"/>
  </w:num>
  <w:num w:numId="10">
    <w:abstractNumId w:val="6"/>
  </w:num>
  <w:num w:numId="11">
    <w:abstractNumId w:val="11"/>
  </w:num>
  <w:num w:numId="12">
    <w:abstractNumId w:val="8"/>
  </w:num>
  <w:num w:numId="13">
    <w:abstractNumId w:val="3"/>
  </w:num>
  <w:num w:numId="14">
    <w:abstractNumId w:val="2"/>
  </w:num>
  <w:num w:numId="15">
    <w:abstractNumId w:val="5"/>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7340"/>
    <w:rsid w:val="00001AB3"/>
    <w:rsid w:val="00017DDE"/>
    <w:rsid w:val="00021A80"/>
    <w:rsid w:val="00033B54"/>
    <w:rsid w:val="0004540E"/>
    <w:rsid w:val="00047DCA"/>
    <w:rsid w:val="00061AFB"/>
    <w:rsid w:val="00065257"/>
    <w:rsid w:val="00086D0D"/>
    <w:rsid w:val="000D3E21"/>
    <w:rsid w:val="000F1537"/>
    <w:rsid w:val="00103698"/>
    <w:rsid w:val="001659FA"/>
    <w:rsid w:val="0018716B"/>
    <w:rsid w:val="001A0B13"/>
    <w:rsid w:val="001A5ABE"/>
    <w:rsid w:val="001D1C09"/>
    <w:rsid w:val="001D63B5"/>
    <w:rsid w:val="001F3FAA"/>
    <w:rsid w:val="00205561"/>
    <w:rsid w:val="002546F3"/>
    <w:rsid w:val="002642A7"/>
    <w:rsid w:val="00267D0A"/>
    <w:rsid w:val="00283CC3"/>
    <w:rsid w:val="00285903"/>
    <w:rsid w:val="00287261"/>
    <w:rsid w:val="002B145F"/>
    <w:rsid w:val="002D3CC7"/>
    <w:rsid w:val="00302727"/>
    <w:rsid w:val="00305B8A"/>
    <w:rsid w:val="00344F4E"/>
    <w:rsid w:val="00387544"/>
    <w:rsid w:val="003B50CC"/>
    <w:rsid w:val="003C347B"/>
    <w:rsid w:val="003D668E"/>
    <w:rsid w:val="00401EC3"/>
    <w:rsid w:val="00404127"/>
    <w:rsid w:val="00436525"/>
    <w:rsid w:val="00447BE1"/>
    <w:rsid w:val="00447F46"/>
    <w:rsid w:val="004837FE"/>
    <w:rsid w:val="00486699"/>
    <w:rsid w:val="004939D8"/>
    <w:rsid w:val="004A343C"/>
    <w:rsid w:val="004C3410"/>
    <w:rsid w:val="004C7DFA"/>
    <w:rsid w:val="004D47D6"/>
    <w:rsid w:val="004E7CFF"/>
    <w:rsid w:val="00500CE7"/>
    <w:rsid w:val="0050710E"/>
    <w:rsid w:val="005210CB"/>
    <w:rsid w:val="00533C4C"/>
    <w:rsid w:val="005433A7"/>
    <w:rsid w:val="00547A77"/>
    <w:rsid w:val="00554A21"/>
    <w:rsid w:val="00557DBD"/>
    <w:rsid w:val="005C1FE4"/>
    <w:rsid w:val="005C2910"/>
    <w:rsid w:val="005D1F7A"/>
    <w:rsid w:val="00607340"/>
    <w:rsid w:val="00621356"/>
    <w:rsid w:val="00650037"/>
    <w:rsid w:val="0066579C"/>
    <w:rsid w:val="00692C96"/>
    <w:rsid w:val="006A04B9"/>
    <w:rsid w:val="006A60B6"/>
    <w:rsid w:val="006E5018"/>
    <w:rsid w:val="00700B8C"/>
    <w:rsid w:val="00700E05"/>
    <w:rsid w:val="00715EA0"/>
    <w:rsid w:val="007260E6"/>
    <w:rsid w:val="00727490"/>
    <w:rsid w:val="00796300"/>
    <w:rsid w:val="007A6B99"/>
    <w:rsid w:val="007C68C3"/>
    <w:rsid w:val="008010D1"/>
    <w:rsid w:val="00803A49"/>
    <w:rsid w:val="00813411"/>
    <w:rsid w:val="00822A8B"/>
    <w:rsid w:val="00837100"/>
    <w:rsid w:val="00847C21"/>
    <w:rsid w:val="00866539"/>
    <w:rsid w:val="008755E6"/>
    <w:rsid w:val="00882A3D"/>
    <w:rsid w:val="008A0F79"/>
    <w:rsid w:val="008A418D"/>
    <w:rsid w:val="008D0C8C"/>
    <w:rsid w:val="008D6B11"/>
    <w:rsid w:val="008E15E3"/>
    <w:rsid w:val="008E66B3"/>
    <w:rsid w:val="008F14BD"/>
    <w:rsid w:val="008F3272"/>
    <w:rsid w:val="009043C3"/>
    <w:rsid w:val="0090554A"/>
    <w:rsid w:val="009110BA"/>
    <w:rsid w:val="00915DC0"/>
    <w:rsid w:val="00936D2B"/>
    <w:rsid w:val="0094791C"/>
    <w:rsid w:val="00956E1A"/>
    <w:rsid w:val="00990DAC"/>
    <w:rsid w:val="009A012F"/>
    <w:rsid w:val="009B6535"/>
    <w:rsid w:val="009D4927"/>
    <w:rsid w:val="009D4AB0"/>
    <w:rsid w:val="009E22A7"/>
    <w:rsid w:val="009E2DED"/>
    <w:rsid w:val="009E6E08"/>
    <w:rsid w:val="009E6EFF"/>
    <w:rsid w:val="00A05D3D"/>
    <w:rsid w:val="00A0754E"/>
    <w:rsid w:val="00A315C3"/>
    <w:rsid w:val="00A34C2C"/>
    <w:rsid w:val="00A40324"/>
    <w:rsid w:val="00A57BA9"/>
    <w:rsid w:val="00A72405"/>
    <w:rsid w:val="00A741D4"/>
    <w:rsid w:val="00A918AD"/>
    <w:rsid w:val="00AB2248"/>
    <w:rsid w:val="00AB6B07"/>
    <w:rsid w:val="00AC195E"/>
    <w:rsid w:val="00AD0A47"/>
    <w:rsid w:val="00AE2702"/>
    <w:rsid w:val="00AE3DF1"/>
    <w:rsid w:val="00AE684F"/>
    <w:rsid w:val="00B17619"/>
    <w:rsid w:val="00B27DEB"/>
    <w:rsid w:val="00B51B2D"/>
    <w:rsid w:val="00B85671"/>
    <w:rsid w:val="00B94300"/>
    <w:rsid w:val="00BA09A3"/>
    <w:rsid w:val="00BD7D60"/>
    <w:rsid w:val="00BF0575"/>
    <w:rsid w:val="00C25F86"/>
    <w:rsid w:val="00C331E1"/>
    <w:rsid w:val="00C417C3"/>
    <w:rsid w:val="00C5312A"/>
    <w:rsid w:val="00C61873"/>
    <w:rsid w:val="00C76120"/>
    <w:rsid w:val="00C911A0"/>
    <w:rsid w:val="00CB23DF"/>
    <w:rsid w:val="00CB267F"/>
    <w:rsid w:val="00CD7BA1"/>
    <w:rsid w:val="00CE57B9"/>
    <w:rsid w:val="00D209A2"/>
    <w:rsid w:val="00D27506"/>
    <w:rsid w:val="00D30368"/>
    <w:rsid w:val="00D37CBF"/>
    <w:rsid w:val="00D54691"/>
    <w:rsid w:val="00D66E71"/>
    <w:rsid w:val="00D67B30"/>
    <w:rsid w:val="00D73D33"/>
    <w:rsid w:val="00D742DD"/>
    <w:rsid w:val="00D772C3"/>
    <w:rsid w:val="00D86E16"/>
    <w:rsid w:val="00DA5A1A"/>
    <w:rsid w:val="00DC058F"/>
    <w:rsid w:val="00DD4EDC"/>
    <w:rsid w:val="00E23036"/>
    <w:rsid w:val="00E306CA"/>
    <w:rsid w:val="00E35F7C"/>
    <w:rsid w:val="00E401CE"/>
    <w:rsid w:val="00E4218B"/>
    <w:rsid w:val="00E45038"/>
    <w:rsid w:val="00E613D7"/>
    <w:rsid w:val="00E7074B"/>
    <w:rsid w:val="00E83E88"/>
    <w:rsid w:val="00E87DBF"/>
    <w:rsid w:val="00EB088A"/>
    <w:rsid w:val="00EC1F36"/>
    <w:rsid w:val="00EE32DD"/>
    <w:rsid w:val="00EE67B8"/>
    <w:rsid w:val="00EF3DD0"/>
    <w:rsid w:val="00F2326E"/>
    <w:rsid w:val="00F32AB3"/>
    <w:rsid w:val="00F344E8"/>
    <w:rsid w:val="00F47CBA"/>
    <w:rsid w:val="00F50AB6"/>
    <w:rsid w:val="00F65430"/>
    <w:rsid w:val="00F86DC5"/>
    <w:rsid w:val="00F95D16"/>
    <w:rsid w:val="00F971C0"/>
    <w:rsid w:val="00FA2F35"/>
    <w:rsid w:val="00FB728D"/>
    <w:rsid w:val="00FF1199"/>
    <w:rsid w:val="00FF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24FA56"/>
  <w15:docId w15:val="{C8909439-DFA6-4F97-B403-D1EA0E6E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CE7"/>
    <w:pPr>
      <w:spacing w:before="120" w:after="120"/>
    </w:pPr>
    <w:rPr>
      <w:rFonts w:cs="Arial"/>
      <w:sz w:val="24"/>
      <w:szCs w:val="24"/>
    </w:rPr>
  </w:style>
  <w:style w:type="paragraph" w:styleId="Heading1">
    <w:name w:val="heading 1"/>
    <w:basedOn w:val="Normal"/>
    <w:next w:val="Normal"/>
    <w:link w:val="Heading1Char"/>
    <w:uiPriority w:val="9"/>
    <w:qFormat/>
    <w:rsid w:val="00500CE7"/>
    <w:pPr>
      <w:keepNext/>
      <w:keepLines/>
      <w:numPr>
        <w:numId w:val="1"/>
      </w:numPr>
      <w:spacing w:before="360" w:after="24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033B54"/>
    <w:pPr>
      <w:keepNext/>
      <w:keepLines/>
      <w:numPr>
        <w:ilvl w:val="1"/>
        <w:numId w:val="1"/>
      </w:numPr>
      <w:spacing w:before="200"/>
      <w:outlineLvl w:val="1"/>
    </w:pPr>
    <w:rPr>
      <w:rFonts w:eastAsiaTheme="majorEastAsia"/>
      <w:b/>
      <w:bCs/>
      <w:color w:val="2D7C82"/>
      <w:sz w:val="28"/>
      <w:szCs w:val="28"/>
    </w:rPr>
  </w:style>
  <w:style w:type="paragraph" w:styleId="Heading3">
    <w:name w:val="heading 3"/>
    <w:basedOn w:val="Normal"/>
    <w:next w:val="Normal"/>
    <w:link w:val="Heading3Char"/>
    <w:uiPriority w:val="9"/>
    <w:unhideWhenUsed/>
    <w:qFormat/>
    <w:rsid w:val="003C347B"/>
    <w:pPr>
      <w:numPr>
        <w:ilvl w:val="2"/>
        <w:numId w:val="1"/>
      </w:numPr>
      <w:outlineLvl w:val="2"/>
    </w:pPr>
    <w:rPr>
      <w:b/>
    </w:rPr>
  </w:style>
  <w:style w:type="paragraph" w:styleId="Heading4">
    <w:name w:val="heading 4"/>
    <w:basedOn w:val="Normal"/>
    <w:next w:val="Normal"/>
    <w:link w:val="Heading4Char"/>
    <w:uiPriority w:val="9"/>
    <w:semiHidden/>
    <w:unhideWhenUsed/>
    <w:rsid w:val="00EF3DD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3D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3D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3D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3D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3D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CE7"/>
    <w:rPr>
      <w:rFonts w:eastAsiaTheme="majorEastAsia" w:cs="Arial"/>
      <w:b/>
      <w:bCs/>
      <w:sz w:val="32"/>
      <w:szCs w:val="32"/>
    </w:rPr>
  </w:style>
  <w:style w:type="paragraph" w:styleId="BalloonText">
    <w:name w:val="Balloon Text"/>
    <w:basedOn w:val="Normal"/>
    <w:link w:val="BalloonTextChar"/>
    <w:uiPriority w:val="99"/>
    <w:semiHidden/>
    <w:unhideWhenUsed/>
    <w:rsid w:val="00956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1A"/>
    <w:rPr>
      <w:rFonts w:ascii="Tahoma" w:hAnsi="Tahoma" w:cs="Tahoma"/>
      <w:sz w:val="16"/>
      <w:szCs w:val="16"/>
    </w:rPr>
  </w:style>
  <w:style w:type="character" w:customStyle="1" w:styleId="Heading2Char">
    <w:name w:val="Heading 2 Char"/>
    <w:basedOn w:val="DefaultParagraphFont"/>
    <w:link w:val="Heading2"/>
    <w:uiPriority w:val="9"/>
    <w:rsid w:val="00033B54"/>
    <w:rPr>
      <w:rFonts w:eastAsiaTheme="majorEastAsia" w:cs="Arial"/>
      <w:b/>
      <w:bCs/>
      <w:color w:val="2D7C82"/>
      <w:sz w:val="28"/>
      <w:szCs w:val="28"/>
    </w:rPr>
  </w:style>
  <w:style w:type="paragraph" w:styleId="TOCHeading">
    <w:name w:val="TOC Heading"/>
    <w:basedOn w:val="Heading1"/>
    <w:next w:val="Normal"/>
    <w:uiPriority w:val="39"/>
    <w:unhideWhenUsed/>
    <w:qFormat/>
    <w:rsid w:val="00F2326E"/>
    <w:pPr>
      <w:spacing w:before="480" w:after="0"/>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302727"/>
    <w:pPr>
      <w:spacing w:before="360" w:after="240"/>
    </w:pPr>
    <w:rPr>
      <w:b/>
      <w:sz w:val="32"/>
    </w:rPr>
  </w:style>
  <w:style w:type="paragraph" w:styleId="TOC2">
    <w:name w:val="toc 2"/>
    <w:basedOn w:val="Normal"/>
    <w:next w:val="Normal"/>
    <w:autoRedefine/>
    <w:uiPriority w:val="39"/>
    <w:unhideWhenUsed/>
    <w:rsid w:val="00302727"/>
    <w:pPr>
      <w:spacing w:after="100"/>
      <w:ind w:left="240"/>
    </w:pPr>
  </w:style>
  <w:style w:type="character" w:styleId="Hyperlink">
    <w:name w:val="Hyperlink"/>
    <w:basedOn w:val="DefaultParagraphFont"/>
    <w:uiPriority w:val="99"/>
    <w:unhideWhenUsed/>
    <w:rsid w:val="00F2326E"/>
    <w:rPr>
      <w:color w:val="0000FF" w:themeColor="hyperlink"/>
      <w:u w:val="single"/>
    </w:rPr>
  </w:style>
  <w:style w:type="paragraph" w:styleId="Header">
    <w:name w:val="header"/>
    <w:basedOn w:val="Normal"/>
    <w:link w:val="HeaderChar"/>
    <w:uiPriority w:val="99"/>
    <w:unhideWhenUsed/>
    <w:rsid w:val="00CE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7B9"/>
    <w:rPr>
      <w:rFonts w:ascii="Arial" w:hAnsi="Arial" w:cs="Arial"/>
      <w:sz w:val="24"/>
      <w:szCs w:val="24"/>
    </w:rPr>
  </w:style>
  <w:style w:type="paragraph" w:styleId="Footer">
    <w:name w:val="footer"/>
    <w:basedOn w:val="Normal"/>
    <w:link w:val="FooterChar"/>
    <w:uiPriority w:val="99"/>
    <w:unhideWhenUsed/>
    <w:rsid w:val="00CE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7B9"/>
    <w:rPr>
      <w:rFonts w:ascii="Arial" w:hAnsi="Arial" w:cs="Arial"/>
      <w:sz w:val="24"/>
      <w:szCs w:val="24"/>
    </w:rPr>
  </w:style>
  <w:style w:type="paragraph" w:styleId="TOC3">
    <w:name w:val="toc 3"/>
    <w:basedOn w:val="Normal"/>
    <w:next w:val="Normal"/>
    <w:autoRedefine/>
    <w:uiPriority w:val="39"/>
    <w:unhideWhenUsed/>
    <w:rsid w:val="00061AFB"/>
    <w:pPr>
      <w:spacing w:after="100"/>
      <w:ind w:left="440"/>
    </w:pPr>
    <w:rPr>
      <w:rFonts w:cstheme="minorBidi"/>
      <w:sz w:val="22"/>
      <w:szCs w:val="22"/>
      <w:lang w:val="en-US" w:eastAsia="ja-JP"/>
    </w:rPr>
  </w:style>
  <w:style w:type="character" w:customStyle="1" w:styleId="Heading3Char">
    <w:name w:val="Heading 3 Char"/>
    <w:basedOn w:val="DefaultParagraphFont"/>
    <w:link w:val="Heading3"/>
    <w:uiPriority w:val="9"/>
    <w:rsid w:val="003C347B"/>
    <w:rPr>
      <w:rFonts w:cs="Arial"/>
      <w:b/>
      <w:sz w:val="24"/>
      <w:szCs w:val="24"/>
    </w:rPr>
  </w:style>
  <w:style w:type="table" w:styleId="TableGrid">
    <w:name w:val="Table Grid"/>
    <w:basedOn w:val="TableNormal"/>
    <w:uiPriority w:val="39"/>
    <w:rsid w:val="008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PHO2ndattempt">
    <w:name w:val="KPHO 2nd attempt"/>
    <w:basedOn w:val="TableNormal"/>
    <w:uiPriority w:val="99"/>
    <w:rsid w:val="00866539"/>
    <w:pPr>
      <w:spacing w:before="120" w:after="120" w:line="240" w:lineRule="auto"/>
    </w:pPr>
    <w:rPr>
      <w:rFonts w:ascii="Arial" w:hAnsi="Arial"/>
      <w:sz w:val="24"/>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FFFFFF" w:themeColor="background1"/>
        <w:insideV w:val="single" w:sz="12" w:space="0" w:color="FFFFFF" w:themeColor="background1"/>
      </w:tblBorders>
    </w:tblPr>
    <w:tblStylePr w:type="firstRow">
      <w:rPr>
        <w:b/>
      </w:rPr>
      <w:tblPr/>
      <w:tcPr>
        <w:tcBorders>
          <w:top w:val="single" w:sz="8" w:space="0" w:color="D9D9D9" w:themeColor="background1" w:themeShade="D9"/>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tblStylePr w:type="lastRow">
      <w:tblPr/>
      <w:tcPr>
        <w:tcBorders>
          <w:top w:val="nil"/>
          <w:left w:val="single" w:sz="12" w:space="0" w:color="D9D9D9" w:themeColor="background1" w:themeShade="D9"/>
          <w:bottom w:val="single" w:sz="12" w:space="0" w:color="D9D9D9" w:themeColor="background1" w:themeShade="D9"/>
          <w:right w:val="single" w:sz="12" w:space="0" w:color="D9D9D9" w:themeColor="background1" w:themeShade="D9"/>
          <w:insideH w:val="nil"/>
          <w:insideV w:val="single" w:sz="12" w:space="0" w:color="FFFFFF" w:themeColor="background1"/>
          <w:tl2br w:val="nil"/>
          <w:tr2bl w:val="nil"/>
        </w:tcBorders>
      </w:tcPr>
    </w:tblStylePr>
    <w:tblStylePr w:type="band1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tcPr>
    </w:tblStylePr>
    <w:tblStylePr w:type="band2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style>
  <w:style w:type="table" w:styleId="MediumShading1">
    <w:name w:val="Medium Shading 1"/>
    <w:basedOn w:val="TableNormal"/>
    <w:uiPriority w:val="63"/>
    <w:rsid w:val="007A6B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F3F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F3FAA"/>
    <w:rPr>
      <w:rFonts w:ascii="Arial" w:hAnsi="Arial" w:cs="Arial"/>
      <w:sz w:val="20"/>
      <w:szCs w:val="20"/>
    </w:rPr>
  </w:style>
  <w:style w:type="character" w:styleId="FootnoteReference">
    <w:name w:val="footnote reference"/>
    <w:basedOn w:val="DefaultParagraphFont"/>
    <w:uiPriority w:val="99"/>
    <w:unhideWhenUsed/>
    <w:rsid w:val="001F3FAA"/>
    <w:rPr>
      <w:vertAlign w:val="superscript"/>
    </w:rPr>
  </w:style>
  <w:style w:type="character" w:customStyle="1" w:styleId="Heading4Char">
    <w:name w:val="Heading 4 Char"/>
    <w:basedOn w:val="DefaultParagraphFont"/>
    <w:link w:val="Heading4"/>
    <w:uiPriority w:val="9"/>
    <w:semiHidden/>
    <w:rsid w:val="00EF3DD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F3DD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F3DD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EF3DD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EF3D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F3DD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D3CC7"/>
    <w:pPr>
      <w:ind w:left="720"/>
      <w:contextualSpacing/>
    </w:pPr>
  </w:style>
  <w:style w:type="character" w:styleId="FollowedHyperlink">
    <w:name w:val="FollowedHyperlink"/>
    <w:basedOn w:val="DefaultParagraphFont"/>
    <w:uiPriority w:val="99"/>
    <w:semiHidden/>
    <w:unhideWhenUsed/>
    <w:rsid w:val="00AD0A47"/>
    <w:rPr>
      <w:color w:val="800080" w:themeColor="followedHyperlink"/>
      <w:u w:val="single"/>
    </w:rPr>
  </w:style>
  <w:style w:type="character" w:customStyle="1" w:styleId="titleauthoretc">
    <w:name w:val="titleauthoretc"/>
    <w:basedOn w:val="DefaultParagraphFont"/>
    <w:rsid w:val="0090554A"/>
  </w:style>
  <w:style w:type="character" w:styleId="Strong">
    <w:name w:val="Strong"/>
    <w:basedOn w:val="DefaultParagraphFont"/>
    <w:uiPriority w:val="22"/>
    <w:qFormat/>
    <w:rsid w:val="0090554A"/>
    <w:rPr>
      <w:b/>
      <w:bCs/>
    </w:rPr>
  </w:style>
  <w:style w:type="paragraph" w:styleId="NoSpacing">
    <w:name w:val="No Spacing"/>
    <w:uiPriority w:val="1"/>
    <w:qFormat/>
    <w:rsid w:val="00021A80"/>
    <w:pPr>
      <w:spacing w:after="0" w:line="240" w:lineRule="auto"/>
    </w:pPr>
    <w:rPr>
      <w:rFonts w:cs="Arial"/>
      <w:sz w:val="24"/>
      <w:szCs w:val="24"/>
    </w:rPr>
  </w:style>
  <w:style w:type="character" w:styleId="UnresolvedMention">
    <w:name w:val="Unresolved Mention"/>
    <w:basedOn w:val="DefaultParagraphFont"/>
    <w:uiPriority w:val="99"/>
    <w:semiHidden/>
    <w:unhideWhenUsed/>
    <w:rsid w:val="009E6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612">
      <w:bodyDiv w:val="1"/>
      <w:marLeft w:val="0"/>
      <w:marRight w:val="0"/>
      <w:marTop w:val="0"/>
      <w:marBottom w:val="0"/>
      <w:divBdr>
        <w:top w:val="none" w:sz="0" w:space="0" w:color="auto"/>
        <w:left w:val="none" w:sz="0" w:space="0" w:color="auto"/>
        <w:bottom w:val="none" w:sz="0" w:space="0" w:color="auto"/>
        <w:right w:val="none" w:sz="0" w:space="0" w:color="auto"/>
      </w:divBdr>
    </w:div>
    <w:div w:id="935820137">
      <w:bodyDiv w:val="1"/>
      <w:marLeft w:val="0"/>
      <w:marRight w:val="0"/>
      <w:marTop w:val="0"/>
      <w:marBottom w:val="0"/>
      <w:divBdr>
        <w:top w:val="none" w:sz="0" w:space="0" w:color="auto"/>
        <w:left w:val="none" w:sz="0" w:space="0" w:color="auto"/>
        <w:bottom w:val="none" w:sz="0" w:space="0" w:color="auto"/>
        <w:right w:val="none" w:sz="0" w:space="0" w:color="auto"/>
      </w:divBdr>
    </w:div>
    <w:div w:id="11874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hrw.org/report/2011/08/24/futures-stolen/barriers-education-children-disabilities-nepa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pho.org.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28116/NepaliHealthNeedsAssessmentOct2010.pdf" TargetMode="External"/><Relationship Id="rId7" Type="http://schemas.openxmlformats.org/officeDocument/2006/relationships/hyperlink" Target="https://www.hrw.org/news/2018/09/13/nepal-barriers-inclusive-education" TargetMode="External"/><Relationship Id="rId2" Type="http://schemas.openxmlformats.org/officeDocument/2006/relationships/hyperlink" Target="https://link.springer.com/article/10.1007/s10903-020-00976-w" TargetMode="External"/><Relationship Id="rId1" Type="http://schemas.openxmlformats.org/officeDocument/2006/relationships/hyperlink" Target="https://hub.datanorthyorkshire.org/dataset/2cb529f6-4715-4c2d-9364-a770deb03472/resource/f373bd8f-1ac5-4150-9411-4a2ebf28bdd4/download/north-yorkshire-nepalese-and-gurkha-health-needs-assessment.pdf" TargetMode="External"/><Relationship Id="rId6" Type="http://schemas.openxmlformats.org/officeDocument/2006/relationships/hyperlink" Target="https://www.hrw.org/report/2011/08/24/futures-stolen/barriers-education-children-disabilities-nepal" TargetMode="External"/><Relationship Id="rId5" Type="http://schemas.openxmlformats.org/officeDocument/2006/relationships/hyperlink" Target="https://disability-studies.leeds.ac.uk/wp-content/uploads/sites/40/library/stone-chapter-13.pdf" TargetMode="External"/><Relationship Id="rId4" Type="http://schemas.openxmlformats.org/officeDocument/2006/relationships/hyperlink" Target="https://www.childrenssociety.org.uk/sites/default/files/2020-10/young-carers-armed-forces-famil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F1F3"/>
        </a:solidFill>
        <a:ln>
          <a:solidFill>
            <a:srgbClr val="2D7C82"/>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2D7C82"/>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5742-552B-4B88-81E4-8774E912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1641</Words>
  <Characters>9359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Bourne, Tom - AH PH</dc:creator>
  <cp:lastModifiedBy>Matthew Pateman - ST SC</cp:lastModifiedBy>
  <cp:revision>2</cp:revision>
  <cp:lastPrinted>2020-01-29T16:22:00Z</cp:lastPrinted>
  <dcterms:created xsi:type="dcterms:W3CDTF">2021-09-03T15:01:00Z</dcterms:created>
  <dcterms:modified xsi:type="dcterms:W3CDTF">2021-09-03T15:01:00Z</dcterms:modified>
</cp:coreProperties>
</file>