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57E45" w14:textId="77777777" w:rsidR="00956E1A" w:rsidRDefault="00447BE1" w:rsidP="00B85671">
      <w:r>
        <w:rPr>
          <w:noProof/>
        </w:rPr>
        <w:drawing>
          <wp:anchor distT="0" distB="0" distL="114300" distR="114300" simplePos="0" relativeHeight="251658240" behindDoc="1" locked="0" layoutInCell="1" allowOverlap="1" wp14:anchorId="5472C6E0" wp14:editId="5244710A">
            <wp:simplePos x="0" y="0"/>
            <wp:positionH relativeFrom="column">
              <wp:posOffset>-22860</wp:posOffset>
            </wp:positionH>
            <wp:positionV relativeFrom="paragraph">
              <wp:posOffset>-55880</wp:posOffset>
            </wp:positionV>
            <wp:extent cx="6781800" cy="3078480"/>
            <wp:effectExtent l="0" t="0" r="0" b="762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mepage-banne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1800" cy="3078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6B17B87" wp14:editId="01DCBD4B">
            <wp:simplePos x="0" y="0"/>
            <wp:positionH relativeFrom="column">
              <wp:posOffset>411480</wp:posOffset>
            </wp:positionH>
            <wp:positionV relativeFrom="paragraph">
              <wp:posOffset>-152400</wp:posOffset>
            </wp:positionV>
            <wp:extent cx="2286000" cy="548640"/>
            <wp:effectExtent l="0" t="0" r="0" b="3810"/>
            <wp:wrapNone/>
            <wp:docPr id="4" name="Picture 4" descr="Kent Public Health Observatory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pho-logo-WHITE-0300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C569228" wp14:editId="7031CCF1">
            <wp:simplePos x="0" y="0"/>
            <wp:positionH relativeFrom="column">
              <wp:posOffset>83820</wp:posOffset>
            </wp:positionH>
            <wp:positionV relativeFrom="paragraph">
              <wp:posOffset>-350520</wp:posOffset>
            </wp:positionV>
            <wp:extent cx="6633845" cy="1264920"/>
            <wp:effectExtent l="0" t="0" r="0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l_polygon_top_transparent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33845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99E560" w14:textId="77777777" w:rsidR="00956E1A" w:rsidRDefault="00956E1A" w:rsidP="00B85671"/>
    <w:p w14:paraId="6E015236" w14:textId="77777777" w:rsidR="00956E1A" w:rsidRDefault="00956E1A" w:rsidP="00B85671"/>
    <w:p w14:paraId="43BBE69D" w14:textId="77777777" w:rsidR="00956E1A" w:rsidRDefault="00956E1A" w:rsidP="00B85671"/>
    <w:p w14:paraId="1A8AFEC3" w14:textId="77777777" w:rsidR="00956E1A" w:rsidRDefault="00956E1A" w:rsidP="00B85671"/>
    <w:p w14:paraId="615C3DA1" w14:textId="77777777" w:rsidR="00956E1A" w:rsidRDefault="00956E1A" w:rsidP="00B85671"/>
    <w:p w14:paraId="2AB52B92" w14:textId="77777777" w:rsidR="00956E1A" w:rsidRDefault="00956E1A" w:rsidP="00B85671"/>
    <w:p w14:paraId="035550F7" w14:textId="77777777" w:rsidR="00956E1A" w:rsidRDefault="00956E1A" w:rsidP="00B85671"/>
    <w:p w14:paraId="7B0FCDCC" w14:textId="77777777" w:rsidR="00956E1A" w:rsidRDefault="00956E1A" w:rsidP="00956E1A"/>
    <w:p w14:paraId="2857028D" w14:textId="77777777" w:rsidR="00EE67B8" w:rsidRDefault="00EE67B8" w:rsidP="00EE67B8">
      <w:pPr>
        <w:spacing w:after="0"/>
        <w:jc w:val="center"/>
        <w:rPr>
          <w:b/>
          <w:color w:val="2D7C82"/>
          <w:sz w:val="48"/>
          <w:szCs w:val="48"/>
        </w:rPr>
      </w:pPr>
    </w:p>
    <w:p w14:paraId="2D0993F2" w14:textId="77777777" w:rsidR="00692C96" w:rsidRDefault="00692C96" w:rsidP="00686B1D">
      <w:pPr>
        <w:pStyle w:val="Title"/>
        <w:rPr>
          <w:b w:val="0"/>
        </w:rPr>
      </w:pPr>
    </w:p>
    <w:p w14:paraId="42C00712" w14:textId="77777777" w:rsidR="00686B1D" w:rsidRDefault="00686B1D" w:rsidP="00686B1D">
      <w:pPr>
        <w:pStyle w:val="Title"/>
        <w:jc w:val="center"/>
      </w:pPr>
    </w:p>
    <w:p w14:paraId="16DDFA70" w14:textId="373D38FD" w:rsidR="00686B1D" w:rsidRPr="00686B1D" w:rsidRDefault="00686B1D" w:rsidP="00686B1D">
      <w:pPr>
        <w:pStyle w:val="Title"/>
        <w:jc w:val="center"/>
      </w:pPr>
      <w:r w:rsidRPr="00686B1D">
        <w:t>National Child Measurement Programme</w:t>
      </w:r>
    </w:p>
    <w:p w14:paraId="637D71A5" w14:textId="5CDD5116" w:rsidR="00F2326E" w:rsidRPr="00686B1D" w:rsidRDefault="00686B1D" w:rsidP="00686B1D">
      <w:pPr>
        <w:pStyle w:val="Title"/>
        <w:jc w:val="center"/>
        <w:rPr>
          <w:sz w:val="40"/>
        </w:rPr>
      </w:pPr>
      <w:r w:rsidRPr="00686B1D">
        <w:t>2022/23 Headline results</w:t>
      </w:r>
    </w:p>
    <w:p w14:paraId="5E7DB2C3" w14:textId="77777777" w:rsidR="00F2326E" w:rsidRDefault="00F2326E" w:rsidP="00956E1A">
      <w:pPr>
        <w:jc w:val="center"/>
        <w:rPr>
          <w:b/>
          <w:color w:val="2D7C82"/>
          <w:sz w:val="48"/>
          <w:szCs w:val="48"/>
        </w:rPr>
      </w:pPr>
    </w:p>
    <w:p w14:paraId="173FCB4B" w14:textId="77777777" w:rsidR="005433A7" w:rsidRDefault="005433A7" w:rsidP="00956E1A">
      <w:pPr>
        <w:jc w:val="center"/>
        <w:rPr>
          <w:b/>
          <w:color w:val="2D7C82"/>
          <w:sz w:val="48"/>
          <w:szCs w:val="48"/>
        </w:rPr>
      </w:pPr>
    </w:p>
    <w:p w14:paraId="65723697" w14:textId="77777777" w:rsidR="00100175" w:rsidRPr="004837FE" w:rsidRDefault="00100175" w:rsidP="00100175">
      <w:pPr>
        <w:jc w:val="center"/>
        <w:rPr>
          <w:b/>
          <w:color w:val="2D7C82"/>
          <w:sz w:val="40"/>
          <w:szCs w:val="48"/>
        </w:rPr>
      </w:pPr>
      <w:r>
        <w:rPr>
          <w:b/>
          <w:color w:val="2D7C82"/>
          <w:sz w:val="40"/>
          <w:szCs w:val="48"/>
        </w:rPr>
        <w:t>December 2023</w:t>
      </w:r>
    </w:p>
    <w:p w14:paraId="50A0D02B" w14:textId="77777777" w:rsidR="005433A7" w:rsidRDefault="001A5ABE" w:rsidP="005433A7">
      <w:pPr>
        <w:jc w:val="right"/>
        <w:rPr>
          <w:b/>
          <w:color w:val="2D7C82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1B396934" wp14:editId="0485A1DF">
            <wp:simplePos x="0" y="0"/>
            <wp:positionH relativeFrom="column">
              <wp:posOffset>3044190</wp:posOffset>
            </wp:positionH>
            <wp:positionV relativeFrom="paragraph">
              <wp:posOffset>226695</wp:posOffset>
            </wp:positionV>
            <wp:extent cx="647700" cy="731520"/>
            <wp:effectExtent l="0" t="0" r="0" b="0"/>
            <wp:wrapNone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le_apple_transpare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5EF28A" w14:textId="77777777" w:rsidR="00F2326E" w:rsidRDefault="00F2326E" w:rsidP="00F2326E"/>
    <w:p w14:paraId="098B67B6" w14:textId="77777777" w:rsidR="00AE684F" w:rsidRDefault="00AE684F" w:rsidP="00F2326E"/>
    <w:p w14:paraId="441660D9" w14:textId="77777777" w:rsidR="00F2326E" w:rsidRDefault="00F2326E" w:rsidP="00F2326E"/>
    <w:p w14:paraId="298E335C" w14:textId="77777777" w:rsidR="00CE57B9" w:rsidRDefault="00CE57B9">
      <w:r>
        <w:br w:type="page"/>
      </w:r>
    </w:p>
    <w:p w14:paraId="4F5511AF" w14:textId="77777777" w:rsidR="00B51B2D" w:rsidRDefault="00B51B2D" w:rsidP="00B51B2D">
      <w:pPr>
        <w:spacing w:after="0"/>
        <w:sectPr w:rsidR="00B51B2D" w:rsidSect="00AC195E">
          <w:footerReference w:type="default" r:id="rId13"/>
          <w:pgSz w:w="11906" w:h="16838"/>
          <w:pgMar w:top="1440" w:right="567" w:bottom="1440" w:left="709" w:header="709" w:footer="709" w:gutter="0"/>
          <w:cols w:space="708"/>
          <w:docGrid w:linePitch="360"/>
        </w:sectPr>
      </w:pPr>
    </w:p>
    <w:p w14:paraId="0D94486F" w14:textId="77777777" w:rsidR="00FF1199" w:rsidRPr="008A0F79" w:rsidRDefault="00FF1199" w:rsidP="00FF1199">
      <w:pPr>
        <w:rPr>
          <w:b/>
          <w:vanish/>
          <w:sz w:val="36"/>
          <w:szCs w:val="36"/>
          <w:specVanish/>
        </w:rPr>
      </w:pPr>
      <w:r w:rsidRPr="008A0F79">
        <w:rPr>
          <w:b/>
          <w:color w:val="2D7C82"/>
          <w:sz w:val="36"/>
          <w:szCs w:val="36"/>
        </w:rPr>
        <w:lastRenderedPageBreak/>
        <w:t>|</w:t>
      </w:r>
      <w:r w:rsidRPr="008A0F79">
        <w:rPr>
          <w:b/>
          <w:sz w:val="36"/>
          <w:szCs w:val="36"/>
        </w:rPr>
        <w:t xml:space="preserve"> </w:t>
      </w:r>
    </w:p>
    <w:p w14:paraId="0CAB8658" w14:textId="45DE7CDE" w:rsidR="00FF1199" w:rsidRDefault="00FF1199" w:rsidP="00B12F18">
      <w:pPr>
        <w:pStyle w:val="Heading1"/>
      </w:pPr>
      <w:r w:rsidRPr="008A0F79">
        <w:t xml:space="preserve"> </w:t>
      </w:r>
      <w:r w:rsidR="009D5589">
        <w:t>Summary of findings</w:t>
      </w:r>
    </w:p>
    <w:p w14:paraId="164514A5" w14:textId="4566AF29" w:rsidR="009D5589" w:rsidRDefault="009D5589" w:rsidP="009D5589">
      <w:pPr>
        <w:pStyle w:val="xmsonormal"/>
        <w:rPr>
          <w:sz w:val="24"/>
          <w:szCs w:val="24"/>
        </w:rPr>
      </w:pPr>
    </w:p>
    <w:p w14:paraId="75B82434" w14:textId="486220CF" w:rsidR="00147CEF" w:rsidRDefault="00147CEF" w:rsidP="009D5589">
      <w:pPr>
        <w:pStyle w:val="xmsonormal"/>
        <w:rPr>
          <w:sz w:val="24"/>
          <w:szCs w:val="24"/>
        </w:rPr>
      </w:pPr>
      <w:r w:rsidRPr="00147CEF">
        <w:rPr>
          <w:sz w:val="24"/>
          <w:szCs w:val="24"/>
        </w:rPr>
        <w:t>The National Child Measurement Programme (NCMP) is a nationally mandated public health programme</w:t>
      </w:r>
      <w:r>
        <w:rPr>
          <w:sz w:val="24"/>
          <w:szCs w:val="24"/>
        </w:rPr>
        <w:t>, conducted annually.</w:t>
      </w:r>
    </w:p>
    <w:p w14:paraId="22F47D9E" w14:textId="77777777" w:rsidR="00147CEF" w:rsidRDefault="00147CEF" w:rsidP="009D5589">
      <w:pPr>
        <w:pStyle w:val="xmsonormal"/>
        <w:rPr>
          <w:sz w:val="24"/>
          <w:szCs w:val="24"/>
        </w:rPr>
      </w:pPr>
    </w:p>
    <w:p w14:paraId="0F5A7F28" w14:textId="238D1B51" w:rsidR="009D5589" w:rsidRDefault="00147CEF" w:rsidP="009D5589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Each local authority collects t</w:t>
      </w:r>
      <w:r w:rsidR="00DB5040">
        <w:rPr>
          <w:sz w:val="24"/>
          <w:szCs w:val="24"/>
        </w:rPr>
        <w:t xml:space="preserve">he height and weight of </w:t>
      </w:r>
      <w:r w:rsidR="009D5589">
        <w:rPr>
          <w:sz w:val="24"/>
          <w:szCs w:val="24"/>
        </w:rPr>
        <w:t>children aged 4 to 5 in reception year and aged 10 to 11 in year 6. Figures for the 202</w:t>
      </w:r>
      <w:r>
        <w:rPr>
          <w:sz w:val="24"/>
          <w:szCs w:val="24"/>
        </w:rPr>
        <w:t>2</w:t>
      </w:r>
      <w:r w:rsidR="009D5589">
        <w:rPr>
          <w:sz w:val="24"/>
          <w:szCs w:val="24"/>
        </w:rPr>
        <w:t xml:space="preserve"> to 202</w:t>
      </w:r>
      <w:r>
        <w:rPr>
          <w:sz w:val="24"/>
          <w:szCs w:val="24"/>
        </w:rPr>
        <w:t>3</w:t>
      </w:r>
      <w:r w:rsidR="009D5589">
        <w:rPr>
          <w:sz w:val="24"/>
          <w:szCs w:val="24"/>
        </w:rPr>
        <w:t xml:space="preserve"> academic year were published by NHS </w:t>
      </w:r>
      <w:r>
        <w:rPr>
          <w:sz w:val="24"/>
          <w:szCs w:val="24"/>
        </w:rPr>
        <w:t>England</w:t>
      </w:r>
      <w:r w:rsidR="009D5589">
        <w:rPr>
          <w:sz w:val="24"/>
          <w:szCs w:val="24"/>
        </w:rPr>
        <w:t xml:space="preserve"> on </w:t>
      </w:r>
      <w:r>
        <w:rPr>
          <w:sz w:val="24"/>
          <w:szCs w:val="24"/>
        </w:rPr>
        <w:t>19</w:t>
      </w:r>
      <w:r w:rsidRPr="00147CE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October 2023</w:t>
      </w:r>
      <w:r w:rsidR="009D5589">
        <w:rPr>
          <w:sz w:val="24"/>
          <w:szCs w:val="24"/>
        </w:rPr>
        <w:t xml:space="preserve">. Follow this link to </w:t>
      </w:r>
      <w:hyperlink r:id="rId14" w:history="1">
        <w:r>
          <w:rPr>
            <w:rStyle w:val="Hyperlink"/>
            <w:sz w:val="24"/>
            <w:szCs w:val="24"/>
          </w:rPr>
          <w:t>visit the NHS England website</w:t>
        </w:r>
      </w:hyperlink>
      <w:r w:rsidR="009D5589">
        <w:rPr>
          <w:sz w:val="24"/>
          <w:szCs w:val="24"/>
        </w:rPr>
        <w:t>.</w:t>
      </w:r>
      <w:r w:rsidR="000A403A">
        <w:rPr>
          <w:sz w:val="24"/>
          <w:szCs w:val="24"/>
        </w:rPr>
        <w:t xml:space="preserve"> Also note this </w:t>
      </w:r>
      <w:hyperlink r:id="rId15" w:history="1">
        <w:r w:rsidR="000A403A" w:rsidRPr="000A403A">
          <w:rPr>
            <w:rStyle w:val="Hyperlink"/>
            <w:sz w:val="24"/>
            <w:szCs w:val="24"/>
          </w:rPr>
          <w:t>statistical commentary</w:t>
        </w:r>
      </w:hyperlink>
      <w:r w:rsidR="000A403A">
        <w:rPr>
          <w:sz w:val="24"/>
          <w:szCs w:val="24"/>
        </w:rPr>
        <w:t xml:space="preserve"> of the programme overall produced by the Office for Health Improvement and Disparities.</w:t>
      </w:r>
    </w:p>
    <w:p w14:paraId="6D432EC8" w14:textId="77777777" w:rsidR="009D5589" w:rsidRDefault="009D5589" w:rsidP="009D5589">
      <w:pPr>
        <w:pStyle w:val="xmsonormal"/>
        <w:rPr>
          <w:sz w:val="24"/>
          <w:szCs w:val="24"/>
        </w:rPr>
      </w:pPr>
    </w:p>
    <w:p w14:paraId="60ECB25D" w14:textId="7E3B3C11" w:rsidR="009D5589" w:rsidRPr="009D5589" w:rsidRDefault="009D5589" w:rsidP="009D5589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>This document is a summary of</w:t>
      </w:r>
      <w:r w:rsidRPr="009D5589">
        <w:rPr>
          <w:sz w:val="24"/>
          <w:szCs w:val="24"/>
        </w:rPr>
        <w:t xml:space="preserve"> </w:t>
      </w:r>
      <w:r>
        <w:rPr>
          <w:sz w:val="24"/>
          <w:szCs w:val="24"/>
        </w:rPr>
        <w:t>findings for Kent</w:t>
      </w:r>
      <w:r w:rsidRPr="009D5589">
        <w:rPr>
          <w:sz w:val="24"/>
          <w:szCs w:val="24"/>
        </w:rPr>
        <w:t xml:space="preserve">. </w:t>
      </w:r>
      <w:r w:rsidR="00651E2E">
        <w:rPr>
          <w:sz w:val="24"/>
          <w:szCs w:val="24"/>
        </w:rPr>
        <w:t>A more detailed report is due to be published in the new year.</w:t>
      </w:r>
    </w:p>
    <w:p w14:paraId="738394D1" w14:textId="77777777" w:rsidR="009D5589" w:rsidRPr="009D5589" w:rsidRDefault="009D5589" w:rsidP="009D5589">
      <w:pPr>
        <w:pStyle w:val="xmsonormal"/>
        <w:rPr>
          <w:sz w:val="24"/>
          <w:szCs w:val="24"/>
        </w:rPr>
      </w:pPr>
      <w:r w:rsidRPr="009D5589">
        <w:rPr>
          <w:sz w:val="24"/>
          <w:szCs w:val="24"/>
        </w:rPr>
        <w:t> </w:t>
      </w:r>
    </w:p>
    <w:p w14:paraId="1A19106F" w14:textId="27431A8B" w:rsidR="00B12F18" w:rsidRDefault="008E6059" w:rsidP="009D5589">
      <w:pPr>
        <w:pStyle w:val="xmsonormal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proofErr w:type="gramStart"/>
      <w:r>
        <w:rPr>
          <w:sz w:val="24"/>
          <w:szCs w:val="24"/>
        </w:rPr>
        <w:t>note:</w:t>
      </w:r>
      <w:proofErr w:type="gramEnd"/>
      <w:r>
        <w:rPr>
          <w:sz w:val="24"/>
          <w:szCs w:val="24"/>
        </w:rPr>
        <w:t xml:space="preserve"> i</w:t>
      </w:r>
      <w:r w:rsidR="009D5589" w:rsidRPr="009D5589">
        <w:rPr>
          <w:sz w:val="24"/>
          <w:szCs w:val="24"/>
        </w:rPr>
        <w:t xml:space="preserve">n this summary, the combined categories of overweight and living with obesity are referred to as ‘Excess weight’. </w:t>
      </w:r>
      <w:r w:rsidR="0063429D">
        <w:rPr>
          <w:sz w:val="24"/>
          <w:szCs w:val="24"/>
        </w:rPr>
        <w:t>The percentages are rounded to one decimal place.</w:t>
      </w:r>
    </w:p>
    <w:p w14:paraId="6F209A54" w14:textId="77777777" w:rsidR="004C50D7" w:rsidRDefault="004C50D7" w:rsidP="009D5589">
      <w:pPr>
        <w:pStyle w:val="xmsonormal"/>
        <w:rPr>
          <w:sz w:val="24"/>
          <w:szCs w:val="24"/>
        </w:rPr>
      </w:pPr>
    </w:p>
    <w:p w14:paraId="4CA0B323" w14:textId="3C2C47E4" w:rsidR="009D5589" w:rsidRDefault="00B12F18" w:rsidP="009D5589">
      <w:pPr>
        <w:pStyle w:val="Heading2"/>
      </w:pPr>
      <w:r>
        <w:t>Reception year</w:t>
      </w:r>
    </w:p>
    <w:p w14:paraId="4C05276C" w14:textId="3FA9BD33" w:rsidR="009D5589" w:rsidRDefault="009D5589" w:rsidP="009D5589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>In Kent, the prevalence of children in Year R who are categorised as ‘excess weight’ is 21.</w:t>
      </w:r>
      <w:r w:rsidR="004C50D7">
        <w:rPr>
          <w:rFonts w:eastAsia="Times New Roman"/>
        </w:rPr>
        <w:t>2</w:t>
      </w:r>
      <w:r>
        <w:rPr>
          <w:rFonts w:eastAsia="Times New Roman"/>
        </w:rPr>
        <w:t>%. This is comprised of 1</w:t>
      </w:r>
      <w:r w:rsidR="004C50D7">
        <w:rPr>
          <w:rFonts w:eastAsia="Times New Roman"/>
        </w:rPr>
        <w:t>2</w:t>
      </w:r>
      <w:r>
        <w:rPr>
          <w:rFonts w:eastAsia="Times New Roman"/>
        </w:rPr>
        <w:t>.</w:t>
      </w:r>
      <w:r w:rsidR="004C50D7">
        <w:rPr>
          <w:rFonts w:eastAsia="Times New Roman"/>
        </w:rPr>
        <w:t>3</w:t>
      </w:r>
      <w:r>
        <w:rPr>
          <w:rFonts w:eastAsia="Times New Roman"/>
        </w:rPr>
        <w:t>% overweight and 9.</w:t>
      </w:r>
      <w:r w:rsidR="004C50D7">
        <w:rPr>
          <w:rFonts w:eastAsia="Times New Roman"/>
        </w:rPr>
        <w:t>0</w:t>
      </w:r>
      <w:r>
        <w:rPr>
          <w:rFonts w:eastAsia="Times New Roman"/>
        </w:rPr>
        <w:t>% living with obesity. A further 0.</w:t>
      </w:r>
      <w:r w:rsidR="004C50D7">
        <w:rPr>
          <w:rFonts w:eastAsia="Times New Roman"/>
        </w:rPr>
        <w:t>7</w:t>
      </w:r>
      <w:r>
        <w:rPr>
          <w:rFonts w:eastAsia="Times New Roman"/>
        </w:rPr>
        <w:t>% are underweight and 7</w:t>
      </w:r>
      <w:r w:rsidR="004C50D7">
        <w:rPr>
          <w:rFonts w:eastAsia="Times New Roman"/>
        </w:rPr>
        <w:t>8</w:t>
      </w:r>
      <w:r>
        <w:rPr>
          <w:rFonts w:eastAsia="Times New Roman"/>
        </w:rPr>
        <w:t>.</w:t>
      </w:r>
      <w:r w:rsidR="004C50D7">
        <w:rPr>
          <w:rFonts w:eastAsia="Times New Roman"/>
        </w:rPr>
        <w:t>1</w:t>
      </w:r>
      <w:r>
        <w:rPr>
          <w:rFonts w:eastAsia="Times New Roman"/>
        </w:rPr>
        <w:t>% healthy weight.</w:t>
      </w:r>
      <w:r w:rsidR="004C50D7">
        <w:rPr>
          <w:rFonts w:eastAsia="Times New Roman"/>
        </w:rPr>
        <w:t xml:space="preserve"> </w:t>
      </w:r>
    </w:p>
    <w:p w14:paraId="4641649E" w14:textId="2A8C1F5C" w:rsidR="00B12F18" w:rsidRPr="008E6059" w:rsidRDefault="00B12F18" w:rsidP="00B12F18">
      <w:pPr>
        <w:pStyle w:val="xmsolistparagraph"/>
        <w:numPr>
          <w:ilvl w:val="0"/>
          <w:numId w:val="5"/>
        </w:numPr>
        <w:rPr>
          <w:rFonts w:eastAsia="Times New Roman"/>
        </w:rPr>
      </w:pPr>
      <w:r>
        <w:rPr>
          <w:rFonts w:eastAsia="Times New Roman"/>
        </w:rPr>
        <w:t xml:space="preserve">Kent </w:t>
      </w:r>
      <w:r w:rsidRPr="008E6059">
        <w:rPr>
          <w:rFonts w:eastAsia="Times New Roman"/>
        </w:rPr>
        <w:t xml:space="preserve">has a </w:t>
      </w:r>
      <w:r w:rsidR="00BD73E7">
        <w:rPr>
          <w:rFonts w:eastAsia="Times New Roman"/>
        </w:rPr>
        <w:t>similar</w:t>
      </w:r>
      <w:r w:rsidRPr="008E6059">
        <w:rPr>
          <w:rFonts w:eastAsia="Times New Roman"/>
        </w:rPr>
        <w:t xml:space="preserve"> prevalence of children in Year R who are excess weight</w:t>
      </w:r>
      <w:r w:rsidR="008E6059">
        <w:rPr>
          <w:rFonts w:eastAsia="Times New Roman"/>
        </w:rPr>
        <w:t xml:space="preserve"> (</w:t>
      </w:r>
      <w:r w:rsidR="008E6059" w:rsidRPr="008E6059">
        <w:rPr>
          <w:rFonts w:eastAsia="Times New Roman"/>
        </w:rPr>
        <w:t>21.</w:t>
      </w:r>
      <w:r w:rsidR="00BD73E7">
        <w:rPr>
          <w:rFonts w:eastAsia="Times New Roman"/>
        </w:rPr>
        <w:t>2</w:t>
      </w:r>
      <w:r w:rsidR="008E6059" w:rsidRPr="008E6059">
        <w:rPr>
          <w:rFonts w:eastAsia="Times New Roman"/>
        </w:rPr>
        <w:t>%</w:t>
      </w:r>
      <w:r w:rsidR="008E6059">
        <w:rPr>
          <w:rFonts w:eastAsia="Times New Roman"/>
        </w:rPr>
        <w:t>)</w:t>
      </w:r>
      <w:r w:rsidRPr="008E6059">
        <w:rPr>
          <w:rFonts w:eastAsia="Times New Roman"/>
        </w:rPr>
        <w:t xml:space="preserve"> compared to </w:t>
      </w:r>
      <w:r w:rsidR="008E6059">
        <w:rPr>
          <w:rFonts w:eastAsia="Times New Roman"/>
        </w:rPr>
        <w:t>England (</w:t>
      </w:r>
      <w:r w:rsidRPr="008E6059">
        <w:rPr>
          <w:rFonts w:eastAsia="Times New Roman"/>
        </w:rPr>
        <w:t>2</w:t>
      </w:r>
      <w:r w:rsidR="00BD73E7">
        <w:rPr>
          <w:rFonts w:eastAsia="Times New Roman"/>
        </w:rPr>
        <w:t>1</w:t>
      </w:r>
      <w:r w:rsidRPr="008E6059">
        <w:rPr>
          <w:rFonts w:eastAsia="Times New Roman"/>
        </w:rPr>
        <w:t>.3%</w:t>
      </w:r>
      <w:r w:rsidR="008E6059">
        <w:rPr>
          <w:rFonts w:eastAsia="Times New Roman"/>
        </w:rPr>
        <w:t>)</w:t>
      </w:r>
      <w:r w:rsidRPr="008E6059">
        <w:rPr>
          <w:rFonts w:eastAsia="Times New Roman"/>
        </w:rPr>
        <w:t xml:space="preserve">. </w:t>
      </w:r>
      <w:r w:rsidR="005F5E36">
        <w:rPr>
          <w:rFonts w:eastAsia="Times New Roman"/>
        </w:rPr>
        <w:t xml:space="preserve">However, </w:t>
      </w:r>
      <w:r w:rsidRPr="008E6059">
        <w:rPr>
          <w:rFonts w:eastAsia="Times New Roman"/>
        </w:rPr>
        <w:t xml:space="preserve">Kent has a higher rate than the </w:t>
      </w:r>
      <w:proofErr w:type="gramStart"/>
      <w:r w:rsidRPr="008E6059">
        <w:rPr>
          <w:rFonts w:eastAsia="Times New Roman"/>
        </w:rPr>
        <w:t>South East</w:t>
      </w:r>
      <w:proofErr w:type="gramEnd"/>
      <w:r w:rsidRPr="008E6059">
        <w:rPr>
          <w:rFonts w:eastAsia="Times New Roman"/>
        </w:rPr>
        <w:t xml:space="preserve"> which is 20.</w:t>
      </w:r>
      <w:r w:rsidR="00BD73E7">
        <w:rPr>
          <w:rFonts w:eastAsia="Times New Roman"/>
        </w:rPr>
        <w:t>1</w:t>
      </w:r>
      <w:r w:rsidRPr="008E6059">
        <w:rPr>
          <w:rFonts w:eastAsia="Times New Roman"/>
        </w:rPr>
        <w:t>%.</w:t>
      </w:r>
    </w:p>
    <w:p w14:paraId="6EC74DE2" w14:textId="55226F76" w:rsidR="00B12F18" w:rsidRPr="008E6059" w:rsidRDefault="00B12F18" w:rsidP="00B12F18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08E6059">
        <w:rPr>
          <w:rFonts w:eastAsia="Times New Roman"/>
        </w:rPr>
        <w:t>The prevalence of excess weight in Year R increased in the academic year</w:t>
      </w:r>
      <w:r w:rsidR="00BD73E7">
        <w:rPr>
          <w:rFonts w:eastAsia="Times New Roman"/>
        </w:rPr>
        <w:t>s</w:t>
      </w:r>
      <w:r w:rsidRPr="008E6059">
        <w:rPr>
          <w:rFonts w:eastAsia="Times New Roman"/>
        </w:rPr>
        <w:t xml:space="preserve"> 2019/20 </w:t>
      </w:r>
      <w:r w:rsidR="00BD73E7">
        <w:rPr>
          <w:rFonts w:eastAsia="Times New Roman"/>
        </w:rPr>
        <w:t xml:space="preserve">and </w:t>
      </w:r>
      <w:r w:rsidRPr="008E6059">
        <w:rPr>
          <w:rFonts w:eastAsia="Times New Roman"/>
        </w:rPr>
        <w:t xml:space="preserve">2020/21 but has </w:t>
      </w:r>
      <w:r w:rsidR="00BD73E7">
        <w:rPr>
          <w:rFonts w:eastAsia="Times New Roman"/>
        </w:rPr>
        <w:t>returned</w:t>
      </w:r>
      <w:r w:rsidRPr="008E6059">
        <w:rPr>
          <w:rFonts w:eastAsia="Times New Roman"/>
        </w:rPr>
        <w:t xml:space="preserve"> to </w:t>
      </w:r>
      <w:r w:rsidR="00BD73E7">
        <w:rPr>
          <w:rFonts w:eastAsia="Times New Roman"/>
        </w:rPr>
        <w:t>pre-pandemic levels over the past two years.</w:t>
      </w:r>
    </w:p>
    <w:p w14:paraId="7E933DAB" w14:textId="35944F3B" w:rsidR="00B12F18" w:rsidRPr="008E6059" w:rsidRDefault="00B12F18" w:rsidP="00B12F18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08E6059">
        <w:rPr>
          <w:rFonts w:eastAsia="Times New Roman"/>
        </w:rPr>
        <w:t xml:space="preserve">There is variation among the Kent Districts. In year R, </w:t>
      </w:r>
      <w:r w:rsidR="006F5876">
        <w:rPr>
          <w:rFonts w:eastAsia="Times New Roman"/>
        </w:rPr>
        <w:t>Gravesham has significantly higher excess weight and obesity levels than the England average. Dover has significantly higher excess weight. Tunbridge Wells is significantly lower than the England average.</w:t>
      </w:r>
    </w:p>
    <w:p w14:paraId="0E614FDC" w14:textId="142517DF" w:rsidR="00B12F18" w:rsidRPr="0063429D" w:rsidRDefault="00B12F18" w:rsidP="00B12F18">
      <w:pPr>
        <w:pStyle w:val="Heading2"/>
      </w:pPr>
      <w:r w:rsidRPr="0063429D">
        <w:t>Year 6</w:t>
      </w:r>
    </w:p>
    <w:p w14:paraId="7CC62EAD" w14:textId="140F9281" w:rsidR="009D5589" w:rsidRPr="006F5876" w:rsidRDefault="009D5589" w:rsidP="006F5876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08E6059">
        <w:rPr>
          <w:rFonts w:eastAsia="Times New Roman"/>
        </w:rPr>
        <w:t>In Year 6, 35.</w:t>
      </w:r>
      <w:r w:rsidR="006F5876">
        <w:rPr>
          <w:rFonts w:eastAsia="Times New Roman"/>
        </w:rPr>
        <w:t>0</w:t>
      </w:r>
      <w:r w:rsidRPr="008E6059">
        <w:rPr>
          <w:rFonts w:eastAsia="Times New Roman"/>
        </w:rPr>
        <w:t>% are excess weight. This is comprised of 13.7% overweight and 2</w:t>
      </w:r>
      <w:r w:rsidR="006F5876">
        <w:rPr>
          <w:rFonts w:eastAsia="Times New Roman"/>
        </w:rPr>
        <w:t>1</w:t>
      </w:r>
      <w:r w:rsidRPr="008E6059">
        <w:rPr>
          <w:rFonts w:eastAsia="Times New Roman"/>
        </w:rPr>
        <w:t>.</w:t>
      </w:r>
      <w:r w:rsidR="006F5876">
        <w:rPr>
          <w:rFonts w:eastAsia="Times New Roman"/>
        </w:rPr>
        <w:t>2</w:t>
      </w:r>
      <w:r w:rsidRPr="008E6059">
        <w:rPr>
          <w:rFonts w:eastAsia="Times New Roman"/>
        </w:rPr>
        <w:t>% living with obesity. A further 1.</w:t>
      </w:r>
      <w:r w:rsidR="006F5876">
        <w:rPr>
          <w:rFonts w:eastAsia="Times New Roman"/>
        </w:rPr>
        <w:t>5</w:t>
      </w:r>
      <w:r w:rsidRPr="008E6059">
        <w:rPr>
          <w:rFonts w:eastAsia="Times New Roman"/>
        </w:rPr>
        <w:t>% are underweight and 6</w:t>
      </w:r>
      <w:r w:rsidR="006F5876">
        <w:rPr>
          <w:rFonts w:eastAsia="Times New Roman"/>
        </w:rPr>
        <w:t>3</w:t>
      </w:r>
      <w:r w:rsidRPr="008E6059">
        <w:rPr>
          <w:rFonts w:eastAsia="Times New Roman"/>
        </w:rPr>
        <w:t>.</w:t>
      </w:r>
      <w:r w:rsidR="006F5876">
        <w:rPr>
          <w:rFonts w:eastAsia="Times New Roman"/>
        </w:rPr>
        <w:t>5</w:t>
      </w:r>
      <w:r w:rsidRPr="008E6059">
        <w:rPr>
          <w:rFonts w:eastAsia="Times New Roman"/>
        </w:rPr>
        <w:t>% healthy weight.</w:t>
      </w:r>
    </w:p>
    <w:p w14:paraId="5744AED0" w14:textId="1D872623" w:rsidR="009D5589" w:rsidRPr="008E6059" w:rsidRDefault="009D5589" w:rsidP="009D5589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08E6059">
        <w:rPr>
          <w:rFonts w:eastAsia="Times New Roman"/>
        </w:rPr>
        <w:t xml:space="preserve">Kent has a lower prevalence of children in Year 6 who are excess weight </w:t>
      </w:r>
      <w:r w:rsidR="008E6059">
        <w:rPr>
          <w:rFonts w:eastAsia="Times New Roman"/>
        </w:rPr>
        <w:t>(35.</w:t>
      </w:r>
      <w:r w:rsidR="006F5876">
        <w:rPr>
          <w:rFonts w:eastAsia="Times New Roman"/>
        </w:rPr>
        <w:t>0</w:t>
      </w:r>
      <w:r w:rsidR="008E6059">
        <w:rPr>
          <w:rFonts w:eastAsia="Times New Roman"/>
        </w:rPr>
        <w:t xml:space="preserve">%) compared to </w:t>
      </w:r>
      <w:r w:rsidRPr="008E6059">
        <w:rPr>
          <w:rFonts w:eastAsia="Times New Roman"/>
        </w:rPr>
        <w:t xml:space="preserve">England </w:t>
      </w:r>
      <w:r w:rsidR="008E6059">
        <w:rPr>
          <w:rFonts w:eastAsia="Times New Roman"/>
        </w:rPr>
        <w:t>(</w:t>
      </w:r>
      <w:r w:rsidRPr="008E6059">
        <w:rPr>
          <w:rFonts w:eastAsia="Times New Roman"/>
        </w:rPr>
        <w:t>3</w:t>
      </w:r>
      <w:r w:rsidR="006F5876">
        <w:rPr>
          <w:rFonts w:eastAsia="Times New Roman"/>
        </w:rPr>
        <w:t>6</w:t>
      </w:r>
      <w:r w:rsidRPr="008E6059">
        <w:rPr>
          <w:rFonts w:eastAsia="Times New Roman"/>
        </w:rPr>
        <w:t>.</w:t>
      </w:r>
      <w:r w:rsidR="006F5876">
        <w:rPr>
          <w:rFonts w:eastAsia="Times New Roman"/>
        </w:rPr>
        <w:t>6</w:t>
      </w:r>
      <w:r w:rsidRPr="008E6059">
        <w:rPr>
          <w:rFonts w:eastAsia="Times New Roman"/>
        </w:rPr>
        <w:t>%</w:t>
      </w:r>
      <w:r w:rsidR="008E6059">
        <w:rPr>
          <w:rFonts w:eastAsia="Times New Roman"/>
        </w:rPr>
        <w:t>)</w:t>
      </w:r>
      <w:r w:rsidRPr="008E6059">
        <w:rPr>
          <w:rFonts w:eastAsia="Times New Roman"/>
        </w:rPr>
        <w:t xml:space="preserve">. </w:t>
      </w:r>
      <w:r w:rsidR="005F5E36">
        <w:rPr>
          <w:rFonts w:eastAsia="Times New Roman"/>
        </w:rPr>
        <w:t xml:space="preserve">However, </w:t>
      </w:r>
      <w:r w:rsidRPr="008E6059">
        <w:rPr>
          <w:rFonts w:eastAsia="Times New Roman"/>
        </w:rPr>
        <w:t xml:space="preserve">Kent has a higher rate than the </w:t>
      </w:r>
      <w:proofErr w:type="gramStart"/>
      <w:r w:rsidRPr="008E6059">
        <w:rPr>
          <w:rFonts w:eastAsia="Times New Roman"/>
        </w:rPr>
        <w:t>South East</w:t>
      </w:r>
      <w:proofErr w:type="gramEnd"/>
      <w:r w:rsidRPr="008E6059">
        <w:rPr>
          <w:rFonts w:eastAsia="Times New Roman"/>
        </w:rPr>
        <w:t xml:space="preserve"> which is 3</w:t>
      </w:r>
      <w:r w:rsidR="006F5876">
        <w:rPr>
          <w:rFonts w:eastAsia="Times New Roman"/>
        </w:rPr>
        <w:t>3</w:t>
      </w:r>
      <w:r w:rsidRPr="008E6059">
        <w:rPr>
          <w:rFonts w:eastAsia="Times New Roman"/>
        </w:rPr>
        <w:t>.0%.</w:t>
      </w:r>
    </w:p>
    <w:p w14:paraId="1048B86D" w14:textId="3F553ACF" w:rsidR="009D5589" w:rsidRDefault="006F5876" w:rsidP="009D5589">
      <w:pPr>
        <w:pStyle w:val="xmsolistparagraph"/>
        <w:numPr>
          <w:ilvl w:val="0"/>
          <w:numId w:val="5"/>
        </w:numPr>
        <w:rPr>
          <w:rFonts w:eastAsia="Times New Roman"/>
        </w:rPr>
      </w:pPr>
      <w:r w:rsidRPr="008E6059">
        <w:rPr>
          <w:rFonts w:eastAsia="Times New Roman"/>
        </w:rPr>
        <w:t xml:space="preserve">The prevalence of excess weight in Year </w:t>
      </w:r>
      <w:r>
        <w:rPr>
          <w:rFonts w:eastAsia="Times New Roman"/>
        </w:rPr>
        <w:t>6</w:t>
      </w:r>
      <w:r w:rsidRPr="008E6059">
        <w:rPr>
          <w:rFonts w:eastAsia="Times New Roman"/>
        </w:rPr>
        <w:t xml:space="preserve"> </w:t>
      </w:r>
      <w:r>
        <w:rPr>
          <w:rFonts w:eastAsia="Times New Roman"/>
        </w:rPr>
        <w:t xml:space="preserve">has decreased since the historically high levels recorded during the years associated with the COVID-19 pandemic. Kent is </w:t>
      </w:r>
      <w:r>
        <w:rPr>
          <w:rFonts w:eastAsia="Times New Roman"/>
        </w:rPr>
        <w:lastRenderedPageBreak/>
        <w:t>generally lower than the national average</w:t>
      </w:r>
      <w:r w:rsidR="0063429D">
        <w:rPr>
          <w:rFonts w:eastAsia="Times New Roman"/>
        </w:rPr>
        <w:t>,</w:t>
      </w:r>
      <w:r>
        <w:rPr>
          <w:rFonts w:eastAsia="Times New Roman"/>
        </w:rPr>
        <w:t xml:space="preserve"> but it should be noted that the long-term trend since 2006 is steadily increasing.</w:t>
      </w:r>
    </w:p>
    <w:p w14:paraId="530A7D39" w14:textId="46643D0F" w:rsidR="00C61873" w:rsidRPr="0063429D" w:rsidRDefault="0063429D" w:rsidP="00535281">
      <w:pPr>
        <w:pStyle w:val="xmsolistparagraph"/>
        <w:numPr>
          <w:ilvl w:val="0"/>
          <w:numId w:val="5"/>
        </w:numPr>
        <w:rPr>
          <w:b/>
          <w:color w:val="2D7C82"/>
          <w:sz w:val="36"/>
          <w:szCs w:val="36"/>
        </w:rPr>
      </w:pPr>
      <w:r>
        <w:rPr>
          <w:rFonts w:eastAsia="Times New Roman"/>
        </w:rPr>
        <w:t>Among districts, Thanet has significantly higher levels of obesity and severe obesity than England. Gravesham has the highest levels of severe obesity in Kent at 7.3% of children in year 6.</w:t>
      </w:r>
    </w:p>
    <w:sectPr w:rsidR="00C61873" w:rsidRPr="0063429D" w:rsidSect="0004540E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CD378" w14:textId="77777777" w:rsidR="00607340" w:rsidRDefault="00607340" w:rsidP="00CE57B9">
      <w:pPr>
        <w:spacing w:after="0" w:line="240" w:lineRule="auto"/>
      </w:pPr>
      <w:r>
        <w:separator/>
      </w:r>
    </w:p>
  </w:endnote>
  <w:endnote w:type="continuationSeparator" w:id="0">
    <w:p w14:paraId="5D9BFA5C" w14:textId="77777777" w:rsidR="00607340" w:rsidRDefault="00607340" w:rsidP="00CE5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8CC7" w14:textId="77777777" w:rsidR="009B6535" w:rsidRPr="004837FE" w:rsidRDefault="004D47D6" w:rsidP="009B6535">
    <w:pPr>
      <w:spacing w:after="160"/>
      <w:jc w:val="right"/>
      <w:rPr>
        <w:b/>
        <w:color w:val="2D7C82"/>
        <w:sz w:val="26"/>
        <w:szCs w:val="26"/>
      </w:rPr>
    </w:pPr>
    <w:r w:rsidRPr="004837FE">
      <w:rPr>
        <w:noProof/>
      </w:rPr>
      <w:drawing>
        <wp:anchor distT="0" distB="0" distL="114300" distR="114300" simplePos="0" relativeHeight="251662336" behindDoc="1" locked="0" layoutInCell="1" allowOverlap="1" wp14:anchorId="5B2D271C" wp14:editId="6AAA4677">
          <wp:simplePos x="0" y="0"/>
          <wp:positionH relativeFrom="column">
            <wp:posOffset>-548640</wp:posOffset>
          </wp:positionH>
          <wp:positionV relativeFrom="paragraph">
            <wp:posOffset>-228600</wp:posOffset>
          </wp:positionV>
          <wp:extent cx="7764780" cy="2179320"/>
          <wp:effectExtent l="0" t="0" r="7620" b="0"/>
          <wp:wrapNone/>
          <wp:docPr id="631753588" name="Picture 6317535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753588" name="Picture 6317535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4780" cy="217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579C" w:rsidRPr="004837FE">
      <w:rPr>
        <w:b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E0E76B5" wp14:editId="0BECE994">
              <wp:simplePos x="0" y="0"/>
              <wp:positionH relativeFrom="column">
                <wp:posOffset>151765</wp:posOffset>
              </wp:positionH>
              <wp:positionV relativeFrom="paragraph">
                <wp:posOffset>88265</wp:posOffset>
              </wp:positionV>
              <wp:extent cx="5334000" cy="0"/>
              <wp:effectExtent l="0" t="0" r="19050" b="1905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34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A755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26E0A" id="Straight Connector 22" o:spid="_x0000_s1026" alt="&quot;&quot;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95pt,6.95pt" to="431.9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" strokecolor="#a75585" strokeweight="1pt"/>
          </w:pict>
        </mc:Fallback>
      </mc:AlternateContent>
    </w:r>
    <w:r w:rsidR="009B6535" w:rsidRPr="004837FE">
      <w:rPr>
        <w:b/>
        <w:color w:val="2D7C82"/>
        <w:sz w:val="26"/>
        <w:szCs w:val="26"/>
      </w:rPr>
      <w:t>Produced by</w:t>
    </w:r>
  </w:p>
  <w:p w14:paraId="13FBCC09" w14:textId="2294DCC0" w:rsidR="004D47D6" w:rsidRPr="00686B1D" w:rsidRDefault="009D5589" w:rsidP="00686B1D">
    <w:pPr>
      <w:spacing w:before="0" w:after="0"/>
      <w:jc w:val="right"/>
      <w:rPr>
        <w:sz w:val="22"/>
        <w:szCs w:val="22"/>
      </w:rPr>
    </w:pPr>
    <w:r>
      <w:rPr>
        <w:sz w:val="22"/>
        <w:szCs w:val="22"/>
      </w:rPr>
      <w:t>Mark Chambers</w:t>
    </w:r>
    <w:r w:rsidR="00E35F7C" w:rsidRPr="004837FE">
      <w:rPr>
        <w:sz w:val="22"/>
        <w:szCs w:val="22"/>
      </w:rPr>
      <w:t xml:space="preserve">: </w:t>
    </w:r>
    <w:r>
      <w:rPr>
        <w:sz w:val="22"/>
        <w:szCs w:val="22"/>
      </w:rPr>
      <w:t>Head of Health Intelligence</w:t>
    </w:r>
    <w:r w:rsidR="00E35F7C" w:rsidRPr="004837FE">
      <w:rPr>
        <w:sz w:val="22"/>
        <w:szCs w:val="22"/>
      </w:rPr>
      <w:t xml:space="preserve"> (</w:t>
    </w:r>
    <w:hyperlink r:id="rId2" w:history="1">
      <w:r w:rsidRPr="00866D08">
        <w:rPr>
          <w:rStyle w:val="Hyperlink"/>
          <w:sz w:val="22"/>
          <w:szCs w:val="22"/>
        </w:rPr>
        <w:t>mark.chambers@kent.gov.uk</w:t>
      </w:r>
    </w:hyperlink>
    <w:r w:rsidR="00E35F7C" w:rsidRPr="004837FE">
      <w:rPr>
        <w:sz w:val="22"/>
        <w:szCs w:val="22"/>
      </w:rPr>
      <w:t>)</w:t>
    </w:r>
  </w:p>
  <w:p w14:paraId="3DCF3423" w14:textId="39FC0D0B" w:rsidR="00E35F7C" w:rsidRPr="004837FE" w:rsidRDefault="004D47D6" w:rsidP="00A57BA9">
    <w:pPr>
      <w:spacing w:before="0" w:after="0"/>
      <w:ind w:left="-567"/>
      <w:jc w:val="right"/>
    </w:pPr>
    <w:r>
      <w:t xml:space="preserve">Correspondence to: </w:t>
    </w:r>
    <w:r w:rsidR="009D5589">
      <w:t>Mark Chambers</w:t>
    </w:r>
    <w:r w:rsidR="00E35F7C" w:rsidRPr="004837FE">
      <w:t xml:space="preserve"> </w:t>
    </w:r>
  </w:p>
  <w:p w14:paraId="510FE566" w14:textId="77777777" w:rsidR="00AE684F" w:rsidRPr="004837FE" w:rsidRDefault="00AE684F" w:rsidP="00A57BA9">
    <w:pPr>
      <w:spacing w:before="0" w:after="0"/>
      <w:ind w:left="-567"/>
      <w:jc w:val="right"/>
      <w:rPr>
        <w:sz w:val="22"/>
        <w:szCs w:val="22"/>
      </w:rPr>
    </w:pPr>
  </w:p>
  <w:p w14:paraId="69E06D38" w14:textId="0239DBF6" w:rsidR="00AE684F" w:rsidRPr="004837FE" w:rsidRDefault="00FA2F35" w:rsidP="00A57BA9">
    <w:pPr>
      <w:spacing w:before="0" w:after="0"/>
      <w:ind w:left="-567"/>
      <w:jc w:val="right"/>
      <w:rPr>
        <w:color w:val="2D7C82"/>
        <w:sz w:val="22"/>
        <w:szCs w:val="22"/>
      </w:rPr>
    </w:pPr>
    <w:r>
      <w:rPr>
        <w:color w:val="2D7C82"/>
        <w:sz w:val="22"/>
        <w:szCs w:val="22"/>
      </w:rPr>
      <w:t>Status</w:t>
    </w:r>
    <w:r w:rsidR="00AE684F" w:rsidRPr="004837FE">
      <w:rPr>
        <w:color w:val="2D7C82"/>
        <w:sz w:val="22"/>
        <w:szCs w:val="22"/>
      </w:rPr>
      <w:t xml:space="preserve">: </w:t>
    </w:r>
    <w:r>
      <w:rPr>
        <w:color w:val="2D7C82"/>
        <w:sz w:val="22"/>
        <w:szCs w:val="22"/>
      </w:rPr>
      <w:t>Published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3633456"/>
      <w:docPartObj>
        <w:docPartGallery w:val="Page Numbers (Bottom of Page)"/>
        <w:docPartUnique/>
      </w:docPartObj>
    </w:sdtPr>
    <w:sdtEndPr>
      <w:rPr>
        <w:noProof/>
        <w:color w:val="2D7C82"/>
        <w:sz w:val="22"/>
        <w:szCs w:val="22"/>
      </w:rPr>
    </w:sdtEndPr>
    <w:sdtContent>
      <w:p w14:paraId="79B64A5F" w14:textId="77777777" w:rsidR="009043C3" w:rsidRPr="004837FE" w:rsidRDefault="009043C3">
        <w:pPr>
          <w:pStyle w:val="Footer"/>
          <w:jc w:val="right"/>
          <w:rPr>
            <w:color w:val="2D7C82"/>
            <w:sz w:val="22"/>
            <w:szCs w:val="22"/>
          </w:rPr>
        </w:pPr>
        <w:r w:rsidRPr="004837FE">
          <w:rPr>
            <w:b/>
            <w:noProof/>
            <w:sz w:val="26"/>
            <w:szCs w:val="26"/>
          </w:rPr>
          <mc:AlternateContent>
            <mc:Choice Requires="wps">
              <w:drawing>
                <wp:anchor distT="0" distB="0" distL="114300" distR="114300" simplePos="0" relativeHeight="251670016" behindDoc="0" locked="0" layoutInCell="1" allowOverlap="1" wp14:anchorId="5DC2BDA3" wp14:editId="12F1FE12">
                  <wp:simplePos x="0" y="0"/>
                  <wp:positionH relativeFrom="column">
                    <wp:posOffset>-320040</wp:posOffset>
                  </wp:positionH>
                  <wp:positionV relativeFrom="paragraph">
                    <wp:posOffset>111548</wp:posOffset>
                  </wp:positionV>
                  <wp:extent cx="5760000" cy="0"/>
                  <wp:effectExtent l="0" t="0" r="12700" b="19050"/>
                  <wp:wrapNone/>
                  <wp:docPr id="26" name="Straight Connector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760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A755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B22399B" id="Straight Connector 26" o:spid="_x0000_s1026" alt="&quot;&quot;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2pt,8.8pt" to="428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" strokecolor="#a75585" strokeweight="1pt"/>
              </w:pict>
            </mc:Fallback>
          </mc:AlternateContent>
        </w:r>
        <w:r w:rsidRPr="004837FE">
          <w:rPr>
            <w:color w:val="2D7C82"/>
            <w:sz w:val="22"/>
            <w:szCs w:val="22"/>
          </w:rPr>
          <w:fldChar w:fldCharType="begin"/>
        </w:r>
        <w:r w:rsidRPr="004837FE">
          <w:rPr>
            <w:color w:val="2D7C82"/>
            <w:sz w:val="22"/>
            <w:szCs w:val="22"/>
          </w:rPr>
          <w:instrText xml:space="preserve"> PAGE   \* MERGEFORMAT </w:instrText>
        </w:r>
        <w:r w:rsidRPr="004837FE">
          <w:rPr>
            <w:color w:val="2D7C82"/>
            <w:sz w:val="22"/>
            <w:szCs w:val="22"/>
          </w:rPr>
          <w:fldChar w:fldCharType="separate"/>
        </w:r>
        <w:r w:rsidR="00EF3DD0">
          <w:rPr>
            <w:noProof/>
            <w:color w:val="2D7C82"/>
            <w:sz w:val="22"/>
            <w:szCs w:val="22"/>
          </w:rPr>
          <w:t>1</w:t>
        </w:r>
        <w:r w:rsidRPr="004837FE">
          <w:rPr>
            <w:noProof/>
            <w:color w:val="2D7C82"/>
            <w:sz w:val="22"/>
            <w:szCs w:val="22"/>
          </w:rPr>
          <w:fldChar w:fldCharType="end"/>
        </w:r>
      </w:p>
    </w:sdtContent>
  </w:sdt>
  <w:p w14:paraId="61502262" w14:textId="426BCB54" w:rsidR="009043C3" w:rsidRPr="004837FE" w:rsidRDefault="00B12F18" w:rsidP="004837FE">
    <w:pPr>
      <w:pStyle w:val="Footer"/>
      <w:spacing w:before="0"/>
      <w:rPr>
        <w:sz w:val="20"/>
        <w:szCs w:val="20"/>
      </w:rPr>
    </w:pPr>
    <w:r>
      <w:rPr>
        <w:sz w:val="20"/>
        <w:szCs w:val="20"/>
      </w:rPr>
      <w:t>NCMP headline results 2021-22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E9862" w14:textId="77777777" w:rsidR="00607340" w:rsidRDefault="00607340" w:rsidP="00CE57B9">
      <w:pPr>
        <w:spacing w:after="0" w:line="240" w:lineRule="auto"/>
      </w:pPr>
      <w:r>
        <w:separator/>
      </w:r>
    </w:p>
  </w:footnote>
  <w:footnote w:type="continuationSeparator" w:id="0">
    <w:p w14:paraId="70F400E6" w14:textId="77777777" w:rsidR="00607340" w:rsidRDefault="00607340" w:rsidP="00CE5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4BB8" w14:textId="77777777" w:rsidR="00D73D33" w:rsidRDefault="00A72405">
    <w:pPr>
      <w:pStyle w:val="Header"/>
    </w:pPr>
    <w:r>
      <w:rPr>
        <w:b/>
        <w:noProof/>
        <w:color w:val="2D7C82"/>
        <w:sz w:val="36"/>
        <w:szCs w:val="36"/>
      </w:rPr>
      <w:drawing>
        <wp:anchor distT="0" distB="0" distL="114300" distR="114300" simplePos="0" relativeHeight="251669504" behindDoc="1" locked="0" layoutInCell="1" allowOverlap="1" wp14:anchorId="7255CC1F" wp14:editId="6084B28D">
          <wp:simplePos x="0" y="0"/>
          <wp:positionH relativeFrom="column">
            <wp:posOffset>4610100</wp:posOffset>
          </wp:positionH>
          <wp:positionV relativeFrom="paragraph">
            <wp:posOffset>-20955</wp:posOffset>
          </wp:positionV>
          <wp:extent cx="1516380" cy="365236"/>
          <wp:effectExtent l="0" t="0" r="762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pho-logo-TEAL-120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6380" cy="3652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B7BC5"/>
    <w:multiLevelType w:val="multilevel"/>
    <w:tmpl w:val="09CC2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2B3EDA"/>
    <w:multiLevelType w:val="hybridMultilevel"/>
    <w:tmpl w:val="F51A8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C26BF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E1956BB"/>
    <w:multiLevelType w:val="hybridMultilevel"/>
    <w:tmpl w:val="2E5A7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02ADA"/>
    <w:multiLevelType w:val="hybridMultilevel"/>
    <w:tmpl w:val="7480D8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2A5B25"/>
    <w:multiLevelType w:val="hybridMultilevel"/>
    <w:tmpl w:val="CC2C6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064617">
    <w:abstractNumId w:val="2"/>
  </w:num>
  <w:num w:numId="2" w16cid:durableId="855726124">
    <w:abstractNumId w:val="1"/>
  </w:num>
  <w:num w:numId="3" w16cid:durableId="1285313762">
    <w:abstractNumId w:val="3"/>
  </w:num>
  <w:num w:numId="4" w16cid:durableId="13969263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5624964">
    <w:abstractNumId w:val="0"/>
  </w:num>
  <w:num w:numId="6" w16cid:durableId="1158961164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691647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7340"/>
    <w:rsid w:val="00033B54"/>
    <w:rsid w:val="0004540E"/>
    <w:rsid w:val="00061AFB"/>
    <w:rsid w:val="00065257"/>
    <w:rsid w:val="00086D0D"/>
    <w:rsid w:val="000A403A"/>
    <w:rsid w:val="000D3E21"/>
    <w:rsid w:val="000F1537"/>
    <w:rsid w:val="00100175"/>
    <w:rsid w:val="00147CEF"/>
    <w:rsid w:val="001659FA"/>
    <w:rsid w:val="0018716B"/>
    <w:rsid w:val="001A0B13"/>
    <w:rsid w:val="001A5ABE"/>
    <w:rsid w:val="001D63B5"/>
    <w:rsid w:val="001F3FAA"/>
    <w:rsid w:val="00205561"/>
    <w:rsid w:val="002546F3"/>
    <w:rsid w:val="00267D0A"/>
    <w:rsid w:val="00283CC3"/>
    <w:rsid w:val="00285903"/>
    <w:rsid w:val="002B145F"/>
    <w:rsid w:val="002D3CC7"/>
    <w:rsid w:val="00302727"/>
    <w:rsid w:val="00305B8A"/>
    <w:rsid w:val="00344F4E"/>
    <w:rsid w:val="003743AC"/>
    <w:rsid w:val="00387544"/>
    <w:rsid w:val="003B50CC"/>
    <w:rsid w:val="003C347B"/>
    <w:rsid w:val="00401EC3"/>
    <w:rsid w:val="00404127"/>
    <w:rsid w:val="00447BE1"/>
    <w:rsid w:val="004837FE"/>
    <w:rsid w:val="00486699"/>
    <w:rsid w:val="004A343C"/>
    <w:rsid w:val="004C3410"/>
    <w:rsid w:val="004C50D7"/>
    <w:rsid w:val="004C7DFA"/>
    <w:rsid w:val="004D47D6"/>
    <w:rsid w:val="004E7CFF"/>
    <w:rsid w:val="00500CE7"/>
    <w:rsid w:val="0050710E"/>
    <w:rsid w:val="005210CB"/>
    <w:rsid w:val="00533C4C"/>
    <w:rsid w:val="005433A7"/>
    <w:rsid w:val="00554A21"/>
    <w:rsid w:val="00557DBD"/>
    <w:rsid w:val="005D1F7A"/>
    <w:rsid w:val="005F5E36"/>
    <w:rsid w:val="00607340"/>
    <w:rsid w:val="00621356"/>
    <w:rsid w:val="0063429D"/>
    <w:rsid w:val="00650037"/>
    <w:rsid w:val="00651E2E"/>
    <w:rsid w:val="0066579C"/>
    <w:rsid w:val="00686B1D"/>
    <w:rsid w:val="00692C96"/>
    <w:rsid w:val="006A60B6"/>
    <w:rsid w:val="006C4FA0"/>
    <w:rsid w:val="006E5018"/>
    <w:rsid w:val="006F5876"/>
    <w:rsid w:val="00700B8C"/>
    <w:rsid w:val="00715EA0"/>
    <w:rsid w:val="00727490"/>
    <w:rsid w:val="007A6B99"/>
    <w:rsid w:val="007F29E3"/>
    <w:rsid w:val="00837100"/>
    <w:rsid w:val="00847C21"/>
    <w:rsid w:val="00866539"/>
    <w:rsid w:val="008755E6"/>
    <w:rsid w:val="00882A3D"/>
    <w:rsid w:val="008A0F79"/>
    <w:rsid w:val="008D6B11"/>
    <w:rsid w:val="008E15E3"/>
    <w:rsid w:val="008E6059"/>
    <w:rsid w:val="008E66B3"/>
    <w:rsid w:val="009043C3"/>
    <w:rsid w:val="00915DC0"/>
    <w:rsid w:val="00936D2B"/>
    <w:rsid w:val="0094791C"/>
    <w:rsid w:val="00956E1A"/>
    <w:rsid w:val="009A012F"/>
    <w:rsid w:val="009B6535"/>
    <w:rsid w:val="009D4927"/>
    <w:rsid w:val="009D4AB0"/>
    <w:rsid w:val="009D5589"/>
    <w:rsid w:val="009E22A7"/>
    <w:rsid w:val="009E2DED"/>
    <w:rsid w:val="009E6EFF"/>
    <w:rsid w:val="00A05D3D"/>
    <w:rsid w:val="00A0754E"/>
    <w:rsid w:val="00A315C3"/>
    <w:rsid w:val="00A34C2C"/>
    <w:rsid w:val="00A40324"/>
    <w:rsid w:val="00A57BA9"/>
    <w:rsid w:val="00A72405"/>
    <w:rsid w:val="00A741D4"/>
    <w:rsid w:val="00A918AD"/>
    <w:rsid w:val="00AB6B07"/>
    <w:rsid w:val="00AC195E"/>
    <w:rsid w:val="00AE2702"/>
    <w:rsid w:val="00AE3DF1"/>
    <w:rsid w:val="00AE684F"/>
    <w:rsid w:val="00B12F18"/>
    <w:rsid w:val="00B17619"/>
    <w:rsid w:val="00B27DEB"/>
    <w:rsid w:val="00B51B2D"/>
    <w:rsid w:val="00B85671"/>
    <w:rsid w:val="00BA09A3"/>
    <w:rsid w:val="00BD73E7"/>
    <w:rsid w:val="00BD7D60"/>
    <w:rsid w:val="00BF0575"/>
    <w:rsid w:val="00C25F86"/>
    <w:rsid w:val="00C331E1"/>
    <w:rsid w:val="00C417C3"/>
    <w:rsid w:val="00C61873"/>
    <w:rsid w:val="00C76120"/>
    <w:rsid w:val="00C911A0"/>
    <w:rsid w:val="00CB23DF"/>
    <w:rsid w:val="00CB267F"/>
    <w:rsid w:val="00CD7BA1"/>
    <w:rsid w:val="00CE57B9"/>
    <w:rsid w:val="00D27506"/>
    <w:rsid w:val="00D30368"/>
    <w:rsid w:val="00D37CBF"/>
    <w:rsid w:val="00D50B1F"/>
    <w:rsid w:val="00D54691"/>
    <w:rsid w:val="00D66E71"/>
    <w:rsid w:val="00D67B30"/>
    <w:rsid w:val="00D73D33"/>
    <w:rsid w:val="00D772C3"/>
    <w:rsid w:val="00D86E16"/>
    <w:rsid w:val="00DB5040"/>
    <w:rsid w:val="00DD4EDC"/>
    <w:rsid w:val="00E23036"/>
    <w:rsid w:val="00E306CA"/>
    <w:rsid w:val="00E35F7C"/>
    <w:rsid w:val="00E401CE"/>
    <w:rsid w:val="00E4218B"/>
    <w:rsid w:val="00E45038"/>
    <w:rsid w:val="00E613D7"/>
    <w:rsid w:val="00E7074B"/>
    <w:rsid w:val="00E87DBF"/>
    <w:rsid w:val="00EB088A"/>
    <w:rsid w:val="00EE67B8"/>
    <w:rsid w:val="00EF3DD0"/>
    <w:rsid w:val="00F2326E"/>
    <w:rsid w:val="00F65430"/>
    <w:rsid w:val="00F86DC5"/>
    <w:rsid w:val="00F971C0"/>
    <w:rsid w:val="00FA2F35"/>
    <w:rsid w:val="00FB728D"/>
    <w:rsid w:val="00FC7A01"/>
    <w:rsid w:val="00FF1199"/>
    <w:rsid w:val="00FF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F24FA56"/>
  <w15:docId w15:val="{C8909439-DFA6-4F97-B403-D1EA0E6E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0CE7"/>
    <w:pPr>
      <w:spacing w:before="120" w:after="120"/>
    </w:pPr>
    <w:rPr>
      <w:rFonts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0CE7"/>
    <w:pPr>
      <w:keepNext/>
      <w:keepLines/>
      <w:numPr>
        <w:numId w:val="1"/>
      </w:numPr>
      <w:spacing w:before="360" w:after="240"/>
      <w:outlineLvl w:val="0"/>
    </w:pPr>
    <w:rPr>
      <w:rFonts w:eastAsiaTheme="majorEastAsia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3B54"/>
    <w:pPr>
      <w:keepNext/>
      <w:keepLines/>
      <w:numPr>
        <w:ilvl w:val="1"/>
        <w:numId w:val="1"/>
      </w:numPr>
      <w:spacing w:before="200"/>
      <w:outlineLvl w:val="1"/>
    </w:pPr>
    <w:rPr>
      <w:rFonts w:eastAsiaTheme="majorEastAsia"/>
      <w:b/>
      <w:bCs/>
      <w:color w:val="2D7C8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C347B"/>
    <w:pPr>
      <w:numPr>
        <w:ilvl w:val="2"/>
        <w:numId w:val="1"/>
      </w:num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F3DD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3DD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3DD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3DD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3DD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3DD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CE7"/>
    <w:rPr>
      <w:rFonts w:eastAsiaTheme="majorEastAsia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E1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33B54"/>
    <w:rPr>
      <w:rFonts w:eastAsiaTheme="majorEastAsia" w:cs="Arial"/>
      <w:b/>
      <w:bCs/>
      <w:color w:val="2D7C82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2326E"/>
    <w:pPr>
      <w:spacing w:before="480" w:after="0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302727"/>
    <w:pPr>
      <w:spacing w:before="360" w:after="240"/>
    </w:pPr>
    <w:rPr>
      <w:b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302727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F2326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57B9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5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57B9"/>
    <w:rPr>
      <w:rFonts w:ascii="Arial" w:hAnsi="Arial" w:cs="Arial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061AFB"/>
    <w:pPr>
      <w:spacing w:after="100"/>
      <w:ind w:left="440"/>
    </w:pPr>
    <w:rPr>
      <w:rFonts w:cstheme="minorBidi"/>
      <w:sz w:val="22"/>
      <w:szCs w:val="22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3C347B"/>
    <w:rPr>
      <w:rFonts w:cs="Arial"/>
      <w:b/>
      <w:sz w:val="24"/>
      <w:szCs w:val="24"/>
    </w:rPr>
  </w:style>
  <w:style w:type="table" w:styleId="TableGrid">
    <w:name w:val="Table Grid"/>
    <w:basedOn w:val="TableNormal"/>
    <w:uiPriority w:val="59"/>
    <w:rsid w:val="0083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PHO2ndattempt">
    <w:name w:val="KPHO 2nd attempt"/>
    <w:basedOn w:val="TableNormal"/>
    <w:uiPriority w:val="99"/>
    <w:rsid w:val="00866539"/>
    <w:pPr>
      <w:spacing w:before="120" w:after="120" w:line="240" w:lineRule="auto"/>
    </w:pPr>
    <w:rPr>
      <w:rFonts w:ascii="Arial" w:hAnsi="Arial"/>
      <w:sz w:val="24"/>
    </w:rPr>
    <w:tblPr>
      <w:tblStyleRowBandSize w:val="1"/>
      <w:tblBorders>
        <w:top w:val="single" w:sz="12" w:space="0" w:color="D9D9D9" w:themeColor="background1" w:themeShade="D9"/>
        <w:left w:val="single" w:sz="12" w:space="0" w:color="D9D9D9" w:themeColor="background1" w:themeShade="D9"/>
        <w:bottom w:val="single" w:sz="12" w:space="0" w:color="D9D9D9" w:themeColor="background1" w:themeShade="D9"/>
        <w:right w:val="single" w:sz="12" w:space="0" w:color="D9D9D9" w:themeColor="background1" w:themeShade="D9"/>
        <w:insideH w:val="single" w:sz="12" w:space="0" w:color="FFFFFF" w:themeColor="background1"/>
        <w:insideV w:val="single" w:sz="12" w:space="0" w:color="FFFFFF" w:themeColor="background1"/>
      </w:tblBorders>
    </w:tblPr>
    <w:tblStylePr w:type="firstRow">
      <w:rPr>
        <w:b/>
      </w:rPr>
      <w:tblPr/>
      <w:tcPr>
        <w:tcBorders>
          <w:top w:val="single" w:sz="8" w:space="0" w:color="D9D9D9" w:themeColor="background1" w:themeShade="D9"/>
          <w:left w:val="single" w:sz="8" w:space="0" w:color="D9D9D9" w:themeColor="background1" w:themeShade="D9"/>
          <w:bottom w:val="single" w:sz="12" w:space="0" w:color="FFFFFF" w:themeColor="background1"/>
          <w:right w:val="single" w:sz="8" w:space="0" w:color="D9D9D9" w:themeColor="background1" w:themeShade="D9"/>
          <w:insideH w:val="nil"/>
          <w:insideV w:val="single" w:sz="12" w:space="0" w:color="FFFFFF" w:themeColor="background1"/>
          <w:tl2br w:val="nil"/>
          <w:tr2bl w:val="nil"/>
        </w:tcBorders>
        <w:shd w:val="pct5" w:color="auto" w:fill="auto"/>
      </w:tcPr>
    </w:tblStylePr>
    <w:tblStylePr w:type="lastRow">
      <w:tblPr/>
      <w:tcPr>
        <w:tcBorders>
          <w:top w:val="nil"/>
          <w:left w:val="single" w:sz="12" w:space="0" w:color="D9D9D9" w:themeColor="background1" w:themeShade="D9"/>
          <w:bottom w:val="single" w:sz="12" w:space="0" w:color="D9D9D9" w:themeColor="background1" w:themeShade="D9"/>
          <w:right w:val="single" w:sz="12" w:space="0" w:color="D9D9D9" w:themeColor="background1" w:themeShade="D9"/>
          <w:insideH w:val="nil"/>
          <w:insideV w:val="single" w:sz="12" w:space="0" w:color="FFFFFF" w:themeColor="background1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8" w:space="0" w:color="D9D9D9" w:themeColor="background1" w:themeShade="D9"/>
          <w:bottom w:val="single" w:sz="12" w:space="0" w:color="FFFFFF" w:themeColor="background1"/>
          <w:right w:val="single" w:sz="8" w:space="0" w:color="D9D9D9" w:themeColor="background1" w:themeShade="D9"/>
          <w:insideH w:val="nil"/>
          <w:insideV w:val="single" w:sz="12" w:space="0" w:color="FFFFFF" w:themeColor="background1"/>
          <w:tl2br w:val="nil"/>
          <w:tr2bl w:val="nil"/>
        </w:tcBorders>
      </w:tcPr>
    </w:tblStylePr>
    <w:tblStylePr w:type="band2Horz">
      <w:tblPr/>
      <w:tcPr>
        <w:tcBorders>
          <w:top w:val="nil"/>
          <w:left w:val="single" w:sz="8" w:space="0" w:color="D9D9D9" w:themeColor="background1" w:themeShade="D9"/>
          <w:bottom w:val="single" w:sz="12" w:space="0" w:color="FFFFFF" w:themeColor="background1"/>
          <w:right w:val="single" w:sz="8" w:space="0" w:color="D9D9D9" w:themeColor="background1" w:themeShade="D9"/>
          <w:insideH w:val="nil"/>
          <w:insideV w:val="single" w:sz="12" w:space="0" w:color="FFFFFF" w:themeColor="background1"/>
          <w:tl2br w:val="nil"/>
          <w:tr2bl w:val="nil"/>
        </w:tcBorders>
        <w:shd w:val="pct5" w:color="auto" w:fill="auto"/>
      </w:tcPr>
    </w:tblStylePr>
  </w:style>
  <w:style w:type="table" w:styleId="MediumShading1">
    <w:name w:val="Medium Shading 1"/>
    <w:basedOn w:val="TableNormal"/>
    <w:uiPriority w:val="63"/>
    <w:rsid w:val="007A6B9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1F3FA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3FAA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F3FAA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3D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3D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3D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3DD0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3D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3D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D3CC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D5589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D5589"/>
    <w:pPr>
      <w:spacing w:before="0" w:after="0"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msolistparagraph">
    <w:name w:val="x_msolistparagraph"/>
    <w:basedOn w:val="Normal"/>
    <w:rsid w:val="009D5589"/>
    <w:pPr>
      <w:spacing w:before="0" w:after="200" w:line="240" w:lineRule="auto"/>
      <w:ind w:left="720"/>
    </w:pPr>
    <w:rPr>
      <w:rFonts w:ascii="Calibri" w:eastAsiaTheme="minorHAns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D5589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686B1D"/>
    <w:pPr>
      <w:spacing w:before="0" w:after="0" w:line="240" w:lineRule="auto"/>
      <w:contextualSpacing/>
    </w:pPr>
    <w:rPr>
      <w:rFonts w:ascii="Verdana" w:eastAsiaTheme="majorEastAsia" w:hAnsi="Verdana" w:cstheme="majorBidi"/>
      <w:b/>
      <w:color w:val="2D7C82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B1D"/>
    <w:rPr>
      <w:rFonts w:ascii="Verdana" w:eastAsiaTheme="majorEastAsia" w:hAnsi="Verdana" w:cstheme="majorBidi"/>
      <w:b/>
      <w:color w:val="2D7C82"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8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statistics/obesity-profile-november-2023-update/obesity-profile-statistical-commentary-november-2023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pho.org.uk" TargetMode="External"/><Relationship Id="rId14" Type="http://schemas.openxmlformats.org/officeDocument/2006/relationships/hyperlink" Target="https://digital.nhs.uk/data-and-information/publications/statistical/national-child-measurement-programme/2022-23-school-yea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.chambers@kent.gov.uk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victa.cantium.net\KCCRoot\Global\SHQ\ST%20Strategic%20Commissioning\Analytics%20(R)\Public%20Health%20Observatory%20(R)\Admin\Template\Document%20templates\KPHO_report_template_autonumbering_versioncontr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DDF1F3"/>
        </a:solidFill>
        <a:ln>
          <a:solidFill>
            <a:srgbClr val="2D7C82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2D7C82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831B4-9722-47EA-9853-08C5D0339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KPHO_report_template_autonumbering_versioncontrol</Template>
  <TotalTime>96</TotalTime>
  <Pages>3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Bourne, Tom - AH PH</dc:creator>
  <cp:lastModifiedBy>Mark Chambers  - CED SPRCA</cp:lastModifiedBy>
  <cp:revision>13</cp:revision>
  <cp:lastPrinted>2015-10-08T09:21:00Z</cp:lastPrinted>
  <dcterms:created xsi:type="dcterms:W3CDTF">2022-12-02T15:11:00Z</dcterms:created>
  <dcterms:modified xsi:type="dcterms:W3CDTF">2023-12-10T09:09:00Z</dcterms:modified>
</cp:coreProperties>
</file>