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C8522" w14:textId="1C3D7289" w:rsidR="00956E1A" w:rsidRDefault="00447BE1" w:rsidP="0086404F">
      <w:bookmarkStart w:id="0" w:name="_Hlk135902792"/>
      <w:bookmarkEnd w:id="0"/>
      <w:r>
        <w:rPr>
          <w:noProof/>
        </w:rPr>
        <w:drawing>
          <wp:inline distT="0" distB="0" distL="0" distR="0" wp14:anchorId="6FFBD3B0" wp14:editId="6719E1CB">
            <wp:extent cx="6781800" cy="3078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bann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1800" cy="3078480"/>
                    </a:xfrm>
                    <a:prstGeom prst="rect">
                      <a:avLst/>
                    </a:prstGeom>
                  </pic:spPr>
                </pic:pic>
              </a:graphicData>
            </a:graphic>
          </wp:inline>
        </w:drawing>
      </w:r>
      <w:r>
        <w:rPr>
          <w:noProof/>
        </w:rPr>
        <w:drawing>
          <wp:anchor distT="0" distB="0" distL="114300" distR="114300" simplePos="0" relativeHeight="251651584" behindDoc="0" locked="0" layoutInCell="1" allowOverlap="1" wp14:anchorId="13EC2F97" wp14:editId="769A2AD0">
            <wp:simplePos x="0" y="0"/>
            <wp:positionH relativeFrom="column">
              <wp:posOffset>411480</wp:posOffset>
            </wp:positionH>
            <wp:positionV relativeFrom="paragraph">
              <wp:posOffset>-152400</wp:posOffset>
            </wp:positionV>
            <wp:extent cx="2286000" cy="548640"/>
            <wp:effectExtent l="0" t="0" r="0" b="3810"/>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ho-logo-WHITE-0300.png"/>
                    <pic:cNvPicPr/>
                  </pic:nvPicPr>
                  <pic:blipFill>
                    <a:blip r:embed="rId10">
                      <a:extLst>
                        <a:ext uri="{28A0092B-C50C-407E-A947-70E740481C1C}">
                          <a14:useLocalDpi xmlns:a14="http://schemas.microsoft.com/office/drawing/2010/main" val="0"/>
                        </a:ext>
                      </a:extLst>
                    </a:blip>
                    <a:stretch>
                      <a:fillRect/>
                    </a:stretch>
                  </pic:blipFill>
                  <pic:spPr>
                    <a:xfrm>
                      <a:off x="0" y="0"/>
                      <a:ext cx="2286000" cy="548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4C50F99B" wp14:editId="70DE5DFF">
            <wp:simplePos x="0" y="0"/>
            <wp:positionH relativeFrom="column">
              <wp:posOffset>83820</wp:posOffset>
            </wp:positionH>
            <wp:positionV relativeFrom="paragraph">
              <wp:posOffset>-350520</wp:posOffset>
            </wp:positionV>
            <wp:extent cx="6633845" cy="12649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polygon_top_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6633845" cy="1264920"/>
                    </a:xfrm>
                    <a:prstGeom prst="rect">
                      <a:avLst/>
                    </a:prstGeom>
                  </pic:spPr>
                </pic:pic>
              </a:graphicData>
            </a:graphic>
            <wp14:sizeRelH relativeFrom="page">
              <wp14:pctWidth>0</wp14:pctWidth>
            </wp14:sizeRelH>
            <wp14:sizeRelV relativeFrom="page">
              <wp14:pctHeight>0</wp14:pctHeight>
            </wp14:sizeRelV>
          </wp:anchor>
        </w:drawing>
      </w:r>
    </w:p>
    <w:p w14:paraId="33FC4271" w14:textId="77777777" w:rsidR="00956E1A" w:rsidRDefault="00956E1A" w:rsidP="0086404F"/>
    <w:p w14:paraId="6F8DC1C3" w14:textId="77777777" w:rsidR="00956E1A" w:rsidRDefault="00956E1A" w:rsidP="0086404F"/>
    <w:p w14:paraId="2C4F5871" w14:textId="77777777" w:rsidR="00956E1A" w:rsidRDefault="00956E1A" w:rsidP="0086404F"/>
    <w:p w14:paraId="7B00B19A" w14:textId="77777777" w:rsidR="00956E1A" w:rsidRDefault="00956E1A" w:rsidP="0086404F"/>
    <w:p w14:paraId="243F0ECD" w14:textId="1888A8F9" w:rsidR="00D675AB" w:rsidRDefault="00D675AB" w:rsidP="00D675AB">
      <w:pPr>
        <w:pStyle w:val="Title"/>
        <w:jc w:val="center"/>
      </w:pPr>
      <w:r>
        <w:t>Analysis of Active Travel in Kent</w:t>
      </w:r>
    </w:p>
    <w:p w14:paraId="64AA56E1" w14:textId="2227913C" w:rsidR="00956E1A" w:rsidRDefault="00D675AB" w:rsidP="00D675AB">
      <w:pPr>
        <w:pStyle w:val="Title"/>
        <w:jc w:val="center"/>
      </w:pPr>
      <w:r>
        <w:t>(2016 to 2021)</w:t>
      </w:r>
    </w:p>
    <w:p w14:paraId="75D3F257" w14:textId="77777777" w:rsidR="00956E1A" w:rsidRDefault="00956E1A" w:rsidP="0086404F"/>
    <w:p w14:paraId="5F04F66E" w14:textId="77777777" w:rsidR="00956E1A" w:rsidRDefault="00956E1A" w:rsidP="0086404F"/>
    <w:p w14:paraId="74633300" w14:textId="77777777" w:rsidR="005433A7" w:rsidRDefault="001A5ABE" w:rsidP="0086404F">
      <w:pPr>
        <w:jc w:val="center"/>
        <w:rPr>
          <w:b/>
          <w:color w:val="2D7C82"/>
          <w:sz w:val="48"/>
          <w:szCs w:val="48"/>
        </w:rPr>
      </w:pPr>
      <w:r w:rsidRPr="00621356">
        <w:rPr>
          <w:noProof/>
          <w:sz w:val="22"/>
          <w:szCs w:val="22"/>
        </w:rPr>
        <mc:AlternateContent>
          <mc:Choice Requires="wps">
            <w:drawing>
              <wp:anchor distT="0" distB="0" distL="114300" distR="114300" simplePos="0" relativeHeight="251652608" behindDoc="0" locked="0" layoutInCell="1" allowOverlap="1" wp14:anchorId="73B09896" wp14:editId="3FE9B0DC">
                <wp:simplePos x="0" y="0"/>
                <wp:positionH relativeFrom="column">
                  <wp:posOffset>-49530</wp:posOffset>
                </wp:positionH>
                <wp:positionV relativeFrom="paragraph">
                  <wp:posOffset>259080</wp:posOffset>
                </wp:positionV>
                <wp:extent cx="6835140" cy="4953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495300"/>
                        </a:xfrm>
                        <a:prstGeom prst="rect">
                          <a:avLst/>
                        </a:prstGeom>
                        <a:noFill/>
                        <a:ln w="9525">
                          <a:noFill/>
                          <a:miter lim="800000"/>
                          <a:headEnd/>
                          <a:tailEnd/>
                        </a:ln>
                      </wps:spPr>
                      <wps:txbx>
                        <w:txbxContent>
                          <w:p w14:paraId="3D7CFD22" w14:textId="4B35F2B1" w:rsidR="009B6535" w:rsidRPr="009F2D67" w:rsidRDefault="00D82FD1" w:rsidP="009B6535">
                            <w:pPr>
                              <w:jc w:val="center"/>
                              <w:rPr>
                                <w:rFonts w:ascii="Verdana" w:hAnsi="Verdana"/>
                                <w:sz w:val="22"/>
                                <w:szCs w:val="22"/>
                              </w:rPr>
                            </w:pPr>
                            <w:r>
                              <w:rPr>
                                <w:rFonts w:ascii="Verdana" w:hAnsi="Verdana"/>
                                <w:b/>
                                <w:color w:val="2D7C82"/>
                                <w:sz w:val="36"/>
                                <w:szCs w:val="44"/>
                              </w:rPr>
                              <w:t>July</w:t>
                            </w:r>
                            <w:r w:rsidR="00633844" w:rsidRPr="009F2D67">
                              <w:rPr>
                                <w:rFonts w:ascii="Verdana" w:hAnsi="Verdana"/>
                                <w:b/>
                                <w:color w:val="2D7C82"/>
                                <w:sz w:val="36"/>
                                <w:szCs w:val="44"/>
                              </w:rPr>
                              <w:t xml:space="preserve"> 202</w:t>
                            </w:r>
                            <w:r w:rsidR="00F431B8">
                              <w:rPr>
                                <w:rFonts w:ascii="Verdana" w:hAnsi="Verdana"/>
                                <w:b/>
                                <w:color w:val="2D7C82"/>
                                <w:sz w:val="36"/>
                                <w:szCs w:val="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09896" id="_x0000_t202" coordsize="21600,21600" o:spt="202" path="m,l,21600r21600,l21600,xe">
                <v:stroke joinstyle="miter"/>
                <v:path gradientshapeok="t" o:connecttype="rect"/>
              </v:shapetype>
              <v:shape id="Text Box 18" o:spid="_x0000_s1026" type="#_x0000_t202" style="position:absolute;left:0;text-align:left;margin-left:-3.9pt;margin-top:20.4pt;width:538.2pt;height: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" filled="f" stroked="f">
                <v:textbox>
                  <w:txbxContent>
                    <w:p w14:paraId="3D7CFD22" w14:textId="4B35F2B1" w:rsidR="009B6535" w:rsidRPr="009F2D67" w:rsidRDefault="00D82FD1" w:rsidP="009B6535">
                      <w:pPr>
                        <w:jc w:val="center"/>
                        <w:rPr>
                          <w:rFonts w:ascii="Verdana" w:hAnsi="Verdana"/>
                          <w:sz w:val="22"/>
                          <w:szCs w:val="22"/>
                        </w:rPr>
                      </w:pPr>
                      <w:r>
                        <w:rPr>
                          <w:rFonts w:ascii="Verdana" w:hAnsi="Verdana"/>
                          <w:b/>
                          <w:color w:val="2D7C82"/>
                          <w:sz w:val="36"/>
                          <w:szCs w:val="44"/>
                        </w:rPr>
                        <w:t>July</w:t>
                      </w:r>
                      <w:r w:rsidR="00633844" w:rsidRPr="009F2D67">
                        <w:rPr>
                          <w:rFonts w:ascii="Verdana" w:hAnsi="Verdana"/>
                          <w:b/>
                          <w:color w:val="2D7C82"/>
                          <w:sz w:val="36"/>
                          <w:szCs w:val="44"/>
                        </w:rPr>
                        <w:t xml:space="preserve"> 202</w:t>
                      </w:r>
                      <w:r w:rsidR="00F431B8">
                        <w:rPr>
                          <w:rFonts w:ascii="Verdana" w:hAnsi="Verdana"/>
                          <w:b/>
                          <w:color w:val="2D7C82"/>
                          <w:sz w:val="36"/>
                          <w:szCs w:val="44"/>
                        </w:rPr>
                        <w:t>3</w:t>
                      </w:r>
                    </w:p>
                  </w:txbxContent>
                </v:textbox>
              </v:shape>
            </w:pict>
          </mc:Fallback>
        </mc:AlternateContent>
      </w:r>
    </w:p>
    <w:p w14:paraId="1CA88675" w14:textId="77777777" w:rsidR="005433A7" w:rsidRDefault="001A5ABE" w:rsidP="0086404F">
      <w:pPr>
        <w:jc w:val="right"/>
        <w:rPr>
          <w:b/>
          <w:color w:val="2D7C82"/>
          <w:sz w:val="26"/>
          <w:szCs w:val="26"/>
        </w:rPr>
      </w:pPr>
      <w:r>
        <w:rPr>
          <w:noProof/>
        </w:rPr>
        <w:drawing>
          <wp:anchor distT="0" distB="0" distL="114300" distR="114300" simplePos="0" relativeHeight="251649536" behindDoc="0" locked="0" layoutInCell="1" allowOverlap="1" wp14:anchorId="54ADBA62" wp14:editId="19C9E18B">
            <wp:simplePos x="0" y="0"/>
            <wp:positionH relativeFrom="column">
              <wp:posOffset>3044190</wp:posOffset>
            </wp:positionH>
            <wp:positionV relativeFrom="paragraph">
              <wp:posOffset>226695</wp:posOffset>
            </wp:positionV>
            <wp:extent cx="647700" cy="7315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_apple_transparent.png"/>
                    <pic:cNvPicPr/>
                  </pic:nvPicPr>
                  <pic:blipFill>
                    <a:blip r:embed="rId12">
                      <a:extLst>
                        <a:ext uri="{28A0092B-C50C-407E-A947-70E740481C1C}">
                          <a14:useLocalDpi xmlns:a14="http://schemas.microsoft.com/office/drawing/2010/main" val="0"/>
                        </a:ext>
                      </a:extLst>
                    </a:blip>
                    <a:stretch>
                      <a:fillRect/>
                    </a:stretch>
                  </pic:blipFill>
                  <pic:spPr>
                    <a:xfrm>
                      <a:off x="0" y="0"/>
                      <a:ext cx="647700" cy="731520"/>
                    </a:xfrm>
                    <a:prstGeom prst="rect">
                      <a:avLst/>
                    </a:prstGeom>
                  </pic:spPr>
                </pic:pic>
              </a:graphicData>
            </a:graphic>
            <wp14:sizeRelH relativeFrom="page">
              <wp14:pctWidth>0</wp14:pctWidth>
            </wp14:sizeRelH>
            <wp14:sizeRelV relativeFrom="page">
              <wp14:pctHeight>0</wp14:pctHeight>
            </wp14:sizeRelV>
          </wp:anchor>
        </w:drawing>
      </w:r>
    </w:p>
    <w:p w14:paraId="74A58A72" w14:textId="2F3909A9" w:rsidR="00B51B2D" w:rsidRDefault="00B51B2D" w:rsidP="0086404F">
      <w:pPr>
        <w:sectPr w:rsidR="00B51B2D" w:rsidSect="00AC195E">
          <w:footerReference w:type="default" r:id="rId13"/>
          <w:pgSz w:w="11906" w:h="16838"/>
          <w:pgMar w:top="1440" w:right="567" w:bottom="1440" w:left="709" w:header="709" w:footer="709" w:gutter="0"/>
          <w:cols w:space="708"/>
          <w:docGrid w:linePitch="360"/>
        </w:sectPr>
      </w:pPr>
    </w:p>
    <w:p w14:paraId="2FF72F8B" w14:textId="3967C4F9" w:rsidR="00302727" w:rsidRPr="00CB3048" w:rsidRDefault="00302727" w:rsidP="0086404F">
      <w:pPr>
        <w:rPr>
          <w:rFonts w:ascii="Verdana" w:hAnsi="Verdana"/>
          <w:b/>
          <w:vanish/>
          <w:sz w:val="52"/>
          <w:szCs w:val="52"/>
          <w:specVanish/>
        </w:rPr>
      </w:pPr>
      <w:r w:rsidRPr="00812010">
        <w:rPr>
          <w:rFonts w:ascii="Verdana" w:hAnsi="Verdana"/>
          <w:b/>
          <w:color w:val="2D7C82"/>
          <w:sz w:val="40"/>
          <w:szCs w:val="40"/>
        </w:rPr>
        <w:lastRenderedPageBreak/>
        <w:t>|</w:t>
      </w:r>
    </w:p>
    <w:p w14:paraId="38E7A8D6" w14:textId="5CFC54C7" w:rsidR="00302727" w:rsidRPr="00CB3048" w:rsidRDefault="00302727" w:rsidP="00CB3048">
      <w:pPr>
        <w:pStyle w:val="TOC1"/>
        <w:rPr>
          <w:sz w:val="48"/>
          <w:szCs w:val="40"/>
        </w:rPr>
      </w:pPr>
      <w:r w:rsidRPr="00CB3048">
        <w:t>Contents</w:t>
      </w:r>
    </w:p>
    <w:p w14:paraId="45AA37B4" w14:textId="6C549A4F" w:rsidR="000B2C9F" w:rsidRDefault="00302727">
      <w:pPr>
        <w:pStyle w:val="TOC1"/>
        <w:rPr>
          <w:rFonts w:asciiTheme="minorHAnsi" w:hAnsiTheme="minorHAnsi" w:cstheme="minorBidi"/>
          <w:b w:val="0"/>
          <w:noProof/>
          <w:kern w:val="2"/>
          <w:sz w:val="22"/>
          <w:szCs w:val="22"/>
          <w14:ligatures w14:val="standardContextual"/>
        </w:rPr>
      </w:pPr>
      <w:r w:rsidRPr="00B010BB">
        <w:rPr>
          <w:color w:val="2D7C82"/>
          <w:szCs w:val="40"/>
        </w:rPr>
        <w:fldChar w:fldCharType="begin"/>
      </w:r>
      <w:r w:rsidRPr="00B010BB">
        <w:rPr>
          <w:color w:val="2D7C82"/>
          <w:szCs w:val="40"/>
        </w:rPr>
        <w:instrText xml:space="preserve"> TOC \o "1-3" \h \z \u </w:instrText>
      </w:r>
      <w:r w:rsidRPr="00B010BB">
        <w:rPr>
          <w:color w:val="2D7C82"/>
          <w:szCs w:val="40"/>
        </w:rPr>
        <w:fldChar w:fldCharType="separate"/>
      </w:r>
      <w:hyperlink w:anchor="_Toc139375890" w:history="1">
        <w:r w:rsidR="000B2C9F" w:rsidRPr="00D16644">
          <w:rPr>
            <w:rStyle w:val="Hyperlink"/>
            <w:noProof/>
          </w:rPr>
          <w:t>Analysis of Active Travel Data for Kent</w:t>
        </w:r>
        <w:r w:rsidR="000B2C9F">
          <w:rPr>
            <w:noProof/>
            <w:webHidden/>
          </w:rPr>
          <w:tab/>
        </w:r>
        <w:r w:rsidR="000B2C9F">
          <w:rPr>
            <w:noProof/>
            <w:webHidden/>
          </w:rPr>
          <w:fldChar w:fldCharType="begin"/>
        </w:r>
        <w:r w:rsidR="000B2C9F">
          <w:rPr>
            <w:noProof/>
            <w:webHidden/>
          </w:rPr>
          <w:instrText xml:space="preserve"> PAGEREF _Toc139375890 \h </w:instrText>
        </w:r>
        <w:r w:rsidR="000B2C9F">
          <w:rPr>
            <w:noProof/>
            <w:webHidden/>
          </w:rPr>
        </w:r>
        <w:r w:rsidR="000B2C9F">
          <w:rPr>
            <w:noProof/>
            <w:webHidden/>
          </w:rPr>
          <w:fldChar w:fldCharType="separate"/>
        </w:r>
        <w:r w:rsidR="000B2C9F">
          <w:rPr>
            <w:noProof/>
            <w:webHidden/>
          </w:rPr>
          <w:t>2</w:t>
        </w:r>
        <w:r w:rsidR="000B2C9F">
          <w:rPr>
            <w:noProof/>
            <w:webHidden/>
          </w:rPr>
          <w:fldChar w:fldCharType="end"/>
        </w:r>
      </w:hyperlink>
    </w:p>
    <w:p w14:paraId="2E27C457" w14:textId="1A553926" w:rsidR="000B2C9F" w:rsidRDefault="00F31B02">
      <w:pPr>
        <w:pStyle w:val="TOC2"/>
        <w:tabs>
          <w:tab w:val="right" w:leader="dot" w:pos="9016"/>
        </w:tabs>
        <w:rPr>
          <w:rFonts w:cstheme="minorBidi"/>
          <w:noProof/>
          <w:kern w:val="2"/>
          <w:sz w:val="22"/>
          <w:szCs w:val="22"/>
          <w14:ligatures w14:val="standardContextual"/>
        </w:rPr>
      </w:pPr>
      <w:hyperlink w:anchor="_Toc139375891" w:history="1">
        <w:r w:rsidR="000B2C9F" w:rsidRPr="00D16644">
          <w:rPr>
            <w:rStyle w:val="Hyperlink"/>
            <w:rFonts w:ascii="Verdana" w:hAnsi="Verdana"/>
            <w:noProof/>
          </w:rPr>
          <w:t xml:space="preserve">1. </w:t>
        </w:r>
        <w:r w:rsidR="000B2C9F" w:rsidRPr="000B2C9F">
          <w:rPr>
            <w:rStyle w:val="Hyperlink"/>
            <w:rFonts w:ascii="Verdana" w:hAnsi="Verdana"/>
            <w:b/>
            <w:bCs/>
            <w:noProof/>
          </w:rPr>
          <w:t>Executive Summary</w:t>
        </w:r>
        <w:r w:rsidR="000B2C9F">
          <w:rPr>
            <w:noProof/>
            <w:webHidden/>
          </w:rPr>
          <w:tab/>
        </w:r>
        <w:r w:rsidR="000B2C9F">
          <w:rPr>
            <w:noProof/>
            <w:webHidden/>
          </w:rPr>
          <w:fldChar w:fldCharType="begin"/>
        </w:r>
        <w:r w:rsidR="000B2C9F">
          <w:rPr>
            <w:noProof/>
            <w:webHidden/>
          </w:rPr>
          <w:instrText xml:space="preserve"> PAGEREF _Toc139375891 \h </w:instrText>
        </w:r>
        <w:r w:rsidR="000B2C9F">
          <w:rPr>
            <w:noProof/>
            <w:webHidden/>
          </w:rPr>
        </w:r>
        <w:r w:rsidR="000B2C9F">
          <w:rPr>
            <w:noProof/>
            <w:webHidden/>
          </w:rPr>
          <w:fldChar w:fldCharType="separate"/>
        </w:r>
        <w:r w:rsidR="000B2C9F">
          <w:rPr>
            <w:noProof/>
            <w:webHidden/>
          </w:rPr>
          <w:t>2</w:t>
        </w:r>
        <w:r w:rsidR="000B2C9F">
          <w:rPr>
            <w:noProof/>
            <w:webHidden/>
          </w:rPr>
          <w:fldChar w:fldCharType="end"/>
        </w:r>
      </w:hyperlink>
    </w:p>
    <w:p w14:paraId="46A4102D" w14:textId="166A0F41" w:rsidR="000B2C9F" w:rsidRDefault="00F31B02">
      <w:pPr>
        <w:pStyle w:val="TOC3"/>
        <w:tabs>
          <w:tab w:val="left" w:pos="1100"/>
          <w:tab w:val="right" w:leader="dot" w:pos="9016"/>
        </w:tabs>
        <w:rPr>
          <w:noProof/>
          <w:kern w:val="2"/>
          <w:lang w:val="en-GB" w:eastAsia="en-GB"/>
          <w14:ligatures w14:val="standardContextual"/>
        </w:rPr>
      </w:pPr>
      <w:hyperlink w:anchor="_Toc139375892" w:history="1">
        <w:r w:rsidR="000B2C9F" w:rsidRPr="00D16644">
          <w:rPr>
            <w:rStyle w:val="Hyperlink"/>
            <w:rFonts w:ascii="Verdana" w:hAnsi="Verdana"/>
            <w:noProof/>
          </w:rPr>
          <w:t>1.1</w:t>
        </w:r>
        <w:r w:rsidR="000B2C9F">
          <w:rPr>
            <w:noProof/>
            <w:kern w:val="2"/>
            <w:lang w:val="en-GB" w:eastAsia="en-GB"/>
            <w14:ligatures w14:val="standardContextual"/>
          </w:rPr>
          <w:tab/>
        </w:r>
        <w:r w:rsidR="000B2C9F" w:rsidRPr="00D16644">
          <w:rPr>
            <w:rStyle w:val="Hyperlink"/>
            <w:rFonts w:ascii="Verdana" w:hAnsi="Verdana"/>
            <w:noProof/>
          </w:rPr>
          <w:t>Key Findings</w:t>
        </w:r>
        <w:r w:rsidR="000B2C9F">
          <w:rPr>
            <w:noProof/>
            <w:webHidden/>
          </w:rPr>
          <w:tab/>
        </w:r>
        <w:r w:rsidR="000B2C9F">
          <w:rPr>
            <w:noProof/>
            <w:webHidden/>
          </w:rPr>
          <w:fldChar w:fldCharType="begin"/>
        </w:r>
        <w:r w:rsidR="000B2C9F">
          <w:rPr>
            <w:noProof/>
            <w:webHidden/>
          </w:rPr>
          <w:instrText xml:space="preserve"> PAGEREF _Toc139375892 \h </w:instrText>
        </w:r>
        <w:r w:rsidR="000B2C9F">
          <w:rPr>
            <w:noProof/>
            <w:webHidden/>
          </w:rPr>
        </w:r>
        <w:r w:rsidR="000B2C9F">
          <w:rPr>
            <w:noProof/>
            <w:webHidden/>
          </w:rPr>
          <w:fldChar w:fldCharType="separate"/>
        </w:r>
        <w:r w:rsidR="000B2C9F">
          <w:rPr>
            <w:noProof/>
            <w:webHidden/>
          </w:rPr>
          <w:t>2</w:t>
        </w:r>
        <w:r w:rsidR="000B2C9F">
          <w:rPr>
            <w:noProof/>
            <w:webHidden/>
          </w:rPr>
          <w:fldChar w:fldCharType="end"/>
        </w:r>
      </w:hyperlink>
    </w:p>
    <w:p w14:paraId="1F0D6EA2" w14:textId="3B85182E" w:rsidR="000B2C9F" w:rsidRDefault="00F31B02">
      <w:pPr>
        <w:pStyle w:val="TOC3"/>
        <w:tabs>
          <w:tab w:val="left" w:pos="1100"/>
          <w:tab w:val="right" w:leader="dot" w:pos="9016"/>
        </w:tabs>
        <w:rPr>
          <w:noProof/>
          <w:kern w:val="2"/>
          <w:lang w:val="en-GB" w:eastAsia="en-GB"/>
          <w14:ligatures w14:val="standardContextual"/>
        </w:rPr>
      </w:pPr>
      <w:hyperlink w:anchor="_Toc139375893" w:history="1">
        <w:r w:rsidR="000B2C9F" w:rsidRPr="00D16644">
          <w:rPr>
            <w:rStyle w:val="Hyperlink"/>
            <w:rFonts w:ascii="Verdana" w:hAnsi="Verdana"/>
            <w:noProof/>
          </w:rPr>
          <w:t>1.2</w:t>
        </w:r>
        <w:r w:rsidR="000B2C9F">
          <w:rPr>
            <w:noProof/>
            <w:kern w:val="2"/>
            <w:lang w:val="en-GB" w:eastAsia="en-GB"/>
            <w14:ligatures w14:val="standardContextual"/>
          </w:rPr>
          <w:tab/>
        </w:r>
        <w:r w:rsidR="000B2C9F" w:rsidRPr="00D16644">
          <w:rPr>
            <w:rStyle w:val="Hyperlink"/>
            <w:rFonts w:ascii="Verdana" w:hAnsi="Verdana"/>
            <w:noProof/>
          </w:rPr>
          <w:t>Call to Action</w:t>
        </w:r>
        <w:r w:rsidR="000B2C9F">
          <w:rPr>
            <w:noProof/>
            <w:webHidden/>
          </w:rPr>
          <w:tab/>
        </w:r>
        <w:r w:rsidR="000B2C9F">
          <w:rPr>
            <w:noProof/>
            <w:webHidden/>
          </w:rPr>
          <w:fldChar w:fldCharType="begin"/>
        </w:r>
        <w:r w:rsidR="000B2C9F">
          <w:rPr>
            <w:noProof/>
            <w:webHidden/>
          </w:rPr>
          <w:instrText xml:space="preserve"> PAGEREF _Toc139375893 \h </w:instrText>
        </w:r>
        <w:r w:rsidR="000B2C9F">
          <w:rPr>
            <w:noProof/>
            <w:webHidden/>
          </w:rPr>
        </w:r>
        <w:r w:rsidR="000B2C9F">
          <w:rPr>
            <w:noProof/>
            <w:webHidden/>
          </w:rPr>
          <w:fldChar w:fldCharType="separate"/>
        </w:r>
        <w:r w:rsidR="000B2C9F">
          <w:rPr>
            <w:noProof/>
            <w:webHidden/>
          </w:rPr>
          <w:t>2</w:t>
        </w:r>
        <w:r w:rsidR="000B2C9F">
          <w:rPr>
            <w:noProof/>
            <w:webHidden/>
          </w:rPr>
          <w:fldChar w:fldCharType="end"/>
        </w:r>
      </w:hyperlink>
    </w:p>
    <w:p w14:paraId="6159FFFC" w14:textId="31A4784D" w:rsidR="000B2C9F" w:rsidRDefault="00F31B02">
      <w:pPr>
        <w:pStyle w:val="TOC2"/>
        <w:tabs>
          <w:tab w:val="right" w:leader="dot" w:pos="9016"/>
        </w:tabs>
        <w:rPr>
          <w:rFonts w:cstheme="minorBidi"/>
          <w:noProof/>
          <w:kern w:val="2"/>
          <w:sz w:val="22"/>
          <w:szCs w:val="22"/>
          <w14:ligatures w14:val="standardContextual"/>
        </w:rPr>
      </w:pPr>
      <w:hyperlink w:anchor="_Toc139375894" w:history="1">
        <w:r w:rsidR="000B2C9F" w:rsidRPr="00D16644">
          <w:rPr>
            <w:rStyle w:val="Hyperlink"/>
            <w:rFonts w:ascii="Verdana" w:hAnsi="Verdana"/>
            <w:noProof/>
          </w:rPr>
          <w:t xml:space="preserve">2. </w:t>
        </w:r>
        <w:r w:rsidR="000B2C9F" w:rsidRPr="000B2C9F">
          <w:rPr>
            <w:rStyle w:val="Hyperlink"/>
            <w:rFonts w:ascii="Verdana" w:hAnsi="Verdana"/>
            <w:b/>
            <w:bCs/>
            <w:noProof/>
          </w:rPr>
          <w:t>Introduction</w:t>
        </w:r>
        <w:r w:rsidR="000B2C9F">
          <w:rPr>
            <w:noProof/>
            <w:webHidden/>
          </w:rPr>
          <w:tab/>
        </w:r>
        <w:r w:rsidR="000B2C9F">
          <w:rPr>
            <w:noProof/>
            <w:webHidden/>
          </w:rPr>
          <w:fldChar w:fldCharType="begin"/>
        </w:r>
        <w:r w:rsidR="000B2C9F">
          <w:rPr>
            <w:noProof/>
            <w:webHidden/>
          </w:rPr>
          <w:instrText xml:space="preserve"> PAGEREF _Toc139375894 \h </w:instrText>
        </w:r>
        <w:r w:rsidR="000B2C9F">
          <w:rPr>
            <w:noProof/>
            <w:webHidden/>
          </w:rPr>
        </w:r>
        <w:r w:rsidR="000B2C9F">
          <w:rPr>
            <w:noProof/>
            <w:webHidden/>
          </w:rPr>
          <w:fldChar w:fldCharType="separate"/>
        </w:r>
        <w:r w:rsidR="000B2C9F">
          <w:rPr>
            <w:noProof/>
            <w:webHidden/>
          </w:rPr>
          <w:t>3</w:t>
        </w:r>
        <w:r w:rsidR="000B2C9F">
          <w:rPr>
            <w:noProof/>
            <w:webHidden/>
          </w:rPr>
          <w:fldChar w:fldCharType="end"/>
        </w:r>
      </w:hyperlink>
    </w:p>
    <w:p w14:paraId="54BE5D28" w14:textId="23581A2C" w:rsidR="000B2C9F" w:rsidRDefault="00F31B02">
      <w:pPr>
        <w:pStyle w:val="TOC2"/>
        <w:tabs>
          <w:tab w:val="right" w:leader="dot" w:pos="9016"/>
        </w:tabs>
        <w:rPr>
          <w:rFonts w:cstheme="minorBidi"/>
          <w:noProof/>
          <w:kern w:val="2"/>
          <w:sz w:val="22"/>
          <w:szCs w:val="22"/>
          <w14:ligatures w14:val="standardContextual"/>
        </w:rPr>
      </w:pPr>
      <w:hyperlink w:anchor="_Toc139375895" w:history="1">
        <w:r w:rsidR="000B2C9F" w:rsidRPr="00D16644">
          <w:rPr>
            <w:rStyle w:val="Hyperlink"/>
            <w:rFonts w:ascii="Verdana" w:hAnsi="Verdana"/>
            <w:noProof/>
          </w:rPr>
          <w:t xml:space="preserve">3. </w:t>
        </w:r>
        <w:r w:rsidR="000B2C9F" w:rsidRPr="000B2C9F">
          <w:rPr>
            <w:rStyle w:val="Hyperlink"/>
            <w:rFonts w:ascii="Verdana" w:hAnsi="Verdana"/>
            <w:b/>
            <w:bCs/>
            <w:noProof/>
          </w:rPr>
          <w:t>Method</w:t>
        </w:r>
        <w:r w:rsidR="000B2C9F">
          <w:rPr>
            <w:noProof/>
            <w:webHidden/>
          </w:rPr>
          <w:tab/>
        </w:r>
        <w:r w:rsidR="000B2C9F">
          <w:rPr>
            <w:noProof/>
            <w:webHidden/>
          </w:rPr>
          <w:fldChar w:fldCharType="begin"/>
        </w:r>
        <w:r w:rsidR="000B2C9F">
          <w:rPr>
            <w:noProof/>
            <w:webHidden/>
          </w:rPr>
          <w:instrText xml:space="preserve"> PAGEREF _Toc139375895 \h </w:instrText>
        </w:r>
        <w:r w:rsidR="000B2C9F">
          <w:rPr>
            <w:noProof/>
            <w:webHidden/>
          </w:rPr>
        </w:r>
        <w:r w:rsidR="000B2C9F">
          <w:rPr>
            <w:noProof/>
            <w:webHidden/>
          </w:rPr>
          <w:fldChar w:fldCharType="separate"/>
        </w:r>
        <w:r w:rsidR="000B2C9F">
          <w:rPr>
            <w:noProof/>
            <w:webHidden/>
          </w:rPr>
          <w:t>3</w:t>
        </w:r>
        <w:r w:rsidR="000B2C9F">
          <w:rPr>
            <w:noProof/>
            <w:webHidden/>
          </w:rPr>
          <w:fldChar w:fldCharType="end"/>
        </w:r>
      </w:hyperlink>
    </w:p>
    <w:p w14:paraId="2608B5FA" w14:textId="4CBC6194" w:rsidR="000B2C9F" w:rsidRDefault="00F31B02">
      <w:pPr>
        <w:pStyle w:val="TOC2"/>
        <w:tabs>
          <w:tab w:val="right" w:leader="dot" w:pos="9016"/>
        </w:tabs>
        <w:rPr>
          <w:rFonts w:cstheme="minorBidi"/>
          <w:noProof/>
          <w:kern w:val="2"/>
          <w:sz w:val="22"/>
          <w:szCs w:val="22"/>
          <w14:ligatures w14:val="standardContextual"/>
        </w:rPr>
      </w:pPr>
      <w:hyperlink w:anchor="_Toc139375896" w:history="1">
        <w:r w:rsidR="000B2C9F" w:rsidRPr="00D16644">
          <w:rPr>
            <w:rStyle w:val="Hyperlink"/>
            <w:rFonts w:ascii="Verdana" w:hAnsi="Verdana"/>
            <w:noProof/>
          </w:rPr>
          <w:t xml:space="preserve">4. </w:t>
        </w:r>
        <w:r w:rsidR="000B2C9F" w:rsidRPr="000B2C9F">
          <w:rPr>
            <w:rStyle w:val="Hyperlink"/>
            <w:rFonts w:ascii="Verdana" w:hAnsi="Verdana"/>
            <w:b/>
            <w:bCs/>
            <w:noProof/>
          </w:rPr>
          <w:t>Results</w:t>
        </w:r>
        <w:r w:rsidR="000B2C9F">
          <w:rPr>
            <w:noProof/>
            <w:webHidden/>
          </w:rPr>
          <w:tab/>
        </w:r>
        <w:r w:rsidR="000B2C9F">
          <w:rPr>
            <w:noProof/>
            <w:webHidden/>
          </w:rPr>
          <w:fldChar w:fldCharType="begin"/>
        </w:r>
        <w:r w:rsidR="000B2C9F">
          <w:rPr>
            <w:noProof/>
            <w:webHidden/>
          </w:rPr>
          <w:instrText xml:space="preserve"> PAGEREF _Toc139375896 \h </w:instrText>
        </w:r>
        <w:r w:rsidR="000B2C9F">
          <w:rPr>
            <w:noProof/>
            <w:webHidden/>
          </w:rPr>
        </w:r>
        <w:r w:rsidR="000B2C9F">
          <w:rPr>
            <w:noProof/>
            <w:webHidden/>
          </w:rPr>
          <w:fldChar w:fldCharType="separate"/>
        </w:r>
        <w:r w:rsidR="000B2C9F">
          <w:rPr>
            <w:noProof/>
            <w:webHidden/>
          </w:rPr>
          <w:t>5</w:t>
        </w:r>
        <w:r w:rsidR="000B2C9F">
          <w:rPr>
            <w:noProof/>
            <w:webHidden/>
          </w:rPr>
          <w:fldChar w:fldCharType="end"/>
        </w:r>
      </w:hyperlink>
    </w:p>
    <w:p w14:paraId="373A079F" w14:textId="1D478D5A" w:rsidR="000B2C9F" w:rsidRDefault="00F31B02">
      <w:pPr>
        <w:pStyle w:val="TOC3"/>
        <w:tabs>
          <w:tab w:val="right" w:leader="dot" w:pos="9016"/>
        </w:tabs>
        <w:rPr>
          <w:noProof/>
          <w:kern w:val="2"/>
          <w:lang w:val="en-GB" w:eastAsia="en-GB"/>
          <w14:ligatures w14:val="standardContextual"/>
        </w:rPr>
      </w:pPr>
      <w:hyperlink w:anchor="_Toc139375897" w:history="1">
        <w:r w:rsidR="000B2C9F" w:rsidRPr="00D16644">
          <w:rPr>
            <w:rStyle w:val="Hyperlink"/>
            <w:rFonts w:ascii="Verdana" w:hAnsi="Verdana"/>
            <w:noProof/>
          </w:rPr>
          <w:t>4.1 Overview of the study population</w:t>
        </w:r>
        <w:r w:rsidR="000B2C9F">
          <w:rPr>
            <w:noProof/>
            <w:webHidden/>
          </w:rPr>
          <w:tab/>
        </w:r>
        <w:r w:rsidR="000B2C9F">
          <w:rPr>
            <w:noProof/>
            <w:webHidden/>
          </w:rPr>
          <w:fldChar w:fldCharType="begin"/>
        </w:r>
        <w:r w:rsidR="000B2C9F">
          <w:rPr>
            <w:noProof/>
            <w:webHidden/>
          </w:rPr>
          <w:instrText xml:space="preserve"> PAGEREF _Toc139375897 \h </w:instrText>
        </w:r>
        <w:r w:rsidR="000B2C9F">
          <w:rPr>
            <w:noProof/>
            <w:webHidden/>
          </w:rPr>
        </w:r>
        <w:r w:rsidR="000B2C9F">
          <w:rPr>
            <w:noProof/>
            <w:webHidden/>
          </w:rPr>
          <w:fldChar w:fldCharType="separate"/>
        </w:r>
        <w:r w:rsidR="000B2C9F">
          <w:rPr>
            <w:noProof/>
            <w:webHidden/>
          </w:rPr>
          <w:t>5</w:t>
        </w:r>
        <w:r w:rsidR="000B2C9F">
          <w:rPr>
            <w:noProof/>
            <w:webHidden/>
          </w:rPr>
          <w:fldChar w:fldCharType="end"/>
        </w:r>
      </w:hyperlink>
    </w:p>
    <w:p w14:paraId="48432365" w14:textId="68C8247B" w:rsidR="000B2C9F" w:rsidRDefault="00F31B02">
      <w:pPr>
        <w:pStyle w:val="TOC3"/>
        <w:tabs>
          <w:tab w:val="right" w:leader="dot" w:pos="9016"/>
        </w:tabs>
        <w:rPr>
          <w:noProof/>
          <w:kern w:val="2"/>
          <w:lang w:val="en-GB" w:eastAsia="en-GB"/>
          <w14:ligatures w14:val="standardContextual"/>
        </w:rPr>
      </w:pPr>
      <w:hyperlink w:anchor="_Toc139375898" w:history="1">
        <w:r w:rsidR="000B2C9F" w:rsidRPr="00D16644">
          <w:rPr>
            <w:rStyle w:val="Hyperlink"/>
            <w:rFonts w:ascii="Verdana" w:hAnsi="Verdana"/>
            <w:noProof/>
          </w:rPr>
          <w:t>4.2 Walking or cycling for any purpose</w:t>
        </w:r>
        <w:r w:rsidR="000B2C9F">
          <w:rPr>
            <w:noProof/>
            <w:webHidden/>
          </w:rPr>
          <w:tab/>
        </w:r>
        <w:r w:rsidR="000B2C9F">
          <w:rPr>
            <w:noProof/>
            <w:webHidden/>
          </w:rPr>
          <w:fldChar w:fldCharType="begin"/>
        </w:r>
        <w:r w:rsidR="000B2C9F">
          <w:rPr>
            <w:noProof/>
            <w:webHidden/>
          </w:rPr>
          <w:instrText xml:space="preserve"> PAGEREF _Toc139375898 \h </w:instrText>
        </w:r>
        <w:r w:rsidR="000B2C9F">
          <w:rPr>
            <w:noProof/>
            <w:webHidden/>
          </w:rPr>
        </w:r>
        <w:r w:rsidR="000B2C9F">
          <w:rPr>
            <w:noProof/>
            <w:webHidden/>
          </w:rPr>
          <w:fldChar w:fldCharType="separate"/>
        </w:r>
        <w:r w:rsidR="000B2C9F">
          <w:rPr>
            <w:noProof/>
            <w:webHidden/>
          </w:rPr>
          <w:t>6</w:t>
        </w:r>
        <w:r w:rsidR="000B2C9F">
          <w:rPr>
            <w:noProof/>
            <w:webHidden/>
          </w:rPr>
          <w:fldChar w:fldCharType="end"/>
        </w:r>
      </w:hyperlink>
    </w:p>
    <w:p w14:paraId="52B1C237" w14:textId="7C0C5345" w:rsidR="000B2C9F" w:rsidRDefault="00F31B02">
      <w:pPr>
        <w:pStyle w:val="TOC3"/>
        <w:tabs>
          <w:tab w:val="right" w:leader="dot" w:pos="9016"/>
        </w:tabs>
        <w:rPr>
          <w:noProof/>
          <w:kern w:val="2"/>
          <w:lang w:val="en-GB" w:eastAsia="en-GB"/>
          <w14:ligatures w14:val="standardContextual"/>
        </w:rPr>
      </w:pPr>
      <w:hyperlink w:anchor="_Toc139375899" w:history="1">
        <w:r w:rsidR="000B2C9F" w:rsidRPr="00D16644">
          <w:rPr>
            <w:rStyle w:val="Hyperlink"/>
            <w:rFonts w:ascii="Verdana" w:hAnsi="Verdana"/>
            <w:noProof/>
          </w:rPr>
          <w:t>4.3 Active Travel for the purpose of leisure</w:t>
        </w:r>
        <w:r w:rsidR="000B2C9F">
          <w:rPr>
            <w:noProof/>
            <w:webHidden/>
          </w:rPr>
          <w:tab/>
        </w:r>
        <w:r w:rsidR="000B2C9F">
          <w:rPr>
            <w:noProof/>
            <w:webHidden/>
          </w:rPr>
          <w:fldChar w:fldCharType="begin"/>
        </w:r>
        <w:r w:rsidR="000B2C9F">
          <w:rPr>
            <w:noProof/>
            <w:webHidden/>
          </w:rPr>
          <w:instrText xml:space="preserve"> PAGEREF _Toc139375899 \h </w:instrText>
        </w:r>
        <w:r w:rsidR="000B2C9F">
          <w:rPr>
            <w:noProof/>
            <w:webHidden/>
          </w:rPr>
        </w:r>
        <w:r w:rsidR="000B2C9F">
          <w:rPr>
            <w:noProof/>
            <w:webHidden/>
          </w:rPr>
          <w:fldChar w:fldCharType="separate"/>
        </w:r>
        <w:r w:rsidR="000B2C9F">
          <w:rPr>
            <w:noProof/>
            <w:webHidden/>
          </w:rPr>
          <w:t>7</w:t>
        </w:r>
        <w:r w:rsidR="000B2C9F">
          <w:rPr>
            <w:noProof/>
            <w:webHidden/>
          </w:rPr>
          <w:fldChar w:fldCharType="end"/>
        </w:r>
      </w:hyperlink>
    </w:p>
    <w:p w14:paraId="0874A0BC" w14:textId="3050CEC8" w:rsidR="000B2C9F" w:rsidRDefault="00F31B02">
      <w:pPr>
        <w:pStyle w:val="TOC3"/>
        <w:tabs>
          <w:tab w:val="right" w:leader="dot" w:pos="9016"/>
        </w:tabs>
        <w:rPr>
          <w:noProof/>
          <w:kern w:val="2"/>
          <w:lang w:val="en-GB" w:eastAsia="en-GB"/>
          <w14:ligatures w14:val="standardContextual"/>
        </w:rPr>
      </w:pPr>
      <w:hyperlink w:anchor="_Toc139375900" w:history="1">
        <w:r w:rsidR="000B2C9F" w:rsidRPr="00D16644">
          <w:rPr>
            <w:rStyle w:val="Hyperlink"/>
            <w:rFonts w:ascii="Verdana" w:hAnsi="Verdana"/>
            <w:noProof/>
          </w:rPr>
          <w:t>4.4 Active Travel for the purpose of travel</w:t>
        </w:r>
        <w:r w:rsidR="000B2C9F">
          <w:rPr>
            <w:noProof/>
            <w:webHidden/>
          </w:rPr>
          <w:tab/>
        </w:r>
        <w:r w:rsidR="000B2C9F">
          <w:rPr>
            <w:noProof/>
            <w:webHidden/>
          </w:rPr>
          <w:fldChar w:fldCharType="begin"/>
        </w:r>
        <w:r w:rsidR="000B2C9F">
          <w:rPr>
            <w:noProof/>
            <w:webHidden/>
          </w:rPr>
          <w:instrText xml:space="preserve"> PAGEREF _Toc139375900 \h </w:instrText>
        </w:r>
        <w:r w:rsidR="000B2C9F">
          <w:rPr>
            <w:noProof/>
            <w:webHidden/>
          </w:rPr>
        </w:r>
        <w:r w:rsidR="000B2C9F">
          <w:rPr>
            <w:noProof/>
            <w:webHidden/>
          </w:rPr>
          <w:fldChar w:fldCharType="separate"/>
        </w:r>
        <w:r w:rsidR="000B2C9F">
          <w:rPr>
            <w:noProof/>
            <w:webHidden/>
          </w:rPr>
          <w:t>13</w:t>
        </w:r>
        <w:r w:rsidR="000B2C9F">
          <w:rPr>
            <w:noProof/>
            <w:webHidden/>
          </w:rPr>
          <w:fldChar w:fldCharType="end"/>
        </w:r>
      </w:hyperlink>
    </w:p>
    <w:p w14:paraId="7D46FD39" w14:textId="5FE2EE47" w:rsidR="000B2C9F" w:rsidRDefault="00F31B02">
      <w:pPr>
        <w:pStyle w:val="TOC3"/>
        <w:tabs>
          <w:tab w:val="right" w:leader="dot" w:pos="9016"/>
        </w:tabs>
        <w:rPr>
          <w:noProof/>
          <w:kern w:val="2"/>
          <w:lang w:val="en-GB" w:eastAsia="en-GB"/>
          <w14:ligatures w14:val="standardContextual"/>
        </w:rPr>
      </w:pPr>
      <w:hyperlink w:anchor="_Toc139375901" w:history="1">
        <w:r w:rsidR="000B2C9F" w:rsidRPr="00D16644">
          <w:rPr>
            <w:rStyle w:val="Hyperlink"/>
            <w:rFonts w:ascii="Verdana" w:hAnsi="Verdana"/>
            <w:noProof/>
          </w:rPr>
          <w:t>4.5 Comparing Kent with CIPFA Neighbours</w:t>
        </w:r>
        <w:r w:rsidR="000B2C9F">
          <w:rPr>
            <w:noProof/>
            <w:webHidden/>
          </w:rPr>
          <w:tab/>
        </w:r>
        <w:r w:rsidR="000B2C9F">
          <w:rPr>
            <w:noProof/>
            <w:webHidden/>
          </w:rPr>
          <w:fldChar w:fldCharType="begin"/>
        </w:r>
        <w:r w:rsidR="000B2C9F">
          <w:rPr>
            <w:noProof/>
            <w:webHidden/>
          </w:rPr>
          <w:instrText xml:space="preserve"> PAGEREF _Toc139375901 \h </w:instrText>
        </w:r>
        <w:r w:rsidR="000B2C9F">
          <w:rPr>
            <w:noProof/>
            <w:webHidden/>
          </w:rPr>
        </w:r>
        <w:r w:rsidR="000B2C9F">
          <w:rPr>
            <w:noProof/>
            <w:webHidden/>
          </w:rPr>
          <w:fldChar w:fldCharType="separate"/>
        </w:r>
        <w:r w:rsidR="000B2C9F">
          <w:rPr>
            <w:noProof/>
            <w:webHidden/>
          </w:rPr>
          <w:t>19</w:t>
        </w:r>
        <w:r w:rsidR="000B2C9F">
          <w:rPr>
            <w:noProof/>
            <w:webHidden/>
          </w:rPr>
          <w:fldChar w:fldCharType="end"/>
        </w:r>
      </w:hyperlink>
    </w:p>
    <w:p w14:paraId="276D6500" w14:textId="600F4212" w:rsidR="000B2C9F" w:rsidRDefault="00F31B02">
      <w:pPr>
        <w:pStyle w:val="TOC2"/>
        <w:tabs>
          <w:tab w:val="right" w:leader="dot" w:pos="9016"/>
        </w:tabs>
        <w:rPr>
          <w:rFonts w:cstheme="minorBidi"/>
          <w:noProof/>
          <w:kern w:val="2"/>
          <w:sz w:val="22"/>
          <w:szCs w:val="22"/>
          <w14:ligatures w14:val="standardContextual"/>
        </w:rPr>
      </w:pPr>
      <w:hyperlink w:anchor="_Toc139375902" w:history="1">
        <w:r w:rsidR="000B2C9F" w:rsidRPr="00D16644">
          <w:rPr>
            <w:rStyle w:val="Hyperlink"/>
            <w:rFonts w:ascii="Verdana" w:hAnsi="Verdana"/>
            <w:noProof/>
          </w:rPr>
          <w:t xml:space="preserve">5. </w:t>
        </w:r>
        <w:r w:rsidR="000B2C9F" w:rsidRPr="000B2C9F">
          <w:rPr>
            <w:rStyle w:val="Hyperlink"/>
            <w:rFonts w:ascii="Verdana" w:hAnsi="Verdana"/>
            <w:b/>
            <w:bCs/>
            <w:noProof/>
          </w:rPr>
          <w:t xml:space="preserve">Discussion and </w:t>
        </w:r>
        <w:r w:rsidR="000B2C9F">
          <w:rPr>
            <w:rStyle w:val="Hyperlink"/>
            <w:rFonts w:ascii="Verdana" w:hAnsi="Verdana"/>
            <w:b/>
            <w:bCs/>
            <w:noProof/>
          </w:rPr>
          <w:t>Conclusion</w:t>
        </w:r>
        <w:r w:rsidR="000B2C9F">
          <w:rPr>
            <w:noProof/>
            <w:webHidden/>
          </w:rPr>
          <w:tab/>
        </w:r>
        <w:r w:rsidR="000B2C9F">
          <w:rPr>
            <w:noProof/>
            <w:webHidden/>
          </w:rPr>
          <w:fldChar w:fldCharType="begin"/>
        </w:r>
        <w:r w:rsidR="000B2C9F">
          <w:rPr>
            <w:noProof/>
            <w:webHidden/>
          </w:rPr>
          <w:instrText xml:space="preserve"> PAGEREF _Toc139375902 \h </w:instrText>
        </w:r>
        <w:r w:rsidR="000B2C9F">
          <w:rPr>
            <w:noProof/>
            <w:webHidden/>
          </w:rPr>
        </w:r>
        <w:r w:rsidR="000B2C9F">
          <w:rPr>
            <w:noProof/>
            <w:webHidden/>
          </w:rPr>
          <w:fldChar w:fldCharType="separate"/>
        </w:r>
        <w:r w:rsidR="000B2C9F">
          <w:rPr>
            <w:noProof/>
            <w:webHidden/>
          </w:rPr>
          <w:t>20</w:t>
        </w:r>
        <w:r w:rsidR="000B2C9F">
          <w:rPr>
            <w:noProof/>
            <w:webHidden/>
          </w:rPr>
          <w:fldChar w:fldCharType="end"/>
        </w:r>
      </w:hyperlink>
    </w:p>
    <w:p w14:paraId="2AC87D0E" w14:textId="2BFF7EBF" w:rsidR="000B2C9F" w:rsidRDefault="00F31B02">
      <w:pPr>
        <w:pStyle w:val="TOC2"/>
        <w:tabs>
          <w:tab w:val="right" w:leader="dot" w:pos="9016"/>
        </w:tabs>
        <w:rPr>
          <w:rFonts w:cstheme="minorBidi"/>
          <w:noProof/>
          <w:kern w:val="2"/>
          <w:sz w:val="22"/>
          <w:szCs w:val="22"/>
          <w14:ligatures w14:val="standardContextual"/>
        </w:rPr>
      </w:pPr>
      <w:hyperlink w:anchor="_Toc139375903" w:history="1">
        <w:r w:rsidR="000B2C9F" w:rsidRPr="00D16644">
          <w:rPr>
            <w:rStyle w:val="Hyperlink"/>
            <w:rFonts w:ascii="Verdana" w:hAnsi="Verdana"/>
            <w:noProof/>
          </w:rPr>
          <w:t>References</w:t>
        </w:r>
        <w:r w:rsidR="000B2C9F">
          <w:rPr>
            <w:noProof/>
            <w:webHidden/>
          </w:rPr>
          <w:tab/>
        </w:r>
        <w:r w:rsidR="000B2C9F">
          <w:rPr>
            <w:noProof/>
            <w:webHidden/>
          </w:rPr>
          <w:fldChar w:fldCharType="begin"/>
        </w:r>
        <w:r w:rsidR="000B2C9F">
          <w:rPr>
            <w:noProof/>
            <w:webHidden/>
          </w:rPr>
          <w:instrText xml:space="preserve"> PAGEREF _Toc139375903 \h </w:instrText>
        </w:r>
        <w:r w:rsidR="000B2C9F">
          <w:rPr>
            <w:noProof/>
            <w:webHidden/>
          </w:rPr>
        </w:r>
        <w:r w:rsidR="000B2C9F">
          <w:rPr>
            <w:noProof/>
            <w:webHidden/>
          </w:rPr>
          <w:fldChar w:fldCharType="separate"/>
        </w:r>
        <w:r w:rsidR="000B2C9F">
          <w:rPr>
            <w:noProof/>
            <w:webHidden/>
          </w:rPr>
          <w:t>22</w:t>
        </w:r>
        <w:r w:rsidR="000B2C9F">
          <w:rPr>
            <w:noProof/>
            <w:webHidden/>
          </w:rPr>
          <w:fldChar w:fldCharType="end"/>
        </w:r>
      </w:hyperlink>
    </w:p>
    <w:p w14:paraId="68724392" w14:textId="3EAEF0D8" w:rsidR="000B2C9F" w:rsidRDefault="00F31B02">
      <w:pPr>
        <w:pStyle w:val="TOC2"/>
        <w:tabs>
          <w:tab w:val="right" w:leader="dot" w:pos="9016"/>
        </w:tabs>
        <w:rPr>
          <w:rFonts w:cstheme="minorBidi"/>
          <w:noProof/>
          <w:kern w:val="2"/>
          <w:sz w:val="22"/>
          <w:szCs w:val="22"/>
          <w14:ligatures w14:val="standardContextual"/>
        </w:rPr>
      </w:pPr>
      <w:hyperlink w:anchor="_Toc139375904" w:history="1">
        <w:r w:rsidR="000B2C9F" w:rsidRPr="00D16644">
          <w:rPr>
            <w:rStyle w:val="Hyperlink"/>
            <w:rFonts w:ascii="Verdana" w:hAnsi="Verdana"/>
            <w:noProof/>
          </w:rPr>
          <w:t>Supplementary data (Census 2021)</w:t>
        </w:r>
        <w:r w:rsidR="000B2C9F">
          <w:rPr>
            <w:noProof/>
            <w:webHidden/>
          </w:rPr>
          <w:tab/>
        </w:r>
        <w:r w:rsidR="000B2C9F">
          <w:rPr>
            <w:noProof/>
            <w:webHidden/>
          </w:rPr>
          <w:fldChar w:fldCharType="begin"/>
        </w:r>
        <w:r w:rsidR="000B2C9F">
          <w:rPr>
            <w:noProof/>
            <w:webHidden/>
          </w:rPr>
          <w:instrText xml:space="preserve"> PAGEREF _Toc139375904 \h </w:instrText>
        </w:r>
        <w:r w:rsidR="000B2C9F">
          <w:rPr>
            <w:noProof/>
            <w:webHidden/>
          </w:rPr>
        </w:r>
        <w:r w:rsidR="000B2C9F">
          <w:rPr>
            <w:noProof/>
            <w:webHidden/>
          </w:rPr>
          <w:fldChar w:fldCharType="separate"/>
        </w:r>
        <w:r w:rsidR="000B2C9F">
          <w:rPr>
            <w:noProof/>
            <w:webHidden/>
          </w:rPr>
          <w:t>23</w:t>
        </w:r>
        <w:r w:rsidR="000B2C9F">
          <w:rPr>
            <w:noProof/>
            <w:webHidden/>
          </w:rPr>
          <w:fldChar w:fldCharType="end"/>
        </w:r>
      </w:hyperlink>
    </w:p>
    <w:p w14:paraId="02972ECE" w14:textId="013BDC0B" w:rsidR="000B2C9F" w:rsidRDefault="00F31B02">
      <w:pPr>
        <w:pStyle w:val="TOC2"/>
        <w:tabs>
          <w:tab w:val="right" w:leader="dot" w:pos="9016"/>
        </w:tabs>
        <w:rPr>
          <w:rFonts w:cstheme="minorBidi"/>
          <w:noProof/>
          <w:kern w:val="2"/>
          <w:sz w:val="22"/>
          <w:szCs w:val="22"/>
          <w14:ligatures w14:val="standardContextual"/>
        </w:rPr>
      </w:pPr>
      <w:hyperlink w:anchor="_Toc139375905" w:history="1">
        <w:r w:rsidR="000B2C9F" w:rsidRPr="00D16644">
          <w:rPr>
            <w:rStyle w:val="Hyperlink"/>
            <w:rFonts w:ascii="Verdana" w:hAnsi="Verdana"/>
            <w:noProof/>
          </w:rPr>
          <w:t>Appendices</w:t>
        </w:r>
        <w:r w:rsidR="000B2C9F">
          <w:rPr>
            <w:noProof/>
            <w:webHidden/>
          </w:rPr>
          <w:tab/>
        </w:r>
        <w:r w:rsidR="000B2C9F">
          <w:rPr>
            <w:noProof/>
            <w:webHidden/>
          </w:rPr>
          <w:fldChar w:fldCharType="begin"/>
        </w:r>
        <w:r w:rsidR="000B2C9F">
          <w:rPr>
            <w:noProof/>
            <w:webHidden/>
          </w:rPr>
          <w:instrText xml:space="preserve"> PAGEREF _Toc139375905 \h </w:instrText>
        </w:r>
        <w:r w:rsidR="000B2C9F">
          <w:rPr>
            <w:noProof/>
            <w:webHidden/>
          </w:rPr>
        </w:r>
        <w:r w:rsidR="000B2C9F">
          <w:rPr>
            <w:noProof/>
            <w:webHidden/>
          </w:rPr>
          <w:fldChar w:fldCharType="separate"/>
        </w:r>
        <w:r w:rsidR="000B2C9F">
          <w:rPr>
            <w:noProof/>
            <w:webHidden/>
          </w:rPr>
          <w:t>24</w:t>
        </w:r>
        <w:r w:rsidR="000B2C9F">
          <w:rPr>
            <w:noProof/>
            <w:webHidden/>
          </w:rPr>
          <w:fldChar w:fldCharType="end"/>
        </w:r>
      </w:hyperlink>
    </w:p>
    <w:p w14:paraId="7CEB447D" w14:textId="1E039311" w:rsidR="000B2C9F" w:rsidRDefault="00F31B02">
      <w:pPr>
        <w:pStyle w:val="TOC3"/>
        <w:tabs>
          <w:tab w:val="right" w:leader="dot" w:pos="9016"/>
        </w:tabs>
        <w:rPr>
          <w:noProof/>
          <w:kern w:val="2"/>
          <w:lang w:val="en-GB" w:eastAsia="en-GB"/>
          <w14:ligatures w14:val="standardContextual"/>
        </w:rPr>
      </w:pPr>
      <w:hyperlink w:anchor="_Toc139375906" w:history="1">
        <w:r w:rsidR="000B2C9F" w:rsidRPr="00D16644">
          <w:rPr>
            <w:rStyle w:val="Hyperlink"/>
            <w:rFonts w:ascii="Verdana" w:hAnsi="Verdana"/>
            <w:noProof/>
          </w:rPr>
          <w:t>Appendix 1. A list of the datasets included in the statistical release analysed by the present report.</w:t>
        </w:r>
        <w:r w:rsidR="000B2C9F">
          <w:rPr>
            <w:noProof/>
            <w:webHidden/>
          </w:rPr>
          <w:tab/>
        </w:r>
        <w:r w:rsidR="000B2C9F">
          <w:rPr>
            <w:noProof/>
            <w:webHidden/>
          </w:rPr>
          <w:fldChar w:fldCharType="begin"/>
        </w:r>
        <w:r w:rsidR="000B2C9F">
          <w:rPr>
            <w:noProof/>
            <w:webHidden/>
          </w:rPr>
          <w:instrText xml:space="preserve"> PAGEREF _Toc139375906 \h </w:instrText>
        </w:r>
        <w:r w:rsidR="000B2C9F">
          <w:rPr>
            <w:noProof/>
            <w:webHidden/>
          </w:rPr>
        </w:r>
        <w:r w:rsidR="000B2C9F">
          <w:rPr>
            <w:noProof/>
            <w:webHidden/>
          </w:rPr>
          <w:fldChar w:fldCharType="separate"/>
        </w:r>
        <w:r w:rsidR="000B2C9F">
          <w:rPr>
            <w:noProof/>
            <w:webHidden/>
          </w:rPr>
          <w:t>24</w:t>
        </w:r>
        <w:r w:rsidR="000B2C9F">
          <w:rPr>
            <w:noProof/>
            <w:webHidden/>
          </w:rPr>
          <w:fldChar w:fldCharType="end"/>
        </w:r>
      </w:hyperlink>
    </w:p>
    <w:p w14:paraId="68AF5D55" w14:textId="0700A1C7" w:rsidR="000B2C9F" w:rsidRDefault="00F31B02">
      <w:pPr>
        <w:pStyle w:val="TOC3"/>
        <w:tabs>
          <w:tab w:val="right" w:leader="dot" w:pos="9016"/>
        </w:tabs>
        <w:rPr>
          <w:noProof/>
          <w:kern w:val="2"/>
          <w:lang w:val="en-GB" w:eastAsia="en-GB"/>
          <w14:ligatures w14:val="standardContextual"/>
        </w:rPr>
      </w:pPr>
      <w:hyperlink w:anchor="_Toc139375907" w:history="1">
        <w:r w:rsidR="000B2C9F" w:rsidRPr="00D16644">
          <w:rPr>
            <w:rStyle w:val="Hyperlink"/>
            <w:rFonts w:ascii="Verdana" w:hAnsi="Verdana"/>
            <w:noProof/>
          </w:rPr>
          <w:t>Appendix 2. Additional Nationwide Data summaries.</w:t>
        </w:r>
        <w:r w:rsidR="000B2C9F">
          <w:rPr>
            <w:noProof/>
            <w:webHidden/>
          </w:rPr>
          <w:tab/>
        </w:r>
        <w:r w:rsidR="000B2C9F">
          <w:rPr>
            <w:noProof/>
            <w:webHidden/>
          </w:rPr>
          <w:fldChar w:fldCharType="begin"/>
        </w:r>
        <w:r w:rsidR="000B2C9F">
          <w:rPr>
            <w:noProof/>
            <w:webHidden/>
          </w:rPr>
          <w:instrText xml:space="preserve"> PAGEREF _Toc139375907 \h </w:instrText>
        </w:r>
        <w:r w:rsidR="000B2C9F">
          <w:rPr>
            <w:noProof/>
            <w:webHidden/>
          </w:rPr>
        </w:r>
        <w:r w:rsidR="000B2C9F">
          <w:rPr>
            <w:noProof/>
            <w:webHidden/>
          </w:rPr>
          <w:fldChar w:fldCharType="separate"/>
        </w:r>
        <w:r w:rsidR="000B2C9F">
          <w:rPr>
            <w:noProof/>
            <w:webHidden/>
          </w:rPr>
          <w:t>25</w:t>
        </w:r>
        <w:r w:rsidR="000B2C9F">
          <w:rPr>
            <w:noProof/>
            <w:webHidden/>
          </w:rPr>
          <w:fldChar w:fldCharType="end"/>
        </w:r>
      </w:hyperlink>
    </w:p>
    <w:p w14:paraId="3D4B70DD" w14:textId="2A9C6244" w:rsidR="00AC195E" w:rsidRPr="00ED04CB" w:rsidRDefault="00302727" w:rsidP="0086404F">
      <w:pPr>
        <w:rPr>
          <w:rFonts w:ascii="Verdana" w:hAnsi="Verdana"/>
          <w:b/>
          <w:vanish/>
          <w:color w:val="2D7C82"/>
          <w:sz w:val="38"/>
          <w:szCs w:val="38"/>
          <w:specVanish/>
        </w:rPr>
      </w:pPr>
      <w:r w:rsidRPr="00B010BB">
        <w:rPr>
          <w:rFonts w:ascii="Verdana" w:hAnsi="Verdana"/>
          <w:color w:val="2D7C82"/>
          <w:sz w:val="40"/>
          <w:szCs w:val="40"/>
        </w:rPr>
        <w:fldChar w:fldCharType="end"/>
      </w:r>
      <w:r w:rsidR="00F2326E" w:rsidRPr="004837FE">
        <w:rPr>
          <w:rFonts w:asciiTheme="minorHAnsi" w:hAnsiTheme="minorHAnsi"/>
          <w:color w:val="2D7C82"/>
          <w:sz w:val="48"/>
          <w:szCs w:val="48"/>
        </w:rPr>
        <w:br w:type="page"/>
      </w:r>
      <w:r w:rsidR="00AC195E" w:rsidRPr="00ED04CB">
        <w:rPr>
          <w:rFonts w:ascii="Verdana" w:hAnsi="Verdana"/>
          <w:b/>
          <w:color w:val="2D7C82"/>
          <w:sz w:val="38"/>
          <w:szCs w:val="38"/>
        </w:rPr>
        <w:lastRenderedPageBreak/>
        <w:t xml:space="preserve">| </w:t>
      </w:r>
    </w:p>
    <w:p w14:paraId="600CAC4A" w14:textId="2A0D33FF" w:rsidR="008B4A05" w:rsidRPr="00ED04CB" w:rsidRDefault="00AC195E" w:rsidP="0086404F">
      <w:pPr>
        <w:pStyle w:val="Heading1"/>
        <w:rPr>
          <w:rFonts w:ascii="Verdana" w:hAnsi="Verdana"/>
          <w:color w:val="2D7C82"/>
          <w:sz w:val="38"/>
          <w:szCs w:val="38"/>
        </w:rPr>
      </w:pPr>
      <w:r w:rsidRPr="00ED04CB">
        <w:rPr>
          <w:rFonts w:ascii="Verdana" w:hAnsi="Verdana"/>
          <w:color w:val="2D7C82"/>
          <w:sz w:val="38"/>
          <w:szCs w:val="38"/>
        </w:rPr>
        <w:t xml:space="preserve"> </w:t>
      </w:r>
      <w:bookmarkStart w:id="1" w:name="_Toc139375890"/>
      <w:r w:rsidR="008B4A05" w:rsidRPr="00ED04CB">
        <w:rPr>
          <w:rFonts w:ascii="Verdana" w:hAnsi="Verdana"/>
          <w:color w:val="2D7C82"/>
          <w:sz w:val="38"/>
          <w:szCs w:val="38"/>
        </w:rPr>
        <w:t>Analysis of Active Travel Data for Kent</w:t>
      </w:r>
      <w:bookmarkEnd w:id="1"/>
    </w:p>
    <w:p w14:paraId="12359D1D" w14:textId="78EE396F" w:rsidR="00AC195E" w:rsidRPr="00ED04CB" w:rsidRDefault="00D76E32" w:rsidP="008F39C6">
      <w:pPr>
        <w:pStyle w:val="Heading2"/>
        <w:rPr>
          <w:rFonts w:ascii="Verdana" w:hAnsi="Verdana"/>
          <w:sz w:val="36"/>
          <w:szCs w:val="36"/>
        </w:rPr>
      </w:pPr>
      <w:bookmarkStart w:id="2" w:name="_Toc139375891"/>
      <w:r w:rsidRPr="00ED04CB">
        <w:rPr>
          <w:rFonts w:ascii="Verdana" w:hAnsi="Verdana"/>
          <w:sz w:val="36"/>
          <w:szCs w:val="36"/>
        </w:rPr>
        <w:t xml:space="preserve">1. </w:t>
      </w:r>
      <w:r w:rsidR="006A60B6" w:rsidRPr="00ED04CB">
        <w:rPr>
          <w:rFonts w:ascii="Verdana" w:hAnsi="Verdana"/>
          <w:sz w:val="36"/>
          <w:szCs w:val="36"/>
        </w:rPr>
        <w:t>Executive Summary</w:t>
      </w:r>
      <w:bookmarkEnd w:id="2"/>
    </w:p>
    <w:p w14:paraId="08226206" w14:textId="30510E5F" w:rsidR="002A5FE5" w:rsidRPr="00ED04CB" w:rsidRDefault="002A5FE5" w:rsidP="008F39C6">
      <w:pPr>
        <w:pStyle w:val="Heading3"/>
        <w:rPr>
          <w:rFonts w:ascii="Verdana" w:hAnsi="Verdana"/>
          <w:sz w:val="28"/>
          <w:szCs w:val="28"/>
        </w:rPr>
      </w:pPr>
      <w:bookmarkStart w:id="3" w:name="_Toc139375892"/>
      <w:r w:rsidRPr="00ED04CB">
        <w:rPr>
          <w:rFonts w:ascii="Verdana" w:hAnsi="Verdana"/>
          <w:sz w:val="28"/>
          <w:szCs w:val="28"/>
        </w:rPr>
        <w:t>1.1</w:t>
      </w:r>
      <w:r w:rsidRPr="00ED04CB">
        <w:rPr>
          <w:rFonts w:ascii="Verdana" w:hAnsi="Verdana"/>
          <w:sz w:val="28"/>
          <w:szCs w:val="28"/>
        </w:rPr>
        <w:tab/>
        <w:t>Key Findings</w:t>
      </w:r>
      <w:bookmarkEnd w:id="3"/>
    </w:p>
    <w:p w14:paraId="64DD8065" w14:textId="219A1751" w:rsidR="00042763" w:rsidRPr="001B4262" w:rsidRDefault="00042763" w:rsidP="00042763">
      <w:pPr>
        <w:pStyle w:val="ListParagraph"/>
        <w:numPr>
          <w:ilvl w:val="0"/>
          <w:numId w:val="16"/>
        </w:numPr>
        <w:rPr>
          <w:rFonts w:ascii="Verdana" w:hAnsi="Verdana"/>
        </w:rPr>
      </w:pPr>
      <w:r w:rsidRPr="001B4262">
        <w:rPr>
          <w:rFonts w:ascii="Verdana" w:hAnsi="Verdana"/>
        </w:rPr>
        <w:t>People are walking and cycling less for the purpose of travel (this includes commuting). Walking for leisure has increased steadily over recent years. Cycling for leisure increased up until 2020 but decreased in 2021, the most recent year.</w:t>
      </w:r>
    </w:p>
    <w:p w14:paraId="2A17251F" w14:textId="34881C59" w:rsidR="002A5FE5" w:rsidRPr="006559E3" w:rsidRDefault="002D6C6B" w:rsidP="009530D6">
      <w:pPr>
        <w:pStyle w:val="ListParagraph"/>
        <w:numPr>
          <w:ilvl w:val="0"/>
          <w:numId w:val="16"/>
        </w:numPr>
        <w:spacing w:line="276" w:lineRule="auto"/>
        <w:rPr>
          <w:rFonts w:ascii="Verdana" w:hAnsi="Verdana" w:cs="Arial"/>
        </w:rPr>
      </w:pPr>
      <w:r w:rsidRPr="006559E3">
        <w:rPr>
          <w:rFonts w:ascii="Verdana" w:hAnsi="Verdana" w:cs="Arial"/>
        </w:rPr>
        <w:t>T</w:t>
      </w:r>
      <w:r w:rsidR="00A558CF" w:rsidRPr="006559E3">
        <w:rPr>
          <w:rFonts w:ascii="Verdana" w:hAnsi="Verdana" w:cs="Arial"/>
        </w:rPr>
        <w:t>he Covid-19 pandemic</w:t>
      </w:r>
      <w:r w:rsidR="002A5FE5" w:rsidRPr="006559E3">
        <w:rPr>
          <w:rFonts w:ascii="Verdana" w:hAnsi="Verdana" w:cs="Arial"/>
        </w:rPr>
        <w:t xml:space="preserve"> </w:t>
      </w:r>
      <w:r w:rsidR="00B864AA" w:rsidRPr="006559E3">
        <w:rPr>
          <w:rFonts w:ascii="Verdana" w:hAnsi="Verdana" w:cs="Arial"/>
        </w:rPr>
        <w:t>affected</w:t>
      </w:r>
      <w:r w:rsidR="004D7BD6" w:rsidRPr="006559E3">
        <w:rPr>
          <w:rFonts w:ascii="Verdana" w:hAnsi="Verdana" w:cs="Arial"/>
        </w:rPr>
        <w:t xml:space="preserve"> Active Travel in Kent considerably</w:t>
      </w:r>
      <w:r w:rsidR="002A5FE5" w:rsidRPr="006559E3">
        <w:rPr>
          <w:rFonts w:ascii="Verdana" w:hAnsi="Verdana" w:cs="Arial"/>
        </w:rPr>
        <w:t>,</w:t>
      </w:r>
      <w:r w:rsidR="000B6974" w:rsidRPr="006559E3">
        <w:rPr>
          <w:rFonts w:ascii="Verdana" w:hAnsi="Verdana" w:cs="Arial"/>
        </w:rPr>
        <w:t xml:space="preserve"> </w:t>
      </w:r>
      <w:r w:rsidR="007C5D4C" w:rsidRPr="006559E3">
        <w:rPr>
          <w:rFonts w:ascii="Verdana" w:hAnsi="Verdana" w:cs="Arial"/>
        </w:rPr>
        <w:t xml:space="preserve">causing a </w:t>
      </w:r>
      <w:r w:rsidR="002A5FE5" w:rsidRPr="006559E3">
        <w:rPr>
          <w:rFonts w:ascii="Verdana" w:hAnsi="Verdana" w:cs="Arial"/>
        </w:rPr>
        <w:t>decreas</w:t>
      </w:r>
      <w:r w:rsidR="007C5D4C" w:rsidRPr="006559E3">
        <w:rPr>
          <w:rFonts w:ascii="Verdana" w:hAnsi="Verdana" w:cs="Arial"/>
        </w:rPr>
        <w:t>e in</w:t>
      </w:r>
      <w:r w:rsidR="002A5FE5" w:rsidRPr="006559E3">
        <w:rPr>
          <w:rFonts w:ascii="Verdana" w:hAnsi="Verdana" w:cs="Arial"/>
        </w:rPr>
        <w:t xml:space="preserve"> walking for travel but </w:t>
      </w:r>
      <w:r w:rsidR="007C5D4C" w:rsidRPr="006559E3">
        <w:rPr>
          <w:rFonts w:ascii="Verdana" w:hAnsi="Verdana" w:cs="Arial"/>
        </w:rPr>
        <w:t>an increase in</w:t>
      </w:r>
      <w:r w:rsidR="002A5FE5" w:rsidRPr="006559E3">
        <w:rPr>
          <w:rFonts w:ascii="Verdana" w:hAnsi="Verdana" w:cs="Arial"/>
        </w:rPr>
        <w:t xml:space="preserve"> walking for leisure</w:t>
      </w:r>
      <w:r w:rsidR="007A407A" w:rsidRPr="006559E3">
        <w:rPr>
          <w:rFonts w:ascii="Verdana" w:hAnsi="Verdana" w:cs="Arial"/>
        </w:rPr>
        <w:t xml:space="preserve">. </w:t>
      </w:r>
      <w:r w:rsidR="005B6C37" w:rsidRPr="006559E3">
        <w:rPr>
          <w:rFonts w:ascii="Verdana" w:hAnsi="Verdana" w:cs="Arial"/>
        </w:rPr>
        <w:t xml:space="preserve">Additionally, </w:t>
      </w:r>
      <w:r w:rsidR="00FC0672">
        <w:rPr>
          <w:rFonts w:ascii="Verdana" w:hAnsi="Verdana" w:cs="Arial"/>
        </w:rPr>
        <w:t>from</w:t>
      </w:r>
      <w:r w:rsidR="008250B1" w:rsidRPr="006559E3">
        <w:rPr>
          <w:rFonts w:ascii="Verdana" w:hAnsi="Verdana" w:cs="Arial"/>
        </w:rPr>
        <w:t xml:space="preserve"> 2019</w:t>
      </w:r>
      <w:r w:rsidR="00FC0672">
        <w:rPr>
          <w:rFonts w:ascii="Verdana" w:hAnsi="Verdana" w:cs="Arial"/>
        </w:rPr>
        <w:t xml:space="preserve"> to 20</w:t>
      </w:r>
      <w:r w:rsidR="008250B1" w:rsidRPr="006559E3">
        <w:rPr>
          <w:rFonts w:ascii="Verdana" w:hAnsi="Verdana" w:cs="Arial"/>
        </w:rPr>
        <w:t>20</w:t>
      </w:r>
      <w:r w:rsidR="005B6C37" w:rsidRPr="006559E3">
        <w:rPr>
          <w:rFonts w:ascii="Verdana" w:hAnsi="Verdana" w:cs="Arial"/>
        </w:rPr>
        <w:t xml:space="preserve"> </w:t>
      </w:r>
      <w:r w:rsidR="007A407A" w:rsidRPr="006559E3">
        <w:rPr>
          <w:rFonts w:ascii="Verdana" w:hAnsi="Verdana" w:cs="Arial"/>
        </w:rPr>
        <w:t xml:space="preserve">cycling for leisure rose </w:t>
      </w:r>
      <w:r w:rsidR="002472D7" w:rsidRPr="006559E3">
        <w:rPr>
          <w:rFonts w:ascii="Verdana" w:hAnsi="Verdana" w:cs="Arial"/>
        </w:rPr>
        <w:t xml:space="preserve">significantly and then </w:t>
      </w:r>
      <w:r w:rsidR="00755A76" w:rsidRPr="006559E3">
        <w:rPr>
          <w:rFonts w:ascii="Verdana" w:hAnsi="Verdana" w:cs="Arial"/>
        </w:rPr>
        <w:t>sharply dropped</w:t>
      </w:r>
      <w:r w:rsidR="005B6C37" w:rsidRPr="006559E3">
        <w:rPr>
          <w:rFonts w:ascii="Verdana" w:hAnsi="Verdana" w:cs="Arial"/>
        </w:rPr>
        <w:t xml:space="preserve"> in </w:t>
      </w:r>
      <w:r w:rsidR="00270DED">
        <w:rPr>
          <w:rFonts w:ascii="Verdana" w:hAnsi="Verdana" w:cs="Arial"/>
        </w:rPr>
        <w:t>202</w:t>
      </w:r>
      <w:r w:rsidR="00367419">
        <w:rPr>
          <w:rFonts w:ascii="Verdana" w:hAnsi="Verdana" w:cs="Arial"/>
        </w:rPr>
        <w:t>1</w:t>
      </w:r>
      <w:r w:rsidR="00C0762E">
        <w:rPr>
          <w:rFonts w:ascii="Verdana" w:hAnsi="Verdana" w:cs="Arial"/>
        </w:rPr>
        <w:t>. Cycling for travel saw a decline post-Covid but this was less significant</w:t>
      </w:r>
      <w:r w:rsidR="005F460C">
        <w:rPr>
          <w:rFonts w:ascii="Verdana" w:hAnsi="Verdana" w:cs="Arial"/>
        </w:rPr>
        <w:t>.</w:t>
      </w:r>
    </w:p>
    <w:p w14:paraId="6E464A1C" w14:textId="12D1CB1D" w:rsidR="00E65E53" w:rsidRPr="00C2471E" w:rsidRDefault="00270DED" w:rsidP="00C2471E">
      <w:pPr>
        <w:pStyle w:val="ListParagraph"/>
        <w:numPr>
          <w:ilvl w:val="0"/>
          <w:numId w:val="16"/>
        </w:numPr>
        <w:spacing w:after="200" w:line="276" w:lineRule="auto"/>
        <w:rPr>
          <w:rFonts w:ascii="Verdana" w:hAnsi="Verdana" w:cs="Arial"/>
        </w:rPr>
      </w:pPr>
      <w:r>
        <w:rPr>
          <w:rFonts w:ascii="Verdana" w:hAnsi="Verdana" w:cs="Arial"/>
        </w:rPr>
        <w:t>Across</w:t>
      </w:r>
      <w:r w:rsidR="000B5B71" w:rsidRPr="006559E3">
        <w:rPr>
          <w:rFonts w:ascii="Verdana" w:hAnsi="Verdana" w:cs="Arial"/>
        </w:rPr>
        <w:t xml:space="preserve"> all the analysed forms of Active Travel,</w:t>
      </w:r>
      <w:r w:rsidR="002A5FE5" w:rsidRPr="006559E3">
        <w:rPr>
          <w:rFonts w:ascii="Verdana" w:hAnsi="Verdana" w:cs="Arial"/>
        </w:rPr>
        <w:t xml:space="preserve"> the proportion of individuals </w:t>
      </w:r>
      <w:r w:rsidR="000B5B71" w:rsidRPr="006559E3">
        <w:rPr>
          <w:rFonts w:ascii="Verdana" w:hAnsi="Verdana" w:cs="Arial"/>
        </w:rPr>
        <w:t>undertaking the</w:t>
      </w:r>
      <w:r w:rsidR="008A60DC" w:rsidRPr="006559E3">
        <w:rPr>
          <w:rFonts w:ascii="Verdana" w:hAnsi="Verdana" w:cs="Arial"/>
        </w:rPr>
        <w:t xml:space="preserve"> </w:t>
      </w:r>
      <w:r w:rsidR="00F417B3" w:rsidRPr="006559E3">
        <w:rPr>
          <w:rFonts w:ascii="Verdana" w:hAnsi="Verdana" w:cs="Arial"/>
        </w:rPr>
        <w:t>form</w:t>
      </w:r>
      <w:r w:rsidR="008A60DC" w:rsidRPr="006559E3">
        <w:rPr>
          <w:rFonts w:ascii="Verdana" w:hAnsi="Verdana" w:cs="Arial"/>
        </w:rPr>
        <w:t xml:space="preserve"> of travel </w:t>
      </w:r>
      <w:r w:rsidR="002A5FE5" w:rsidRPr="006559E3">
        <w:rPr>
          <w:rFonts w:ascii="Verdana" w:hAnsi="Verdana" w:cs="Arial"/>
        </w:rPr>
        <w:t xml:space="preserve">decreases as </w:t>
      </w:r>
      <w:r w:rsidR="008A60DC" w:rsidRPr="006559E3">
        <w:rPr>
          <w:rFonts w:ascii="Verdana" w:hAnsi="Verdana" w:cs="Arial"/>
        </w:rPr>
        <w:t xml:space="preserve">the </w:t>
      </w:r>
      <w:r w:rsidR="002A5FE5" w:rsidRPr="006559E3">
        <w:rPr>
          <w:rFonts w:ascii="Verdana" w:hAnsi="Verdana" w:cs="Arial"/>
        </w:rPr>
        <w:t xml:space="preserve">frequency </w:t>
      </w:r>
      <w:r w:rsidR="00F417B3" w:rsidRPr="006559E3">
        <w:rPr>
          <w:rFonts w:ascii="Verdana" w:hAnsi="Verdana" w:cs="Arial"/>
        </w:rPr>
        <w:t xml:space="preserve">of travel </w:t>
      </w:r>
      <w:r w:rsidR="002A5FE5" w:rsidRPr="006559E3">
        <w:rPr>
          <w:rFonts w:ascii="Verdana" w:hAnsi="Verdana" w:cs="Arial"/>
        </w:rPr>
        <w:t>increases</w:t>
      </w:r>
      <w:r w:rsidR="005F460C">
        <w:rPr>
          <w:rFonts w:ascii="Verdana" w:hAnsi="Verdana" w:cs="Arial"/>
        </w:rPr>
        <w:t>.</w:t>
      </w:r>
    </w:p>
    <w:p w14:paraId="313FC075" w14:textId="4A92116F" w:rsidR="008568BD" w:rsidRPr="006559E3" w:rsidRDefault="00C70C55" w:rsidP="009530D6">
      <w:pPr>
        <w:pStyle w:val="ListParagraph"/>
        <w:numPr>
          <w:ilvl w:val="0"/>
          <w:numId w:val="16"/>
        </w:numPr>
        <w:spacing w:after="200" w:line="276" w:lineRule="auto"/>
        <w:rPr>
          <w:rFonts w:ascii="Verdana" w:hAnsi="Verdana" w:cs="Arial"/>
        </w:rPr>
      </w:pPr>
      <w:r w:rsidRPr="006559E3">
        <w:rPr>
          <w:rFonts w:ascii="Verdana" w:hAnsi="Verdana" w:cs="Arial"/>
        </w:rPr>
        <w:t xml:space="preserve">Canterbury, </w:t>
      </w:r>
      <w:r w:rsidR="00C61218" w:rsidRPr="006559E3">
        <w:rPr>
          <w:rFonts w:ascii="Verdana" w:hAnsi="Verdana" w:cs="Arial"/>
        </w:rPr>
        <w:t>Dover,</w:t>
      </w:r>
      <w:r w:rsidRPr="006559E3">
        <w:rPr>
          <w:rFonts w:ascii="Verdana" w:hAnsi="Verdana" w:cs="Arial"/>
        </w:rPr>
        <w:t xml:space="preserve"> and Ashford ha</w:t>
      </w:r>
      <w:r w:rsidR="002944E3">
        <w:rPr>
          <w:rFonts w:ascii="Verdana" w:hAnsi="Verdana" w:cs="Arial"/>
        </w:rPr>
        <w:t>d</w:t>
      </w:r>
      <w:r w:rsidRPr="006559E3">
        <w:rPr>
          <w:rFonts w:ascii="Verdana" w:hAnsi="Verdana" w:cs="Arial"/>
        </w:rPr>
        <w:t xml:space="preserve"> on average the highest rates of </w:t>
      </w:r>
      <w:r w:rsidR="00BA28BD">
        <w:rPr>
          <w:rFonts w:ascii="Verdana" w:hAnsi="Verdana" w:cs="Arial"/>
        </w:rPr>
        <w:t>A</w:t>
      </w:r>
      <w:r w:rsidRPr="006559E3">
        <w:rPr>
          <w:rFonts w:ascii="Verdana" w:hAnsi="Verdana" w:cs="Arial"/>
        </w:rPr>
        <w:t xml:space="preserve">ctive </w:t>
      </w:r>
      <w:r w:rsidR="00BA28BD">
        <w:rPr>
          <w:rFonts w:ascii="Verdana" w:hAnsi="Verdana" w:cs="Arial"/>
        </w:rPr>
        <w:t>T</w:t>
      </w:r>
      <w:r w:rsidRPr="006559E3">
        <w:rPr>
          <w:rFonts w:ascii="Verdana" w:hAnsi="Verdana" w:cs="Arial"/>
        </w:rPr>
        <w:t>ravel from 2016</w:t>
      </w:r>
      <w:r w:rsidR="00052094">
        <w:rPr>
          <w:rFonts w:ascii="Verdana" w:hAnsi="Verdana" w:cs="Arial"/>
        </w:rPr>
        <w:t xml:space="preserve"> to 20</w:t>
      </w:r>
      <w:r w:rsidRPr="006559E3">
        <w:rPr>
          <w:rFonts w:ascii="Verdana" w:hAnsi="Verdana" w:cs="Arial"/>
        </w:rPr>
        <w:t>21</w:t>
      </w:r>
      <w:r w:rsidR="005F460C">
        <w:rPr>
          <w:rFonts w:ascii="Verdana" w:hAnsi="Verdana" w:cs="Arial"/>
        </w:rPr>
        <w:t>.</w:t>
      </w:r>
    </w:p>
    <w:p w14:paraId="127C5E99" w14:textId="6C56E91E" w:rsidR="00B219CE" w:rsidRDefault="00FC7B1A" w:rsidP="00B219CE">
      <w:pPr>
        <w:pStyle w:val="ListParagraph"/>
        <w:numPr>
          <w:ilvl w:val="0"/>
          <w:numId w:val="16"/>
        </w:numPr>
        <w:spacing w:after="200" w:line="276" w:lineRule="auto"/>
        <w:rPr>
          <w:rFonts w:ascii="Verdana" w:hAnsi="Verdana" w:cs="Arial"/>
        </w:rPr>
      </w:pPr>
      <w:r w:rsidRPr="006559E3">
        <w:rPr>
          <w:rFonts w:ascii="Verdana" w:hAnsi="Verdana" w:cs="Arial"/>
        </w:rPr>
        <w:t>Dartford and Gravesham h</w:t>
      </w:r>
      <w:r w:rsidR="002944E3">
        <w:rPr>
          <w:rFonts w:ascii="Verdana" w:hAnsi="Verdana" w:cs="Arial"/>
        </w:rPr>
        <w:t>ad</w:t>
      </w:r>
      <w:r w:rsidRPr="006559E3">
        <w:rPr>
          <w:rFonts w:ascii="Verdana" w:hAnsi="Verdana" w:cs="Arial"/>
        </w:rPr>
        <w:t xml:space="preserve"> on average the lowest rates of </w:t>
      </w:r>
      <w:r w:rsidR="00BA28BD">
        <w:rPr>
          <w:rFonts w:ascii="Verdana" w:hAnsi="Verdana" w:cs="Arial"/>
        </w:rPr>
        <w:t>A</w:t>
      </w:r>
      <w:r w:rsidRPr="006559E3">
        <w:rPr>
          <w:rFonts w:ascii="Verdana" w:hAnsi="Verdana" w:cs="Arial"/>
        </w:rPr>
        <w:t xml:space="preserve">ctive </w:t>
      </w:r>
      <w:r w:rsidR="00BA28BD">
        <w:rPr>
          <w:rFonts w:ascii="Verdana" w:hAnsi="Verdana" w:cs="Arial"/>
        </w:rPr>
        <w:t>T</w:t>
      </w:r>
      <w:r w:rsidRPr="006559E3">
        <w:rPr>
          <w:rFonts w:ascii="Verdana" w:hAnsi="Verdana" w:cs="Arial"/>
        </w:rPr>
        <w:t>ravel from 2016</w:t>
      </w:r>
      <w:r w:rsidR="00052094">
        <w:rPr>
          <w:rFonts w:ascii="Verdana" w:hAnsi="Verdana" w:cs="Arial"/>
        </w:rPr>
        <w:t xml:space="preserve"> to 20</w:t>
      </w:r>
      <w:r w:rsidRPr="006559E3">
        <w:rPr>
          <w:rFonts w:ascii="Verdana" w:hAnsi="Verdana" w:cs="Arial"/>
        </w:rPr>
        <w:t>21</w:t>
      </w:r>
      <w:r w:rsidR="005F460C">
        <w:rPr>
          <w:rFonts w:ascii="Verdana" w:hAnsi="Verdana" w:cs="Arial"/>
        </w:rPr>
        <w:t>.</w:t>
      </w:r>
    </w:p>
    <w:p w14:paraId="1B1D4478" w14:textId="1850D6E4" w:rsidR="00B219CE" w:rsidRPr="00B219CE" w:rsidRDefault="00EC5D48" w:rsidP="00B219CE">
      <w:pPr>
        <w:pStyle w:val="ListParagraph"/>
        <w:numPr>
          <w:ilvl w:val="0"/>
          <w:numId w:val="16"/>
        </w:numPr>
        <w:spacing w:after="200" w:line="276" w:lineRule="auto"/>
        <w:rPr>
          <w:rFonts w:ascii="Verdana" w:hAnsi="Verdana" w:cs="Arial"/>
        </w:rPr>
      </w:pPr>
      <w:r>
        <w:rPr>
          <w:rFonts w:ascii="Verdana" w:hAnsi="Verdana"/>
        </w:rPr>
        <w:t xml:space="preserve">The rates observed in Kent are </w:t>
      </w:r>
      <w:proofErr w:type="gramStart"/>
      <w:r>
        <w:rPr>
          <w:rFonts w:ascii="Verdana" w:hAnsi="Verdana"/>
        </w:rPr>
        <w:t>similar to</w:t>
      </w:r>
      <w:proofErr w:type="gramEnd"/>
      <w:r>
        <w:rPr>
          <w:rFonts w:ascii="Verdana" w:hAnsi="Verdana"/>
        </w:rPr>
        <w:t xml:space="preserve"> those seen in its socio-economic neighbours. </w:t>
      </w:r>
      <w:r w:rsidR="00EA7F0A">
        <w:rPr>
          <w:rFonts w:ascii="Verdana" w:hAnsi="Verdana" w:cs="Arial"/>
        </w:rPr>
        <w:t>Kent ranks well in walking for travel and cycling for leisure, but lower in walking for leisure and cycling for travel.</w:t>
      </w:r>
    </w:p>
    <w:p w14:paraId="609A7254" w14:textId="0B70AD9D" w:rsidR="002A5FE5" w:rsidRPr="00ED04CB" w:rsidRDefault="002A5FE5" w:rsidP="008F39C6">
      <w:pPr>
        <w:pStyle w:val="Heading3"/>
        <w:rPr>
          <w:rFonts w:ascii="Verdana" w:hAnsi="Verdana"/>
          <w:sz w:val="28"/>
          <w:szCs w:val="28"/>
        </w:rPr>
      </w:pPr>
      <w:bookmarkStart w:id="4" w:name="_Toc139375893"/>
      <w:r w:rsidRPr="00ED04CB">
        <w:rPr>
          <w:rFonts w:ascii="Verdana" w:hAnsi="Verdana"/>
          <w:sz w:val="28"/>
          <w:szCs w:val="28"/>
        </w:rPr>
        <w:t>1.</w:t>
      </w:r>
      <w:r w:rsidR="0061187A" w:rsidRPr="00ED04CB">
        <w:rPr>
          <w:rFonts w:ascii="Verdana" w:hAnsi="Verdana"/>
          <w:sz w:val="28"/>
          <w:szCs w:val="28"/>
        </w:rPr>
        <w:t>2</w:t>
      </w:r>
      <w:r w:rsidRPr="00ED04CB">
        <w:rPr>
          <w:rFonts w:ascii="Verdana" w:hAnsi="Verdana"/>
          <w:sz w:val="28"/>
          <w:szCs w:val="28"/>
        </w:rPr>
        <w:tab/>
        <w:t>Call to Action</w:t>
      </w:r>
      <w:bookmarkEnd w:id="4"/>
    </w:p>
    <w:p w14:paraId="3D96EE78" w14:textId="14C53789" w:rsidR="00BB4432" w:rsidRDefault="007F14DD" w:rsidP="006559E3">
      <w:pPr>
        <w:spacing w:after="200"/>
        <w:rPr>
          <w:rFonts w:ascii="Verdana" w:hAnsi="Verdana"/>
          <w:sz w:val="22"/>
          <w:szCs w:val="22"/>
        </w:rPr>
      </w:pPr>
      <w:r w:rsidRPr="006559E3">
        <w:rPr>
          <w:rFonts w:ascii="Verdana" w:hAnsi="Verdana"/>
          <w:sz w:val="22"/>
          <w:szCs w:val="22"/>
        </w:rPr>
        <w:t xml:space="preserve">Active </w:t>
      </w:r>
      <w:r w:rsidR="00BA28BD">
        <w:rPr>
          <w:rFonts w:ascii="Verdana" w:hAnsi="Verdana"/>
          <w:sz w:val="22"/>
          <w:szCs w:val="22"/>
        </w:rPr>
        <w:t>T</w:t>
      </w:r>
      <w:r w:rsidRPr="006559E3">
        <w:rPr>
          <w:rFonts w:ascii="Verdana" w:hAnsi="Verdana"/>
          <w:sz w:val="22"/>
          <w:szCs w:val="22"/>
        </w:rPr>
        <w:t xml:space="preserve">ravel has </w:t>
      </w:r>
      <w:r w:rsidR="002B4621" w:rsidRPr="006559E3">
        <w:rPr>
          <w:rFonts w:ascii="Verdana" w:hAnsi="Verdana"/>
          <w:sz w:val="22"/>
          <w:szCs w:val="22"/>
        </w:rPr>
        <w:t>benefits</w:t>
      </w:r>
      <w:r w:rsidRPr="006559E3">
        <w:rPr>
          <w:rFonts w:ascii="Verdana" w:hAnsi="Verdana"/>
          <w:sz w:val="22"/>
          <w:szCs w:val="22"/>
        </w:rPr>
        <w:t xml:space="preserve"> for </w:t>
      </w:r>
      <w:r w:rsidR="00892E8B" w:rsidRPr="006559E3">
        <w:rPr>
          <w:rFonts w:ascii="Verdana" w:hAnsi="Verdana"/>
          <w:sz w:val="22"/>
          <w:szCs w:val="22"/>
        </w:rPr>
        <w:t xml:space="preserve">the </w:t>
      </w:r>
      <w:r w:rsidR="002B4621" w:rsidRPr="006559E3">
        <w:rPr>
          <w:rFonts w:ascii="Verdana" w:hAnsi="Verdana"/>
          <w:sz w:val="22"/>
          <w:szCs w:val="22"/>
        </w:rPr>
        <w:t>health of</w:t>
      </w:r>
      <w:r w:rsidRPr="006559E3">
        <w:rPr>
          <w:rFonts w:ascii="Verdana" w:hAnsi="Verdana"/>
          <w:sz w:val="22"/>
          <w:szCs w:val="22"/>
        </w:rPr>
        <w:t xml:space="preserve"> both the ind</w:t>
      </w:r>
      <w:r w:rsidR="002B4621" w:rsidRPr="006559E3">
        <w:rPr>
          <w:rFonts w:ascii="Verdana" w:hAnsi="Verdana"/>
          <w:sz w:val="22"/>
          <w:szCs w:val="22"/>
        </w:rPr>
        <w:t>ividual</w:t>
      </w:r>
      <w:r w:rsidRPr="006559E3">
        <w:rPr>
          <w:rFonts w:ascii="Verdana" w:hAnsi="Verdana"/>
          <w:sz w:val="22"/>
          <w:szCs w:val="22"/>
        </w:rPr>
        <w:t xml:space="preserve"> and the </w:t>
      </w:r>
      <w:r w:rsidR="002B4621" w:rsidRPr="006559E3">
        <w:rPr>
          <w:rFonts w:ascii="Verdana" w:hAnsi="Verdana"/>
          <w:sz w:val="22"/>
          <w:szCs w:val="22"/>
        </w:rPr>
        <w:t>environment</w:t>
      </w:r>
      <w:r w:rsidRPr="006559E3">
        <w:rPr>
          <w:rFonts w:ascii="Verdana" w:hAnsi="Verdana"/>
          <w:sz w:val="22"/>
          <w:szCs w:val="22"/>
        </w:rPr>
        <w:t xml:space="preserve">, therefore </w:t>
      </w:r>
      <w:r w:rsidR="002B4621" w:rsidRPr="000B5D54">
        <w:rPr>
          <w:rFonts w:ascii="Verdana" w:hAnsi="Verdana"/>
          <w:sz w:val="22"/>
          <w:szCs w:val="22"/>
        </w:rPr>
        <w:t>initiatives</w:t>
      </w:r>
      <w:r w:rsidRPr="000B5D54">
        <w:rPr>
          <w:rFonts w:ascii="Verdana" w:hAnsi="Verdana"/>
          <w:sz w:val="22"/>
          <w:szCs w:val="22"/>
        </w:rPr>
        <w:t xml:space="preserve"> to </w:t>
      </w:r>
      <w:r w:rsidR="002B4621" w:rsidRPr="000B5D54">
        <w:rPr>
          <w:rFonts w:ascii="Verdana" w:hAnsi="Verdana"/>
          <w:sz w:val="22"/>
          <w:szCs w:val="22"/>
        </w:rPr>
        <w:t xml:space="preserve">encourage </w:t>
      </w:r>
      <w:r w:rsidR="00C2471E" w:rsidRPr="000B5D54">
        <w:rPr>
          <w:rFonts w:ascii="Verdana" w:hAnsi="Verdana"/>
          <w:sz w:val="22"/>
          <w:szCs w:val="22"/>
        </w:rPr>
        <w:t>it</w:t>
      </w:r>
      <w:r w:rsidR="002B4621" w:rsidRPr="000B5D54">
        <w:rPr>
          <w:rFonts w:ascii="Verdana" w:hAnsi="Verdana"/>
          <w:sz w:val="22"/>
          <w:szCs w:val="22"/>
        </w:rPr>
        <w:t xml:space="preserve"> are needed.</w:t>
      </w:r>
      <w:r w:rsidR="00E16FA5" w:rsidRPr="000B5D54">
        <w:rPr>
          <w:rFonts w:ascii="Verdana" w:hAnsi="Verdana"/>
          <w:sz w:val="22"/>
          <w:szCs w:val="22"/>
        </w:rPr>
        <w:t xml:space="preserve"> Such </w:t>
      </w:r>
      <w:r w:rsidR="000156CC" w:rsidRPr="000B5D54">
        <w:rPr>
          <w:rFonts w:ascii="Verdana" w:hAnsi="Verdana"/>
          <w:sz w:val="22"/>
          <w:szCs w:val="22"/>
        </w:rPr>
        <w:t>initiatives</w:t>
      </w:r>
      <w:r w:rsidR="00A3554C" w:rsidRPr="000B5D54">
        <w:rPr>
          <w:rFonts w:ascii="Verdana" w:hAnsi="Verdana"/>
          <w:sz w:val="22"/>
          <w:szCs w:val="22"/>
        </w:rPr>
        <w:t xml:space="preserve"> may </w:t>
      </w:r>
      <w:r w:rsidR="00B12F11">
        <w:rPr>
          <w:rFonts w:ascii="Verdana" w:hAnsi="Verdana"/>
          <w:sz w:val="22"/>
          <w:szCs w:val="22"/>
        </w:rPr>
        <w:t>now be more needed</w:t>
      </w:r>
      <w:r w:rsidR="00A3554C" w:rsidRPr="000B5D54">
        <w:rPr>
          <w:rFonts w:ascii="Verdana" w:hAnsi="Verdana"/>
          <w:sz w:val="22"/>
          <w:szCs w:val="22"/>
        </w:rPr>
        <w:t xml:space="preserve"> </w:t>
      </w:r>
      <w:r w:rsidR="00542F0B" w:rsidRPr="000B5D54">
        <w:rPr>
          <w:rFonts w:ascii="Verdana" w:hAnsi="Verdana"/>
          <w:sz w:val="22"/>
          <w:szCs w:val="22"/>
        </w:rPr>
        <w:t>to</w:t>
      </w:r>
      <w:r w:rsidR="00A3554C" w:rsidRPr="000B5D54">
        <w:rPr>
          <w:rFonts w:ascii="Verdana" w:hAnsi="Verdana"/>
          <w:sz w:val="22"/>
          <w:szCs w:val="22"/>
        </w:rPr>
        <w:t xml:space="preserve"> combat the decrease</w:t>
      </w:r>
      <w:r w:rsidR="00755A76" w:rsidRPr="000B5D54">
        <w:rPr>
          <w:rFonts w:ascii="Verdana" w:hAnsi="Verdana"/>
          <w:sz w:val="22"/>
          <w:szCs w:val="22"/>
        </w:rPr>
        <w:t xml:space="preserve"> in walking for travel and cycling </w:t>
      </w:r>
      <w:r w:rsidR="000156CC" w:rsidRPr="000B5D54">
        <w:rPr>
          <w:rFonts w:ascii="Verdana" w:hAnsi="Verdana"/>
          <w:sz w:val="22"/>
          <w:szCs w:val="22"/>
        </w:rPr>
        <w:t>for leisure</w:t>
      </w:r>
      <w:r w:rsidR="00542F0B" w:rsidRPr="000B5D54">
        <w:rPr>
          <w:rFonts w:ascii="Verdana" w:hAnsi="Verdana"/>
          <w:sz w:val="22"/>
          <w:szCs w:val="22"/>
        </w:rPr>
        <w:t xml:space="preserve"> post-Covid</w:t>
      </w:r>
      <w:r w:rsidR="000156CC" w:rsidRPr="000B5D54">
        <w:rPr>
          <w:rFonts w:ascii="Verdana" w:hAnsi="Verdana"/>
          <w:sz w:val="22"/>
          <w:szCs w:val="22"/>
        </w:rPr>
        <w:t xml:space="preserve">. More detailed local data on the key demographics </w:t>
      </w:r>
      <w:r w:rsidR="00542F0B" w:rsidRPr="000B5D54">
        <w:rPr>
          <w:rFonts w:ascii="Verdana" w:hAnsi="Verdana"/>
          <w:sz w:val="22"/>
          <w:szCs w:val="22"/>
        </w:rPr>
        <w:t>to</w:t>
      </w:r>
      <w:r w:rsidR="000156CC" w:rsidRPr="000B5D54">
        <w:rPr>
          <w:rFonts w:ascii="Verdana" w:hAnsi="Verdana"/>
          <w:sz w:val="22"/>
          <w:szCs w:val="22"/>
        </w:rPr>
        <w:t xml:space="preserve"> be targeted for these initiatives is vital to improving </w:t>
      </w:r>
      <w:r w:rsidR="00542F0B" w:rsidRPr="000B5D54">
        <w:rPr>
          <w:rFonts w:ascii="Verdana" w:hAnsi="Verdana"/>
          <w:sz w:val="22"/>
          <w:szCs w:val="22"/>
        </w:rPr>
        <w:t>A</w:t>
      </w:r>
      <w:r w:rsidR="000156CC" w:rsidRPr="000B5D54">
        <w:rPr>
          <w:rFonts w:ascii="Verdana" w:hAnsi="Verdana"/>
          <w:sz w:val="22"/>
          <w:szCs w:val="22"/>
        </w:rPr>
        <w:t xml:space="preserve">ctive </w:t>
      </w:r>
      <w:r w:rsidR="00542F0B" w:rsidRPr="000B5D54">
        <w:rPr>
          <w:rFonts w:ascii="Verdana" w:hAnsi="Verdana"/>
          <w:sz w:val="22"/>
          <w:szCs w:val="22"/>
        </w:rPr>
        <w:t>T</w:t>
      </w:r>
      <w:r w:rsidR="000156CC" w:rsidRPr="000B5D54">
        <w:rPr>
          <w:rFonts w:ascii="Verdana" w:hAnsi="Verdana"/>
          <w:sz w:val="22"/>
          <w:szCs w:val="22"/>
        </w:rPr>
        <w:t>ravel rates in the future</w:t>
      </w:r>
      <w:r w:rsidR="00BB4432" w:rsidRPr="000B5D54">
        <w:rPr>
          <w:rFonts w:ascii="Verdana" w:hAnsi="Verdana"/>
          <w:sz w:val="22"/>
          <w:szCs w:val="22"/>
        </w:rPr>
        <w:t>.</w:t>
      </w:r>
    </w:p>
    <w:p w14:paraId="67045B90" w14:textId="77777777" w:rsidR="00CD3FAB" w:rsidRDefault="00CD3FAB">
      <w:pPr>
        <w:spacing w:before="0" w:after="200"/>
        <w:rPr>
          <w:rFonts w:ascii="Verdana" w:hAnsi="Verdana"/>
          <w:sz w:val="22"/>
          <w:szCs w:val="22"/>
        </w:rPr>
      </w:pPr>
      <w:r>
        <w:rPr>
          <w:rFonts w:ascii="Verdana" w:hAnsi="Verdana"/>
          <w:sz w:val="22"/>
          <w:szCs w:val="22"/>
        </w:rPr>
        <w:br w:type="page"/>
      </w:r>
    </w:p>
    <w:p w14:paraId="6AC61E0E" w14:textId="5708BF8B" w:rsidR="00141D09" w:rsidRPr="00ED04CB" w:rsidRDefault="00ED04CB" w:rsidP="008F39C6">
      <w:pPr>
        <w:pStyle w:val="Heading2"/>
        <w:rPr>
          <w:rFonts w:ascii="Verdana" w:hAnsi="Verdana"/>
          <w:sz w:val="36"/>
          <w:szCs w:val="36"/>
        </w:rPr>
      </w:pPr>
      <w:bookmarkStart w:id="5" w:name="_Toc139375894"/>
      <w:r w:rsidRPr="00ED04CB">
        <w:rPr>
          <w:rFonts w:ascii="Verdana" w:hAnsi="Verdana"/>
          <w:sz w:val="36"/>
          <w:szCs w:val="36"/>
        </w:rPr>
        <w:lastRenderedPageBreak/>
        <w:t>2.</w:t>
      </w:r>
      <w:r w:rsidR="00F431B8">
        <w:rPr>
          <w:rFonts w:ascii="Verdana" w:hAnsi="Verdana"/>
          <w:sz w:val="36"/>
          <w:szCs w:val="36"/>
        </w:rPr>
        <w:t xml:space="preserve"> </w:t>
      </w:r>
      <w:r w:rsidR="002A5FE5" w:rsidRPr="00ED04CB">
        <w:rPr>
          <w:rFonts w:ascii="Verdana" w:hAnsi="Verdana"/>
          <w:sz w:val="36"/>
          <w:szCs w:val="36"/>
        </w:rPr>
        <w:t>Introduction</w:t>
      </w:r>
      <w:bookmarkEnd w:id="5"/>
    </w:p>
    <w:p w14:paraId="213FB897" w14:textId="46BE179A" w:rsidR="001D6B85" w:rsidRPr="001D6B85" w:rsidRDefault="003B19FA" w:rsidP="006559E3">
      <w:pPr>
        <w:rPr>
          <w:rFonts w:ascii="Verdana" w:hAnsi="Verdana"/>
          <w:sz w:val="22"/>
          <w:szCs w:val="22"/>
        </w:rPr>
      </w:pPr>
      <w:r w:rsidRPr="006559E3">
        <w:rPr>
          <w:rFonts w:ascii="Verdana" w:hAnsi="Verdana"/>
          <w:sz w:val="22"/>
          <w:szCs w:val="22"/>
        </w:rPr>
        <w:t xml:space="preserve">Active Travel </w:t>
      </w:r>
      <w:r w:rsidR="00520CDD" w:rsidRPr="006559E3">
        <w:rPr>
          <w:rFonts w:ascii="Verdana" w:hAnsi="Verdana"/>
          <w:sz w:val="22"/>
          <w:szCs w:val="22"/>
        </w:rPr>
        <w:t xml:space="preserve">refers to </w:t>
      </w:r>
      <w:r w:rsidR="00534507" w:rsidRPr="006559E3">
        <w:rPr>
          <w:rFonts w:ascii="Verdana" w:hAnsi="Verdana"/>
          <w:sz w:val="22"/>
          <w:szCs w:val="22"/>
        </w:rPr>
        <w:t xml:space="preserve">the </w:t>
      </w:r>
      <w:r w:rsidR="00704920">
        <w:rPr>
          <w:rFonts w:ascii="Verdana" w:hAnsi="Verdana"/>
          <w:sz w:val="22"/>
          <w:szCs w:val="22"/>
        </w:rPr>
        <w:t xml:space="preserve">act of </w:t>
      </w:r>
      <w:r w:rsidR="00B10152" w:rsidRPr="006559E3">
        <w:rPr>
          <w:rFonts w:ascii="Verdana" w:hAnsi="Verdana"/>
          <w:sz w:val="22"/>
          <w:szCs w:val="22"/>
        </w:rPr>
        <w:t xml:space="preserve">making </w:t>
      </w:r>
      <w:proofErr w:type="spellStart"/>
      <w:r w:rsidR="00F85F6A" w:rsidRPr="006559E3">
        <w:rPr>
          <w:rFonts w:ascii="Verdana" w:hAnsi="Verdana"/>
          <w:sz w:val="22"/>
          <w:szCs w:val="22"/>
        </w:rPr>
        <w:t>everyday</w:t>
      </w:r>
      <w:proofErr w:type="spellEnd"/>
      <w:r w:rsidR="003C76BC" w:rsidRPr="006559E3">
        <w:rPr>
          <w:rFonts w:ascii="Verdana" w:hAnsi="Verdana"/>
          <w:sz w:val="22"/>
          <w:szCs w:val="22"/>
        </w:rPr>
        <w:t xml:space="preserve"> </w:t>
      </w:r>
      <w:r w:rsidR="00A17704" w:rsidRPr="006559E3">
        <w:rPr>
          <w:rFonts w:ascii="Verdana" w:hAnsi="Verdana"/>
          <w:sz w:val="22"/>
          <w:szCs w:val="22"/>
        </w:rPr>
        <w:t>journeys</w:t>
      </w:r>
      <w:r w:rsidR="00B10152" w:rsidRPr="006559E3">
        <w:rPr>
          <w:rFonts w:ascii="Verdana" w:hAnsi="Verdana"/>
          <w:sz w:val="22"/>
          <w:szCs w:val="22"/>
        </w:rPr>
        <w:t xml:space="preserve"> in physically active ways, such as</w:t>
      </w:r>
      <w:r w:rsidR="00F6106B" w:rsidRPr="006559E3">
        <w:rPr>
          <w:rFonts w:ascii="Verdana" w:hAnsi="Verdana"/>
          <w:sz w:val="22"/>
          <w:szCs w:val="22"/>
        </w:rPr>
        <w:t xml:space="preserve"> </w:t>
      </w:r>
      <w:r w:rsidR="00B10152" w:rsidRPr="006559E3">
        <w:rPr>
          <w:rFonts w:ascii="Verdana" w:hAnsi="Verdana"/>
          <w:sz w:val="22"/>
          <w:szCs w:val="22"/>
        </w:rPr>
        <w:t xml:space="preserve">walking </w:t>
      </w:r>
      <w:r w:rsidR="005974E2" w:rsidRPr="006559E3">
        <w:rPr>
          <w:rFonts w:ascii="Verdana" w:hAnsi="Verdana"/>
          <w:sz w:val="22"/>
          <w:szCs w:val="22"/>
        </w:rPr>
        <w:t xml:space="preserve">or </w:t>
      </w:r>
      <w:r w:rsidR="00B10152" w:rsidRPr="006559E3">
        <w:rPr>
          <w:rFonts w:ascii="Verdana" w:hAnsi="Verdana"/>
          <w:sz w:val="22"/>
          <w:szCs w:val="22"/>
        </w:rPr>
        <w:t>cycling</w:t>
      </w:r>
      <w:r w:rsidR="00BD5E7C">
        <w:rPr>
          <w:rFonts w:ascii="Verdana" w:hAnsi="Verdana"/>
          <w:sz w:val="22"/>
          <w:szCs w:val="22"/>
          <w:vertAlign w:val="superscript"/>
        </w:rPr>
        <w:t>1</w:t>
      </w:r>
      <w:r w:rsidR="00B10152" w:rsidRPr="006559E3">
        <w:rPr>
          <w:rFonts w:ascii="Verdana" w:hAnsi="Verdana"/>
          <w:sz w:val="22"/>
          <w:szCs w:val="22"/>
        </w:rPr>
        <w:t>.</w:t>
      </w:r>
      <w:r w:rsidR="00A17704" w:rsidRPr="006559E3">
        <w:rPr>
          <w:rFonts w:ascii="Verdana" w:hAnsi="Verdana"/>
          <w:sz w:val="22"/>
          <w:szCs w:val="22"/>
        </w:rPr>
        <w:t xml:space="preserve"> Encouraging </w:t>
      </w:r>
      <w:r w:rsidR="00B5771C" w:rsidRPr="006559E3">
        <w:rPr>
          <w:rFonts w:ascii="Verdana" w:hAnsi="Verdana"/>
          <w:sz w:val="22"/>
          <w:szCs w:val="22"/>
        </w:rPr>
        <w:t>Active Travel in communities</w:t>
      </w:r>
      <w:r w:rsidR="00F6106B" w:rsidRPr="006559E3">
        <w:rPr>
          <w:rFonts w:ascii="Verdana" w:hAnsi="Verdana"/>
          <w:sz w:val="22"/>
          <w:szCs w:val="22"/>
        </w:rPr>
        <w:t xml:space="preserve"> is considered a priority</w:t>
      </w:r>
      <w:r w:rsidR="008A784D" w:rsidRPr="006559E3">
        <w:rPr>
          <w:rFonts w:ascii="Verdana" w:hAnsi="Verdana"/>
          <w:sz w:val="22"/>
          <w:szCs w:val="22"/>
        </w:rPr>
        <w:t xml:space="preserve"> </w:t>
      </w:r>
      <w:r w:rsidR="009C3181" w:rsidRPr="006559E3">
        <w:rPr>
          <w:rFonts w:ascii="Verdana" w:hAnsi="Verdana"/>
          <w:sz w:val="22"/>
          <w:szCs w:val="22"/>
        </w:rPr>
        <w:t xml:space="preserve">for local </w:t>
      </w:r>
      <w:r w:rsidR="00897466" w:rsidRPr="006559E3">
        <w:rPr>
          <w:rFonts w:ascii="Verdana" w:hAnsi="Verdana"/>
          <w:sz w:val="22"/>
          <w:szCs w:val="22"/>
        </w:rPr>
        <w:t>authorities</w:t>
      </w:r>
      <w:r w:rsidR="009C3181" w:rsidRPr="006559E3">
        <w:rPr>
          <w:rFonts w:ascii="Verdana" w:hAnsi="Verdana"/>
          <w:sz w:val="22"/>
          <w:szCs w:val="22"/>
        </w:rPr>
        <w:t xml:space="preserve"> </w:t>
      </w:r>
      <w:r w:rsidR="00D854F7" w:rsidRPr="006559E3">
        <w:rPr>
          <w:rFonts w:ascii="Verdana" w:hAnsi="Verdana"/>
          <w:sz w:val="22"/>
          <w:szCs w:val="22"/>
        </w:rPr>
        <w:t xml:space="preserve">due to the </w:t>
      </w:r>
      <w:r w:rsidR="003342AF" w:rsidRPr="006559E3">
        <w:rPr>
          <w:rFonts w:ascii="Verdana" w:hAnsi="Verdana"/>
          <w:sz w:val="22"/>
          <w:szCs w:val="22"/>
        </w:rPr>
        <w:t>improvements in p</w:t>
      </w:r>
      <w:r w:rsidR="004F3173" w:rsidRPr="006559E3">
        <w:rPr>
          <w:rFonts w:ascii="Verdana" w:hAnsi="Verdana"/>
          <w:sz w:val="22"/>
          <w:szCs w:val="22"/>
        </w:rPr>
        <w:t xml:space="preserve">ublic </w:t>
      </w:r>
      <w:r w:rsidR="00D854F7" w:rsidRPr="006559E3">
        <w:rPr>
          <w:rFonts w:ascii="Verdana" w:hAnsi="Verdana"/>
          <w:sz w:val="22"/>
          <w:szCs w:val="22"/>
        </w:rPr>
        <w:t>health</w:t>
      </w:r>
      <w:r w:rsidR="00520CDD" w:rsidRPr="006559E3">
        <w:rPr>
          <w:rFonts w:ascii="Verdana" w:hAnsi="Verdana"/>
          <w:sz w:val="22"/>
          <w:szCs w:val="22"/>
        </w:rPr>
        <w:t xml:space="preserve"> and </w:t>
      </w:r>
      <w:r w:rsidR="00892E8B" w:rsidRPr="006559E3">
        <w:rPr>
          <w:rFonts w:ascii="Verdana" w:hAnsi="Verdana"/>
          <w:sz w:val="22"/>
          <w:szCs w:val="22"/>
        </w:rPr>
        <w:t>well-being</w:t>
      </w:r>
      <w:r w:rsidR="00D854F7" w:rsidRPr="006559E3">
        <w:rPr>
          <w:rFonts w:ascii="Verdana" w:hAnsi="Verdana"/>
          <w:sz w:val="22"/>
          <w:szCs w:val="22"/>
        </w:rPr>
        <w:t xml:space="preserve"> it can bring</w:t>
      </w:r>
      <w:r w:rsidR="003342AF" w:rsidRPr="006559E3">
        <w:rPr>
          <w:rFonts w:ascii="Verdana" w:hAnsi="Verdana"/>
          <w:sz w:val="22"/>
          <w:szCs w:val="22"/>
        </w:rPr>
        <w:t>.</w:t>
      </w:r>
      <w:r w:rsidR="008E7939" w:rsidRPr="006559E3">
        <w:rPr>
          <w:rFonts w:ascii="Verdana" w:hAnsi="Verdana"/>
          <w:sz w:val="22"/>
          <w:szCs w:val="22"/>
        </w:rPr>
        <w:t xml:space="preserve"> </w:t>
      </w:r>
      <w:r w:rsidR="00B6042B" w:rsidRPr="006559E3">
        <w:rPr>
          <w:rFonts w:ascii="Verdana" w:hAnsi="Verdana"/>
          <w:sz w:val="22"/>
          <w:szCs w:val="22"/>
        </w:rPr>
        <w:t>Whilst</w:t>
      </w:r>
      <w:r w:rsidR="005974E2" w:rsidRPr="006559E3">
        <w:rPr>
          <w:rFonts w:ascii="Verdana" w:hAnsi="Verdana"/>
          <w:sz w:val="22"/>
          <w:szCs w:val="22"/>
        </w:rPr>
        <w:t xml:space="preserve"> </w:t>
      </w:r>
      <w:r w:rsidR="00B6042B" w:rsidRPr="006559E3">
        <w:rPr>
          <w:rFonts w:ascii="Verdana" w:hAnsi="Verdana"/>
          <w:sz w:val="22"/>
          <w:szCs w:val="22"/>
        </w:rPr>
        <w:t>link</w:t>
      </w:r>
      <w:r w:rsidR="00F675A6" w:rsidRPr="006559E3">
        <w:rPr>
          <w:rFonts w:ascii="Verdana" w:hAnsi="Verdana"/>
          <w:sz w:val="22"/>
          <w:szCs w:val="22"/>
        </w:rPr>
        <w:t>s</w:t>
      </w:r>
      <w:r w:rsidR="00B6042B" w:rsidRPr="006559E3">
        <w:rPr>
          <w:rFonts w:ascii="Verdana" w:hAnsi="Verdana"/>
          <w:sz w:val="22"/>
          <w:szCs w:val="22"/>
        </w:rPr>
        <w:t xml:space="preserve"> between </w:t>
      </w:r>
      <w:r w:rsidR="004F1952">
        <w:rPr>
          <w:rFonts w:ascii="Verdana" w:hAnsi="Verdana"/>
          <w:sz w:val="22"/>
          <w:szCs w:val="22"/>
        </w:rPr>
        <w:t xml:space="preserve">general </w:t>
      </w:r>
      <w:r w:rsidR="00B6042B" w:rsidRPr="006559E3">
        <w:rPr>
          <w:rFonts w:ascii="Verdana" w:hAnsi="Verdana"/>
          <w:sz w:val="22"/>
          <w:szCs w:val="22"/>
        </w:rPr>
        <w:t xml:space="preserve">increased physical </w:t>
      </w:r>
      <w:r w:rsidR="00F85F6A" w:rsidRPr="006559E3">
        <w:rPr>
          <w:rFonts w:ascii="Verdana" w:hAnsi="Verdana"/>
          <w:sz w:val="22"/>
          <w:szCs w:val="22"/>
        </w:rPr>
        <w:t>activity</w:t>
      </w:r>
      <w:r w:rsidR="00B6042B" w:rsidRPr="006559E3">
        <w:rPr>
          <w:rFonts w:ascii="Verdana" w:hAnsi="Verdana"/>
          <w:sz w:val="22"/>
          <w:szCs w:val="22"/>
        </w:rPr>
        <w:t xml:space="preserve"> and </w:t>
      </w:r>
      <w:r w:rsidR="00565FD1" w:rsidRPr="006559E3">
        <w:rPr>
          <w:rFonts w:ascii="Verdana" w:hAnsi="Verdana"/>
          <w:sz w:val="22"/>
          <w:szCs w:val="22"/>
        </w:rPr>
        <w:t>improved health are well-</w:t>
      </w:r>
      <w:r w:rsidR="004F1952">
        <w:rPr>
          <w:rFonts w:ascii="Verdana" w:hAnsi="Verdana"/>
          <w:sz w:val="22"/>
          <w:szCs w:val="22"/>
        </w:rPr>
        <w:t>known,</w:t>
      </w:r>
      <w:r w:rsidR="00565FD1" w:rsidRPr="006559E3">
        <w:rPr>
          <w:rFonts w:ascii="Verdana" w:hAnsi="Verdana"/>
          <w:sz w:val="22"/>
          <w:szCs w:val="22"/>
        </w:rPr>
        <w:t xml:space="preserve"> t</w:t>
      </w:r>
      <w:r w:rsidR="00F6106B" w:rsidRPr="006559E3">
        <w:rPr>
          <w:rFonts w:ascii="Verdana" w:hAnsi="Verdana"/>
          <w:sz w:val="22"/>
          <w:szCs w:val="22"/>
        </w:rPr>
        <w:t xml:space="preserve">he </w:t>
      </w:r>
      <w:r w:rsidR="001A1CF8">
        <w:rPr>
          <w:rFonts w:ascii="Verdana" w:hAnsi="Verdana"/>
          <w:sz w:val="22"/>
          <w:szCs w:val="22"/>
        </w:rPr>
        <w:t>World Health Organisation (</w:t>
      </w:r>
      <w:r w:rsidR="00F6106B" w:rsidRPr="006559E3">
        <w:rPr>
          <w:rFonts w:ascii="Verdana" w:hAnsi="Verdana"/>
          <w:sz w:val="22"/>
          <w:szCs w:val="22"/>
        </w:rPr>
        <w:t>WHO</w:t>
      </w:r>
      <w:r w:rsidR="001A1CF8">
        <w:rPr>
          <w:rFonts w:ascii="Verdana" w:hAnsi="Verdana"/>
          <w:sz w:val="22"/>
          <w:szCs w:val="22"/>
        </w:rPr>
        <w:t>)</w:t>
      </w:r>
      <w:r w:rsidR="00F6106B" w:rsidRPr="006559E3">
        <w:rPr>
          <w:rFonts w:ascii="Verdana" w:hAnsi="Verdana"/>
          <w:sz w:val="22"/>
          <w:szCs w:val="22"/>
        </w:rPr>
        <w:t xml:space="preserve"> </w:t>
      </w:r>
      <w:r w:rsidR="00565FD1" w:rsidRPr="006559E3">
        <w:rPr>
          <w:rFonts w:ascii="Verdana" w:hAnsi="Verdana"/>
          <w:sz w:val="22"/>
          <w:szCs w:val="22"/>
        </w:rPr>
        <w:t xml:space="preserve">recently </w:t>
      </w:r>
      <w:r w:rsidR="00F6106B" w:rsidRPr="006559E3">
        <w:rPr>
          <w:rFonts w:ascii="Verdana" w:hAnsi="Verdana"/>
          <w:sz w:val="22"/>
          <w:szCs w:val="22"/>
        </w:rPr>
        <w:t xml:space="preserve">published a report </w:t>
      </w:r>
      <w:r w:rsidR="00030956">
        <w:rPr>
          <w:rFonts w:ascii="Verdana" w:hAnsi="Verdana"/>
          <w:sz w:val="22"/>
          <w:szCs w:val="22"/>
        </w:rPr>
        <w:t xml:space="preserve">highlighting the </w:t>
      </w:r>
      <w:r w:rsidR="00565FD1" w:rsidRPr="006559E3">
        <w:rPr>
          <w:rFonts w:ascii="Verdana" w:hAnsi="Verdana"/>
          <w:sz w:val="22"/>
          <w:szCs w:val="22"/>
        </w:rPr>
        <w:t>hea</w:t>
      </w:r>
      <w:r w:rsidR="001F1358" w:rsidRPr="006559E3">
        <w:rPr>
          <w:rFonts w:ascii="Verdana" w:hAnsi="Verdana"/>
          <w:sz w:val="22"/>
          <w:szCs w:val="22"/>
        </w:rPr>
        <w:t>lth benefits</w:t>
      </w:r>
      <w:r w:rsidR="00F6106B" w:rsidRPr="006559E3">
        <w:rPr>
          <w:rFonts w:ascii="Verdana" w:hAnsi="Verdana"/>
          <w:sz w:val="22"/>
          <w:szCs w:val="22"/>
        </w:rPr>
        <w:t xml:space="preserve"> of Active Travel</w:t>
      </w:r>
      <w:r w:rsidR="00BD5E7C">
        <w:rPr>
          <w:rFonts w:ascii="Verdana" w:hAnsi="Verdana"/>
          <w:sz w:val="22"/>
          <w:szCs w:val="22"/>
          <w:vertAlign w:val="superscript"/>
        </w:rPr>
        <w:t>2</w:t>
      </w:r>
      <w:r w:rsidR="00F6106B" w:rsidRPr="006559E3">
        <w:rPr>
          <w:rFonts w:ascii="Verdana" w:hAnsi="Verdana"/>
          <w:sz w:val="22"/>
          <w:szCs w:val="22"/>
        </w:rPr>
        <w:t>.</w:t>
      </w:r>
      <w:r w:rsidR="001F1358" w:rsidRPr="006559E3">
        <w:rPr>
          <w:rFonts w:ascii="Verdana" w:hAnsi="Verdana"/>
          <w:sz w:val="22"/>
          <w:szCs w:val="22"/>
        </w:rPr>
        <w:t xml:space="preserve"> </w:t>
      </w:r>
      <w:r w:rsidR="009C262D">
        <w:rPr>
          <w:rFonts w:ascii="Verdana" w:hAnsi="Verdana"/>
          <w:sz w:val="22"/>
          <w:szCs w:val="22"/>
        </w:rPr>
        <w:t>This report summarised that,</w:t>
      </w:r>
    </w:p>
    <w:p w14:paraId="24994642" w14:textId="794B9673" w:rsidR="001D6B85" w:rsidRPr="006559E3" w:rsidRDefault="00F85F6A" w:rsidP="006559E3">
      <w:pPr>
        <w:pStyle w:val="ListParagraph"/>
        <w:numPr>
          <w:ilvl w:val="0"/>
          <w:numId w:val="42"/>
        </w:numPr>
        <w:spacing w:line="276" w:lineRule="auto"/>
        <w:rPr>
          <w:rFonts w:ascii="Verdana" w:hAnsi="Verdana"/>
        </w:rPr>
      </w:pPr>
      <w:r w:rsidRPr="006559E3">
        <w:rPr>
          <w:rFonts w:ascii="Verdana" w:hAnsi="Verdana"/>
        </w:rPr>
        <w:t>W</w:t>
      </w:r>
      <w:r w:rsidR="001D6B85" w:rsidRPr="006559E3">
        <w:rPr>
          <w:rFonts w:ascii="Verdana" w:hAnsi="Verdana"/>
        </w:rPr>
        <w:t>alking for 30 minutes or cycling for 20 minutes on most days reduces mortality risk by at least 10%</w:t>
      </w:r>
    </w:p>
    <w:p w14:paraId="122FF712" w14:textId="6E610B6E" w:rsidR="00BD5E7C" w:rsidRPr="004C55D1" w:rsidRDefault="00F85F6A" w:rsidP="007C3CBF">
      <w:pPr>
        <w:pStyle w:val="ListParagraph"/>
        <w:numPr>
          <w:ilvl w:val="0"/>
          <w:numId w:val="42"/>
        </w:numPr>
        <w:spacing w:line="276" w:lineRule="auto"/>
        <w:rPr>
          <w:rFonts w:ascii="Verdana" w:hAnsi="Verdana"/>
        </w:rPr>
      </w:pPr>
      <w:r w:rsidRPr="006559E3">
        <w:rPr>
          <w:rFonts w:ascii="Verdana" w:hAnsi="Verdana"/>
        </w:rPr>
        <w:t>A</w:t>
      </w:r>
      <w:r w:rsidR="001D6B85" w:rsidRPr="006559E3">
        <w:rPr>
          <w:rFonts w:ascii="Verdana" w:hAnsi="Verdana"/>
        </w:rPr>
        <w:t>ctive commuting is associated with</w:t>
      </w:r>
      <w:r w:rsidRPr="006559E3">
        <w:rPr>
          <w:rFonts w:ascii="Verdana" w:hAnsi="Verdana"/>
        </w:rPr>
        <w:t>;</w:t>
      </w:r>
      <w:r w:rsidR="000F1AEF">
        <w:rPr>
          <w:rFonts w:ascii="Verdana" w:hAnsi="Verdana"/>
        </w:rPr>
        <w:t xml:space="preserve"> an estimated 1</w:t>
      </w:r>
      <w:r w:rsidR="001D6B85" w:rsidRPr="006559E3">
        <w:rPr>
          <w:rFonts w:ascii="Verdana" w:hAnsi="Verdana"/>
        </w:rPr>
        <w:t>0% decrease in risk for cardiovascular disease</w:t>
      </w:r>
      <w:r w:rsidRPr="006559E3">
        <w:rPr>
          <w:rFonts w:ascii="Verdana" w:hAnsi="Verdana"/>
        </w:rPr>
        <w:t xml:space="preserve">, </w:t>
      </w:r>
      <w:r w:rsidR="001D6B85" w:rsidRPr="006559E3">
        <w:rPr>
          <w:rFonts w:ascii="Verdana" w:hAnsi="Verdana"/>
        </w:rPr>
        <w:t>a 30% decrease in type 2 diabetes risk</w:t>
      </w:r>
      <w:r w:rsidRPr="006559E3">
        <w:rPr>
          <w:rFonts w:ascii="Verdana" w:hAnsi="Verdana"/>
        </w:rPr>
        <w:t xml:space="preserve">, </w:t>
      </w:r>
      <w:r w:rsidR="001D6B85" w:rsidRPr="006559E3">
        <w:rPr>
          <w:rFonts w:ascii="Verdana" w:hAnsi="Verdana"/>
        </w:rPr>
        <w:t xml:space="preserve">and </w:t>
      </w:r>
      <w:r w:rsidR="00892E8B" w:rsidRPr="006559E3">
        <w:rPr>
          <w:rFonts w:ascii="Verdana" w:hAnsi="Verdana"/>
        </w:rPr>
        <w:t xml:space="preserve">a </w:t>
      </w:r>
      <w:r w:rsidR="001D6B85" w:rsidRPr="006559E3">
        <w:rPr>
          <w:rFonts w:ascii="Verdana" w:hAnsi="Verdana"/>
        </w:rPr>
        <w:t xml:space="preserve">30% lower </w:t>
      </w:r>
      <w:r w:rsidRPr="006559E3">
        <w:rPr>
          <w:rFonts w:ascii="Verdana" w:hAnsi="Verdana"/>
        </w:rPr>
        <w:t xml:space="preserve">cancer-related mortality in </w:t>
      </w:r>
      <w:r w:rsidR="001D6B85" w:rsidRPr="006559E3">
        <w:rPr>
          <w:rFonts w:ascii="Verdana" w:hAnsi="Verdana"/>
        </w:rPr>
        <w:t>bike commuters</w:t>
      </w:r>
    </w:p>
    <w:p w14:paraId="19B5830E" w14:textId="05A92B7D" w:rsidR="003B34AB" w:rsidRPr="006559E3" w:rsidRDefault="00465FA9" w:rsidP="006559E3">
      <w:pPr>
        <w:rPr>
          <w:rFonts w:ascii="Verdana" w:hAnsi="Verdana"/>
          <w:sz w:val="22"/>
          <w:szCs w:val="22"/>
        </w:rPr>
      </w:pPr>
      <w:r w:rsidRPr="006559E3">
        <w:rPr>
          <w:rFonts w:ascii="Verdana" w:hAnsi="Verdana"/>
          <w:sz w:val="22"/>
          <w:szCs w:val="22"/>
        </w:rPr>
        <w:t>A</w:t>
      </w:r>
      <w:r w:rsidR="003342AF" w:rsidRPr="00152557">
        <w:rPr>
          <w:rFonts w:ascii="Verdana" w:hAnsi="Verdana"/>
          <w:sz w:val="22"/>
          <w:szCs w:val="22"/>
        </w:rPr>
        <w:t xml:space="preserve">ctive </w:t>
      </w:r>
      <w:r w:rsidRPr="006559E3">
        <w:rPr>
          <w:rFonts w:ascii="Verdana" w:hAnsi="Verdana"/>
          <w:sz w:val="22"/>
          <w:szCs w:val="22"/>
        </w:rPr>
        <w:t>T</w:t>
      </w:r>
      <w:r w:rsidR="003342AF" w:rsidRPr="00152557">
        <w:rPr>
          <w:rFonts w:ascii="Verdana" w:hAnsi="Verdana"/>
          <w:sz w:val="22"/>
          <w:szCs w:val="22"/>
        </w:rPr>
        <w:t xml:space="preserve">ravel can </w:t>
      </w:r>
      <w:r w:rsidR="001E6A3E" w:rsidRPr="006559E3">
        <w:rPr>
          <w:rFonts w:ascii="Verdana" w:hAnsi="Verdana"/>
          <w:sz w:val="22"/>
          <w:szCs w:val="22"/>
        </w:rPr>
        <w:t xml:space="preserve">also </w:t>
      </w:r>
      <w:r w:rsidR="003342AF" w:rsidRPr="00152557">
        <w:rPr>
          <w:rFonts w:ascii="Verdana" w:hAnsi="Verdana"/>
          <w:sz w:val="22"/>
          <w:szCs w:val="22"/>
        </w:rPr>
        <w:t>bring environmental</w:t>
      </w:r>
      <w:r w:rsidR="003342AF" w:rsidRPr="006559E3">
        <w:rPr>
          <w:rFonts w:ascii="Verdana" w:hAnsi="Verdana"/>
          <w:sz w:val="22"/>
          <w:szCs w:val="22"/>
        </w:rPr>
        <w:t xml:space="preserve"> </w:t>
      </w:r>
      <w:r w:rsidRPr="006559E3">
        <w:rPr>
          <w:rFonts w:ascii="Verdana" w:hAnsi="Verdana"/>
          <w:sz w:val="22"/>
          <w:szCs w:val="22"/>
        </w:rPr>
        <w:t xml:space="preserve">benefits, </w:t>
      </w:r>
      <w:r w:rsidR="003342AF" w:rsidRPr="006559E3">
        <w:rPr>
          <w:rFonts w:ascii="Verdana" w:hAnsi="Verdana"/>
          <w:sz w:val="22"/>
          <w:szCs w:val="22"/>
        </w:rPr>
        <w:t xml:space="preserve">improving </w:t>
      </w:r>
      <w:r w:rsidR="002D3B58" w:rsidRPr="006559E3">
        <w:rPr>
          <w:rFonts w:ascii="Verdana" w:hAnsi="Verdana"/>
          <w:sz w:val="22"/>
          <w:szCs w:val="22"/>
        </w:rPr>
        <w:t xml:space="preserve">local </w:t>
      </w:r>
      <w:r w:rsidR="00902D56" w:rsidRPr="006559E3">
        <w:rPr>
          <w:rFonts w:ascii="Verdana" w:hAnsi="Verdana"/>
          <w:sz w:val="22"/>
          <w:szCs w:val="22"/>
        </w:rPr>
        <w:t>air</w:t>
      </w:r>
      <w:r w:rsidR="003342AF" w:rsidRPr="006559E3">
        <w:rPr>
          <w:rFonts w:ascii="Verdana" w:hAnsi="Verdana"/>
          <w:sz w:val="22"/>
          <w:szCs w:val="22"/>
        </w:rPr>
        <w:t xml:space="preserve"> quality by reducing emissions of Nitrogen </w:t>
      </w:r>
      <w:r w:rsidR="00902D56" w:rsidRPr="006559E3">
        <w:rPr>
          <w:rFonts w:ascii="Verdana" w:hAnsi="Verdana"/>
          <w:sz w:val="22"/>
          <w:szCs w:val="22"/>
        </w:rPr>
        <w:t>Dioxide</w:t>
      </w:r>
      <w:r w:rsidR="003342AF" w:rsidRPr="006559E3">
        <w:rPr>
          <w:rFonts w:ascii="Verdana" w:hAnsi="Verdana"/>
          <w:sz w:val="22"/>
          <w:szCs w:val="22"/>
        </w:rPr>
        <w:t xml:space="preserve"> and Carbon Dioxide</w:t>
      </w:r>
      <w:r w:rsidRPr="006559E3">
        <w:rPr>
          <w:rFonts w:ascii="Verdana" w:hAnsi="Verdana"/>
          <w:sz w:val="22"/>
          <w:szCs w:val="22"/>
        </w:rPr>
        <w:t xml:space="preserve"> from vehicles.</w:t>
      </w:r>
      <w:r w:rsidR="005950B7" w:rsidRPr="006559E3">
        <w:rPr>
          <w:rFonts w:ascii="Verdana" w:hAnsi="Verdana"/>
          <w:sz w:val="22"/>
          <w:szCs w:val="22"/>
        </w:rPr>
        <w:t xml:space="preserve"> </w:t>
      </w:r>
      <w:r w:rsidR="009C3181" w:rsidRPr="006559E3">
        <w:rPr>
          <w:rFonts w:ascii="Verdana" w:hAnsi="Verdana"/>
          <w:sz w:val="22"/>
          <w:szCs w:val="22"/>
        </w:rPr>
        <w:t xml:space="preserve">In </w:t>
      </w:r>
      <w:r w:rsidR="00902D56" w:rsidRPr="006559E3">
        <w:rPr>
          <w:rFonts w:ascii="Verdana" w:hAnsi="Verdana"/>
          <w:sz w:val="22"/>
          <w:szCs w:val="22"/>
        </w:rPr>
        <w:t>addition</w:t>
      </w:r>
      <w:r w:rsidR="009C3181" w:rsidRPr="006559E3">
        <w:rPr>
          <w:rFonts w:ascii="Verdana" w:hAnsi="Verdana"/>
          <w:sz w:val="22"/>
          <w:szCs w:val="22"/>
        </w:rPr>
        <w:t xml:space="preserve">, it can reduce </w:t>
      </w:r>
      <w:r w:rsidRPr="006559E3">
        <w:rPr>
          <w:rFonts w:ascii="Verdana" w:hAnsi="Verdana"/>
          <w:sz w:val="22"/>
          <w:szCs w:val="22"/>
        </w:rPr>
        <w:t xml:space="preserve">road </w:t>
      </w:r>
      <w:r w:rsidR="009C3181" w:rsidRPr="006559E3">
        <w:rPr>
          <w:rFonts w:ascii="Verdana" w:hAnsi="Verdana"/>
          <w:sz w:val="22"/>
          <w:szCs w:val="22"/>
        </w:rPr>
        <w:t>congestion</w:t>
      </w:r>
      <w:r w:rsidR="004F3173" w:rsidRPr="006559E3">
        <w:rPr>
          <w:rFonts w:ascii="Verdana" w:hAnsi="Verdana"/>
          <w:sz w:val="22"/>
          <w:szCs w:val="22"/>
        </w:rPr>
        <w:t xml:space="preserve"> </w:t>
      </w:r>
      <w:r w:rsidR="00897466" w:rsidRPr="006559E3">
        <w:rPr>
          <w:rFonts w:ascii="Verdana" w:hAnsi="Verdana"/>
          <w:sz w:val="22"/>
          <w:szCs w:val="22"/>
        </w:rPr>
        <w:t>thereby</w:t>
      </w:r>
      <w:r w:rsidR="008A784D" w:rsidRPr="006559E3">
        <w:rPr>
          <w:rFonts w:ascii="Verdana" w:hAnsi="Verdana"/>
          <w:sz w:val="22"/>
          <w:szCs w:val="22"/>
        </w:rPr>
        <w:t xml:space="preserve"> </w:t>
      </w:r>
      <w:r w:rsidR="005950B7" w:rsidRPr="006559E3">
        <w:rPr>
          <w:rFonts w:ascii="Verdana" w:hAnsi="Verdana"/>
          <w:sz w:val="22"/>
          <w:szCs w:val="22"/>
        </w:rPr>
        <w:t xml:space="preserve">decreasing </w:t>
      </w:r>
      <w:r w:rsidR="00902D56" w:rsidRPr="006559E3">
        <w:rPr>
          <w:rFonts w:ascii="Verdana" w:hAnsi="Verdana"/>
          <w:sz w:val="22"/>
          <w:szCs w:val="22"/>
        </w:rPr>
        <w:t>journey</w:t>
      </w:r>
      <w:r w:rsidR="00897466" w:rsidRPr="006559E3">
        <w:rPr>
          <w:rFonts w:ascii="Verdana" w:hAnsi="Verdana"/>
          <w:sz w:val="22"/>
          <w:szCs w:val="22"/>
        </w:rPr>
        <w:t xml:space="preserve"> times for those making longer journeys</w:t>
      </w:r>
      <w:r w:rsidR="004F3173" w:rsidRPr="006559E3">
        <w:rPr>
          <w:rFonts w:ascii="Verdana" w:hAnsi="Verdana"/>
          <w:sz w:val="22"/>
          <w:szCs w:val="22"/>
        </w:rPr>
        <w:t xml:space="preserve"> and increasing road safety.</w:t>
      </w:r>
    </w:p>
    <w:p w14:paraId="20DDDF50" w14:textId="4E1EDDD8" w:rsidR="00C86E7E" w:rsidRDefault="007E5D39" w:rsidP="006559E3">
      <w:pPr>
        <w:rPr>
          <w:rFonts w:ascii="Verdana" w:hAnsi="Verdana"/>
          <w:sz w:val="22"/>
          <w:szCs w:val="22"/>
        </w:rPr>
      </w:pPr>
      <w:r w:rsidRPr="006559E3">
        <w:rPr>
          <w:rFonts w:ascii="Verdana" w:hAnsi="Verdana"/>
          <w:sz w:val="22"/>
          <w:szCs w:val="22"/>
        </w:rPr>
        <w:t>A summary of the Active Lives Adults Survey 2021/22 from Active Kent and Medw</w:t>
      </w:r>
      <w:r w:rsidR="00FB24CE" w:rsidRPr="006559E3">
        <w:rPr>
          <w:rFonts w:ascii="Verdana" w:hAnsi="Verdana"/>
          <w:sz w:val="22"/>
          <w:szCs w:val="22"/>
        </w:rPr>
        <w:t>ay</w:t>
      </w:r>
      <w:r w:rsidR="00BD5E7C">
        <w:rPr>
          <w:rFonts w:ascii="Verdana" w:hAnsi="Verdana"/>
          <w:sz w:val="22"/>
          <w:szCs w:val="22"/>
          <w:vertAlign w:val="superscript"/>
        </w:rPr>
        <w:t>3</w:t>
      </w:r>
      <w:r w:rsidR="00556E6D" w:rsidRPr="006559E3">
        <w:rPr>
          <w:rFonts w:ascii="Verdana" w:hAnsi="Verdana"/>
          <w:sz w:val="22"/>
          <w:szCs w:val="22"/>
        </w:rPr>
        <w:t xml:space="preserve"> found th</w:t>
      </w:r>
      <w:r w:rsidR="005C2494" w:rsidRPr="006559E3">
        <w:rPr>
          <w:rFonts w:ascii="Verdana" w:hAnsi="Verdana"/>
          <w:sz w:val="22"/>
          <w:szCs w:val="22"/>
        </w:rPr>
        <w:t xml:space="preserve">at 24.2% of adults in Kent and Medway are considered ‘Inactive’ (undertaking an average of </w:t>
      </w:r>
      <w:r w:rsidR="00892E8B" w:rsidRPr="006559E3">
        <w:rPr>
          <w:rFonts w:ascii="Verdana" w:hAnsi="Verdana"/>
          <w:sz w:val="22"/>
          <w:szCs w:val="22"/>
        </w:rPr>
        <w:t>fewer</w:t>
      </w:r>
      <w:r w:rsidR="005C2494" w:rsidRPr="006559E3">
        <w:rPr>
          <w:rFonts w:ascii="Verdana" w:hAnsi="Verdana"/>
          <w:sz w:val="22"/>
          <w:szCs w:val="22"/>
        </w:rPr>
        <w:t xml:space="preserve"> than 30 minutes of sport</w:t>
      </w:r>
      <w:r w:rsidR="00C16C74">
        <w:rPr>
          <w:rFonts w:ascii="Verdana" w:hAnsi="Verdana"/>
          <w:sz w:val="22"/>
          <w:szCs w:val="22"/>
        </w:rPr>
        <w:t xml:space="preserve"> or </w:t>
      </w:r>
      <w:r w:rsidR="005C2494" w:rsidRPr="006559E3">
        <w:rPr>
          <w:rFonts w:ascii="Verdana" w:hAnsi="Verdana"/>
          <w:sz w:val="22"/>
          <w:szCs w:val="22"/>
        </w:rPr>
        <w:t xml:space="preserve">physical </w:t>
      </w:r>
      <w:r w:rsidR="00251DEF" w:rsidRPr="006559E3">
        <w:rPr>
          <w:rFonts w:ascii="Verdana" w:hAnsi="Verdana"/>
          <w:sz w:val="22"/>
          <w:szCs w:val="22"/>
        </w:rPr>
        <w:t xml:space="preserve">activity </w:t>
      </w:r>
      <w:r w:rsidR="005C2494" w:rsidRPr="006559E3">
        <w:rPr>
          <w:rFonts w:ascii="Verdana" w:hAnsi="Verdana"/>
          <w:sz w:val="22"/>
          <w:szCs w:val="22"/>
        </w:rPr>
        <w:t xml:space="preserve">a week). </w:t>
      </w:r>
      <w:r w:rsidR="0058229C" w:rsidRPr="006559E3">
        <w:rPr>
          <w:rFonts w:ascii="Verdana" w:hAnsi="Verdana"/>
          <w:sz w:val="22"/>
          <w:szCs w:val="22"/>
        </w:rPr>
        <w:t>Although t</w:t>
      </w:r>
      <w:r w:rsidR="005C2494" w:rsidRPr="006559E3">
        <w:rPr>
          <w:rFonts w:ascii="Verdana" w:hAnsi="Verdana"/>
          <w:sz w:val="22"/>
          <w:szCs w:val="22"/>
        </w:rPr>
        <w:t>his is 1.6% lower than the national average</w:t>
      </w:r>
      <w:r w:rsidR="0058229C" w:rsidRPr="006559E3">
        <w:rPr>
          <w:rFonts w:ascii="Verdana" w:hAnsi="Verdana"/>
          <w:sz w:val="22"/>
          <w:szCs w:val="22"/>
        </w:rPr>
        <w:t>,</w:t>
      </w:r>
      <w:r w:rsidR="007F74AA">
        <w:rPr>
          <w:rFonts w:ascii="Verdana" w:hAnsi="Verdana"/>
          <w:sz w:val="22"/>
          <w:szCs w:val="22"/>
        </w:rPr>
        <w:t xml:space="preserve"> this still represents </w:t>
      </w:r>
      <w:proofErr w:type="gramStart"/>
      <w:r w:rsidR="007F74AA">
        <w:rPr>
          <w:rFonts w:ascii="Verdana" w:hAnsi="Verdana"/>
          <w:sz w:val="22"/>
          <w:szCs w:val="22"/>
        </w:rPr>
        <w:t>a large number of</w:t>
      </w:r>
      <w:proofErr w:type="gramEnd"/>
      <w:r w:rsidR="007F74AA">
        <w:rPr>
          <w:rFonts w:ascii="Verdana" w:hAnsi="Verdana"/>
          <w:sz w:val="22"/>
          <w:szCs w:val="22"/>
        </w:rPr>
        <w:t xml:space="preserve"> people </w:t>
      </w:r>
      <w:r w:rsidR="008C0B79">
        <w:rPr>
          <w:rFonts w:ascii="Verdana" w:hAnsi="Verdana"/>
          <w:sz w:val="22"/>
          <w:szCs w:val="22"/>
        </w:rPr>
        <w:t>achieving</w:t>
      </w:r>
      <w:r w:rsidR="00F776F4">
        <w:rPr>
          <w:rFonts w:ascii="Verdana" w:hAnsi="Verdana"/>
          <w:sz w:val="22"/>
          <w:szCs w:val="22"/>
        </w:rPr>
        <w:t xml:space="preserve"> </w:t>
      </w:r>
      <w:r w:rsidR="00C86E7E">
        <w:rPr>
          <w:rFonts w:ascii="Verdana" w:hAnsi="Verdana"/>
          <w:sz w:val="22"/>
          <w:szCs w:val="22"/>
        </w:rPr>
        <w:t xml:space="preserve">far </w:t>
      </w:r>
      <w:r w:rsidR="00F776F4">
        <w:rPr>
          <w:rFonts w:ascii="Verdana" w:hAnsi="Verdana"/>
          <w:sz w:val="22"/>
          <w:szCs w:val="22"/>
        </w:rPr>
        <w:t xml:space="preserve">below </w:t>
      </w:r>
      <w:r w:rsidR="00C86E7E">
        <w:rPr>
          <w:rFonts w:ascii="Verdana" w:hAnsi="Verdana"/>
          <w:sz w:val="22"/>
          <w:szCs w:val="22"/>
        </w:rPr>
        <w:t xml:space="preserve">the 150+ minutes </w:t>
      </w:r>
      <w:r w:rsidR="00F776F4">
        <w:rPr>
          <w:rFonts w:ascii="Verdana" w:hAnsi="Verdana"/>
          <w:sz w:val="22"/>
          <w:szCs w:val="22"/>
        </w:rPr>
        <w:t>of aerobic exercise per week recommended by the NHS</w:t>
      </w:r>
      <w:r w:rsidR="008C0B79">
        <w:rPr>
          <w:rFonts w:ascii="Verdana" w:hAnsi="Verdana"/>
          <w:sz w:val="22"/>
          <w:szCs w:val="22"/>
        </w:rPr>
        <w:t xml:space="preserve">. According to the same survey, </w:t>
      </w:r>
      <w:r w:rsidR="00F776F4">
        <w:rPr>
          <w:rFonts w:ascii="Verdana" w:hAnsi="Verdana"/>
          <w:sz w:val="22"/>
          <w:szCs w:val="22"/>
        </w:rPr>
        <w:t xml:space="preserve">63.5% of adults in Kent and Medway achieve this </w:t>
      </w:r>
      <w:r w:rsidR="007F74AA">
        <w:rPr>
          <w:rFonts w:ascii="Verdana" w:hAnsi="Verdana"/>
          <w:sz w:val="22"/>
          <w:szCs w:val="22"/>
        </w:rPr>
        <w:t>target</w:t>
      </w:r>
      <w:r w:rsidR="008C0B79">
        <w:rPr>
          <w:rFonts w:ascii="Verdana" w:hAnsi="Verdana"/>
          <w:sz w:val="22"/>
          <w:szCs w:val="22"/>
        </w:rPr>
        <w:t>.</w:t>
      </w:r>
    </w:p>
    <w:p w14:paraId="7D58BC25" w14:textId="134CF370" w:rsidR="00122968" w:rsidRDefault="00F81D03" w:rsidP="00C679D2">
      <w:pPr>
        <w:rPr>
          <w:rFonts w:ascii="Verdana" w:hAnsi="Verdana"/>
          <w:sz w:val="22"/>
          <w:szCs w:val="22"/>
        </w:rPr>
      </w:pPr>
      <w:r>
        <w:rPr>
          <w:rFonts w:ascii="Verdana" w:hAnsi="Verdana"/>
          <w:sz w:val="22"/>
          <w:szCs w:val="22"/>
        </w:rPr>
        <w:t>M</w:t>
      </w:r>
      <w:r w:rsidR="006B1A28" w:rsidRPr="006559E3">
        <w:rPr>
          <w:rFonts w:ascii="Verdana" w:hAnsi="Verdana"/>
          <w:sz w:val="22"/>
          <w:szCs w:val="22"/>
        </w:rPr>
        <w:t xml:space="preserve">ost of the journeys made in England are </w:t>
      </w:r>
      <w:r w:rsidR="00E83937">
        <w:rPr>
          <w:rFonts w:ascii="Verdana" w:hAnsi="Verdana"/>
          <w:sz w:val="22"/>
          <w:szCs w:val="22"/>
        </w:rPr>
        <w:t xml:space="preserve">relatively </w:t>
      </w:r>
      <w:r w:rsidR="00B864AA" w:rsidRPr="006559E3">
        <w:rPr>
          <w:rFonts w:ascii="Verdana" w:hAnsi="Verdana"/>
          <w:sz w:val="22"/>
          <w:szCs w:val="22"/>
        </w:rPr>
        <w:t>short</w:t>
      </w:r>
      <w:r w:rsidR="006B1A28" w:rsidRPr="006559E3">
        <w:rPr>
          <w:rFonts w:ascii="Verdana" w:hAnsi="Verdana"/>
          <w:sz w:val="22"/>
          <w:szCs w:val="22"/>
        </w:rPr>
        <w:t xml:space="preserve">, with 25% of trips taken </w:t>
      </w:r>
      <w:r w:rsidR="00566373">
        <w:rPr>
          <w:rFonts w:ascii="Verdana" w:hAnsi="Verdana"/>
          <w:sz w:val="22"/>
          <w:szCs w:val="22"/>
        </w:rPr>
        <w:t xml:space="preserve">in 2021 </w:t>
      </w:r>
      <w:r w:rsidR="001209F8" w:rsidRPr="006559E3">
        <w:rPr>
          <w:rFonts w:ascii="Verdana" w:hAnsi="Verdana"/>
          <w:sz w:val="22"/>
          <w:szCs w:val="22"/>
        </w:rPr>
        <w:t xml:space="preserve">under 1 mile and 72% </w:t>
      </w:r>
      <w:r w:rsidR="006B1A28" w:rsidRPr="006559E3">
        <w:rPr>
          <w:rFonts w:ascii="Verdana" w:hAnsi="Verdana"/>
          <w:sz w:val="22"/>
          <w:szCs w:val="22"/>
        </w:rPr>
        <w:t>under 5 miles</w:t>
      </w:r>
      <w:r w:rsidR="00BD5E7C">
        <w:rPr>
          <w:rFonts w:ascii="Verdana" w:hAnsi="Verdana"/>
          <w:sz w:val="22"/>
          <w:szCs w:val="22"/>
          <w:vertAlign w:val="superscript"/>
        </w:rPr>
        <w:t>4</w:t>
      </w:r>
      <w:r w:rsidR="006B1A28" w:rsidRPr="006559E3">
        <w:rPr>
          <w:rFonts w:ascii="Verdana" w:hAnsi="Verdana"/>
          <w:sz w:val="22"/>
          <w:szCs w:val="22"/>
        </w:rPr>
        <w:t>.</w:t>
      </w:r>
      <w:r w:rsidR="007B6210">
        <w:rPr>
          <w:rFonts w:ascii="Verdana" w:hAnsi="Verdana"/>
          <w:sz w:val="22"/>
          <w:szCs w:val="22"/>
        </w:rPr>
        <w:t xml:space="preserve"> This means</w:t>
      </w:r>
      <w:r w:rsidR="001C29CD">
        <w:rPr>
          <w:rFonts w:ascii="Verdana" w:hAnsi="Verdana"/>
          <w:sz w:val="22"/>
          <w:szCs w:val="22"/>
        </w:rPr>
        <w:t xml:space="preserve"> there is a </w:t>
      </w:r>
      <w:r w:rsidR="001C29CD" w:rsidRPr="006559E3">
        <w:rPr>
          <w:rFonts w:ascii="Verdana" w:hAnsi="Verdana"/>
          <w:sz w:val="22"/>
          <w:szCs w:val="22"/>
        </w:rPr>
        <w:t>high potential for more people to be using Active Travel</w:t>
      </w:r>
      <w:r w:rsidR="001C29CD">
        <w:rPr>
          <w:rFonts w:ascii="Verdana" w:hAnsi="Verdana"/>
          <w:sz w:val="22"/>
          <w:szCs w:val="22"/>
        </w:rPr>
        <w:t xml:space="preserve"> </w:t>
      </w:r>
      <w:r w:rsidR="00AD6681">
        <w:rPr>
          <w:rFonts w:ascii="Verdana" w:hAnsi="Verdana"/>
          <w:sz w:val="22"/>
          <w:szCs w:val="22"/>
        </w:rPr>
        <w:t>to</w:t>
      </w:r>
      <w:r w:rsidR="001C29CD">
        <w:rPr>
          <w:rFonts w:ascii="Verdana" w:hAnsi="Verdana"/>
          <w:sz w:val="22"/>
          <w:szCs w:val="22"/>
        </w:rPr>
        <w:t xml:space="preserve"> reduce physical inactivity.</w:t>
      </w:r>
      <w:r w:rsidR="00B55883">
        <w:rPr>
          <w:rFonts w:ascii="Verdana" w:hAnsi="Verdana"/>
          <w:sz w:val="22"/>
          <w:szCs w:val="22"/>
        </w:rPr>
        <w:t xml:space="preserve"> </w:t>
      </w:r>
      <w:r w:rsidR="00122968" w:rsidRPr="006559E3">
        <w:rPr>
          <w:rFonts w:ascii="Verdana" w:hAnsi="Verdana"/>
          <w:sz w:val="22"/>
          <w:szCs w:val="22"/>
        </w:rPr>
        <w:t xml:space="preserve">This report aims to summarise Active Travel rates </w:t>
      </w:r>
      <w:r w:rsidR="00122968">
        <w:rPr>
          <w:rFonts w:ascii="Verdana" w:hAnsi="Verdana"/>
          <w:sz w:val="22"/>
          <w:szCs w:val="22"/>
        </w:rPr>
        <w:t xml:space="preserve">in </w:t>
      </w:r>
      <w:r w:rsidR="00122968" w:rsidRPr="006559E3">
        <w:rPr>
          <w:rFonts w:ascii="Verdana" w:hAnsi="Verdana"/>
          <w:sz w:val="22"/>
          <w:szCs w:val="22"/>
        </w:rPr>
        <w:t xml:space="preserve">Kent and </w:t>
      </w:r>
      <w:r w:rsidR="00B55883">
        <w:rPr>
          <w:rFonts w:ascii="Verdana" w:hAnsi="Verdana"/>
          <w:sz w:val="22"/>
          <w:szCs w:val="22"/>
        </w:rPr>
        <w:t xml:space="preserve">each of </w:t>
      </w:r>
      <w:r w:rsidR="00122968" w:rsidRPr="006559E3">
        <w:rPr>
          <w:rFonts w:ascii="Verdana" w:hAnsi="Verdana"/>
          <w:sz w:val="22"/>
          <w:szCs w:val="22"/>
        </w:rPr>
        <w:t>its districts</w:t>
      </w:r>
      <w:r w:rsidR="0034509D">
        <w:rPr>
          <w:rFonts w:ascii="Verdana" w:hAnsi="Verdana"/>
          <w:sz w:val="22"/>
          <w:szCs w:val="22"/>
        </w:rPr>
        <w:t>,</w:t>
      </w:r>
      <w:r w:rsidR="00F175DF">
        <w:rPr>
          <w:rFonts w:ascii="Verdana" w:hAnsi="Verdana"/>
          <w:sz w:val="22"/>
          <w:szCs w:val="22"/>
        </w:rPr>
        <w:t xml:space="preserve"> </w:t>
      </w:r>
      <w:r w:rsidR="0034509D">
        <w:rPr>
          <w:rFonts w:ascii="Verdana" w:hAnsi="Verdana"/>
          <w:sz w:val="22"/>
          <w:szCs w:val="22"/>
        </w:rPr>
        <w:t>as well</w:t>
      </w:r>
      <w:r w:rsidR="0004629E">
        <w:rPr>
          <w:rFonts w:ascii="Verdana" w:hAnsi="Verdana"/>
          <w:sz w:val="22"/>
          <w:szCs w:val="22"/>
        </w:rPr>
        <w:t xml:space="preserve"> </w:t>
      </w:r>
      <w:r w:rsidR="00B55883">
        <w:rPr>
          <w:rFonts w:ascii="Verdana" w:hAnsi="Verdana"/>
          <w:sz w:val="22"/>
          <w:szCs w:val="22"/>
        </w:rPr>
        <w:t>as</w:t>
      </w:r>
      <w:r w:rsidR="00122968" w:rsidRPr="006559E3">
        <w:rPr>
          <w:rFonts w:ascii="Verdana" w:hAnsi="Verdana"/>
          <w:sz w:val="22"/>
          <w:szCs w:val="22"/>
        </w:rPr>
        <w:t xml:space="preserve"> </w:t>
      </w:r>
      <w:r w:rsidR="00B55883">
        <w:rPr>
          <w:rFonts w:ascii="Verdana" w:hAnsi="Verdana"/>
          <w:sz w:val="22"/>
          <w:szCs w:val="22"/>
        </w:rPr>
        <w:t>highlight key</w:t>
      </w:r>
      <w:r w:rsidR="00122968" w:rsidRPr="006559E3">
        <w:rPr>
          <w:rFonts w:ascii="Verdana" w:hAnsi="Verdana"/>
          <w:sz w:val="22"/>
          <w:szCs w:val="22"/>
        </w:rPr>
        <w:t xml:space="preserve"> areas where improvement is needed.</w:t>
      </w:r>
    </w:p>
    <w:p w14:paraId="61DB6B01" w14:textId="7D106B0E" w:rsidR="00C679D2" w:rsidRPr="00ED04CB" w:rsidRDefault="00ED04CB" w:rsidP="008F39C6">
      <w:pPr>
        <w:pStyle w:val="Heading2"/>
        <w:rPr>
          <w:rFonts w:ascii="Verdana" w:hAnsi="Verdana"/>
          <w:sz w:val="36"/>
          <w:szCs w:val="36"/>
        </w:rPr>
      </w:pPr>
      <w:bookmarkStart w:id="6" w:name="_Toc139375895"/>
      <w:r w:rsidRPr="00ED04CB">
        <w:rPr>
          <w:rFonts w:ascii="Verdana" w:hAnsi="Verdana"/>
          <w:sz w:val="36"/>
          <w:szCs w:val="36"/>
        </w:rPr>
        <w:t xml:space="preserve">3. </w:t>
      </w:r>
      <w:r w:rsidR="00C679D2" w:rsidRPr="00ED04CB">
        <w:rPr>
          <w:rFonts w:ascii="Verdana" w:hAnsi="Verdana"/>
          <w:sz w:val="36"/>
          <w:szCs w:val="36"/>
        </w:rPr>
        <w:t>Method</w:t>
      </w:r>
      <w:bookmarkEnd w:id="6"/>
    </w:p>
    <w:p w14:paraId="346FAE90" w14:textId="198DABA1" w:rsidR="00E020AB" w:rsidRPr="00D168DD" w:rsidRDefault="00E020AB" w:rsidP="00E020AB">
      <w:pPr>
        <w:rPr>
          <w:rFonts w:ascii="Verdana" w:hAnsi="Verdana"/>
          <w:sz w:val="22"/>
          <w:szCs w:val="22"/>
        </w:rPr>
      </w:pPr>
      <w:r>
        <w:rPr>
          <w:rFonts w:ascii="Verdana" w:hAnsi="Verdana"/>
          <w:sz w:val="22"/>
          <w:szCs w:val="22"/>
        </w:rPr>
        <w:t xml:space="preserve">This report uses data from </w:t>
      </w:r>
      <w:r w:rsidRPr="00620D59">
        <w:rPr>
          <w:rFonts w:ascii="Verdana" w:hAnsi="Verdana"/>
          <w:sz w:val="22"/>
          <w:szCs w:val="22"/>
        </w:rPr>
        <w:t xml:space="preserve">the </w:t>
      </w:r>
      <w:hyperlink r:id="rId14" w:history="1">
        <w:r w:rsidRPr="003C74A7">
          <w:rPr>
            <w:rStyle w:val="Hyperlink"/>
            <w:rFonts w:ascii="Verdana" w:hAnsi="Verdana"/>
            <w:sz w:val="22"/>
            <w:szCs w:val="22"/>
          </w:rPr>
          <w:t>National Travel Survey</w:t>
        </w:r>
      </w:hyperlink>
      <w:r>
        <w:rPr>
          <w:rFonts w:ascii="Verdana" w:hAnsi="Verdana"/>
          <w:sz w:val="22"/>
          <w:szCs w:val="22"/>
        </w:rPr>
        <w:t xml:space="preserve"> </w:t>
      </w:r>
      <w:r w:rsidRPr="00620D59">
        <w:rPr>
          <w:rFonts w:ascii="Verdana" w:hAnsi="Verdana"/>
          <w:sz w:val="22"/>
          <w:szCs w:val="22"/>
        </w:rPr>
        <w:t xml:space="preserve">from the Department for Transport and the </w:t>
      </w:r>
      <w:hyperlink r:id="rId15" w:history="1">
        <w:r w:rsidRPr="00801166">
          <w:rPr>
            <w:rStyle w:val="Hyperlink"/>
            <w:rFonts w:ascii="Verdana" w:hAnsi="Verdana"/>
            <w:sz w:val="22"/>
            <w:szCs w:val="22"/>
          </w:rPr>
          <w:t xml:space="preserve">Active Lives </w:t>
        </w:r>
        <w:r>
          <w:rPr>
            <w:rStyle w:val="Hyperlink"/>
            <w:rFonts w:ascii="Verdana" w:hAnsi="Verdana"/>
            <w:sz w:val="22"/>
            <w:szCs w:val="22"/>
          </w:rPr>
          <w:t>S</w:t>
        </w:r>
        <w:r w:rsidRPr="00801166">
          <w:rPr>
            <w:rStyle w:val="Hyperlink"/>
            <w:rFonts w:ascii="Verdana" w:hAnsi="Verdana"/>
            <w:sz w:val="22"/>
            <w:szCs w:val="22"/>
          </w:rPr>
          <w:t>urvey</w:t>
        </w:r>
      </w:hyperlink>
      <w:r w:rsidRPr="00620D59">
        <w:rPr>
          <w:rFonts w:ascii="Verdana" w:hAnsi="Verdana"/>
          <w:sz w:val="22"/>
          <w:szCs w:val="22"/>
        </w:rPr>
        <w:t xml:space="preserve"> from Sport England</w:t>
      </w:r>
      <w:r>
        <w:rPr>
          <w:rFonts w:ascii="Verdana" w:hAnsi="Verdana"/>
          <w:sz w:val="22"/>
          <w:szCs w:val="22"/>
        </w:rPr>
        <w:t xml:space="preserve">. These were both accessed via a </w:t>
      </w:r>
      <w:hyperlink r:id="rId16" w:history="1">
        <w:r>
          <w:rPr>
            <w:rStyle w:val="Hyperlink"/>
            <w:rFonts w:ascii="Verdana" w:hAnsi="Verdana"/>
            <w:sz w:val="22"/>
            <w:szCs w:val="22"/>
          </w:rPr>
          <w:t>S</w:t>
        </w:r>
        <w:r w:rsidRPr="00E020AB">
          <w:rPr>
            <w:rStyle w:val="Hyperlink"/>
            <w:rFonts w:ascii="Verdana" w:hAnsi="Verdana"/>
            <w:sz w:val="22"/>
            <w:szCs w:val="22"/>
          </w:rPr>
          <w:t xml:space="preserve">tatistical </w:t>
        </w:r>
        <w:r>
          <w:rPr>
            <w:rStyle w:val="Hyperlink"/>
            <w:rFonts w:ascii="Verdana" w:hAnsi="Verdana"/>
            <w:sz w:val="22"/>
            <w:szCs w:val="22"/>
          </w:rPr>
          <w:t>R</w:t>
        </w:r>
        <w:r w:rsidRPr="00E020AB">
          <w:rPr>
            <w:rStyle w:val="Hyperlink"/>
            <w:rFonts w:ascii="Verdana" w:hAnsi="Verdana"/>
            <w:sz w:val="22"/>
            <w:szCs w:val="22"/>
          </w:rPr>
          <w:t>elease</w:t>
        </w:r>
      </w:hyperlink>
      <w:r>
        <w:rPr>
          <w:rFonts w:ascii="Verdana" w:hAnsi="Verdana"/>
          <w:sz w:val="22"/>
          <w:szCs w:val="22"/>
        </w:rPr>
        <w:t xml:space="preserve"> from the Department of Transport.</w:t>
      </w:r>
    </w:p>
    <w:p w14:paraId="54BE2DC7" w14:textId="4F711ACE" w:rsidR="005F2A44" w:rsidRDefault="00023708" w:rsidP="0086404F">
      <w:pPr>
        <w:rPr>
          <w:rFonts w:ascii="Verdana" w:hAnsi="Verdana"/>
          <w:sz w:val="22"/>
          <w:szCs w:val="22"/>
        </w:rPr>
      </w:pPr>
      <w:r>
        <w:rPr>
          <w:rFonts w:ascii="Verdana" w:hAnsi="Verdana"/>
          <w:sz w:val="22"/>
          <w:szCs w:val="22"/>
        </w:rPr>
        <w:t xml:space="preserve">The </w:t>
      </w:r>
      <w:r w:rsidR="006A01A8">
        <w:rPr>
          <w:rFonts w:ascii="Verdana" w:hAnsi="Verdana"/>
          <w:sz w:val="22"/>
          <w:szCs w:val="22"/>
        </w:rPr>
        <w:t>National</w:t>
      </w:r>
      <w:r>
        <w:rPr>
          <w:rFonts w:ascii="Verdana" w:hAnsi="Verdana"/>
          <w:sz w:val="22"/>
          <w:szCs w:val="22"/>
        </w:rPr>
        <w:t xml:space="preserve"> Travel </w:t>
      </w:r>
      <w:r w:rsidR="006A01A8">
        <w:rPr>
          <w:rFonts w:ascii="Verdana" w:hAnsi="Verdana"/>
          <w:sz w:val="22"/>
          <w:szCs w:val="22"/>
        </w:rPr>
        <w:t>S</w:t>
      </w:r>
      <w:r>
        <w:rPr>
          <w:rFonts w:ascii="Verdana" w:hAnsi="Verdana"/>
          <w:sz w:val="22"/>
          <w:szCs w:val="22"/>
        </w:rPr>
        <w:t>urvey</w:t>
      </w:r>
      <w:r w:rsidR="00B72C68">
        <w:rPr>
          <w:rFonts w:ascii="Verdana" w:hAnsi="Verdana"/>
          <w:sz w:val="22"/>
          <w:szCs w:val="22"/>
        </w:rPr>
        <w:t xml:space="preserve"> is a household survey designed to monitor trends </w:t>
      </w:r>
      <w:r w:rsidR="00BA61C6">
        <w:rPr>
          <w:rFonts w:ascii="Verdana" w:hAnsi="Verdana"/>
          <w:sz w:val="22"/>
          <w:szCs w:val="22"/>
        </w:rPr>
        <w:t xml:space="preserve">in </w:t>
      </w:r>
      <w:r w:rsidR="002E3BED">
        <w:rPr>
          <w:rFonts w:ascii="Verdana" w:hAnsi="Verdana"/>
          <w:sz w:val="22"/>
          <w:szCs w:val="22"/>
        </w:rPr>
        <w:t>how, when, where, and why people travel</w:t>
      </w:r>
      <w:r w:rsidR="00416046">
        <w:rPr>
          <w:rFonts w:ascii="Verdana" w:hAnsi="Verdana"/>
          <w:sz w:val="22"/>
          <w:szCs w:val="22"/>
        </w:rPr>
        <w:t xml:space="preserve">, </w:t>
      </w:r>
      <w:r w:rsidR="00393B4E">
        <w:rPr>
          <w:rFonts w:ascii="Verdana" w:hAnsi="Verdana"/>
          <w:sz w:val="22"/>
          <w:szCs w:val="22"/>
        </w:rPr>
        <w:t xml:space="preserve">forming </w:t>
      </w:r>
      <w:r w:rsidR="00336CF5">
        <w:rPr>
          <w:rFonts w:ascii="Verdana" w:hAnsi="Verdana"/>
          <w:sz w:val="22"/>
          <w:szCs w:val="22"/>
        </w:rPr>
        <w:t>a</w:t>
      </w:r>
      <w:r w:rsidR="00393B4E">
        <w:rPr>
          <w:rFonts w:ascii="Verdana" w:hAnsi="Verdana"/>
          <w:sz w:val="22"/>
          <w:szCs w:val="22"/>
        </w:rPr>
        <w:t xml:space="preserve"> </w:t>
      </w:r>
      <w:r w:rsidR="00336CF5">
        <w:rPr>
          <w:rFonts w:ascii="Verdana" w:hAnsi="Verdana"/>
          <w:sz w:val="22"/>
          <w:szCs w:val="22"/>
        </w:rPr>
        <w:t>primary</w:t>
      </w:r>
      <w:r w:rsidR="00393B4E">
        <w:rPr>
          <w:rFonts w:ascii="Verdana" w:hAnsi="Verdana"/>
          <w:sz w:val="22"/>
          <w:szCs w:val="22"/>
        </w:rPr>
        <w:t xml:space="preserve"> </w:t>
      </w:r>
      <w:r w:rsidR="00C00797">
        <w:rPr>
          <w:rFonts w:ascii="Verdana" w:hAnsi="Verdana"/>
          <w:sz w:val="22"/>
          <w:szCs w:val="22"/>
        </w:rPr>
        <w:t>d</w:t>
      </w:r>
      <w:r w:rsidR="00393B4E">
        <w:rPr>
          <w:rFonts w:ascii="Verdana" w:hAnsi="Verdana"/>
          <w:sz w:val="22"/>
          <w:szCs w:val="22"/>
        </w:rPr>
        <w:t>ata</w:t>
      </w:r>
      <w:r w:rsidR="00336CF5">
        <w:rPr>
          <w:rFonts w:ascii="Verdana" w:hAnsi="Verdana"/>
          <w:sz w:val="22"/>
          <w:szCs w:val="22"/>
        </w:rPr>
        <w:t xml:space="preserve"> source</w:t>
      </w:r>
      <w:r w:rsidR="00393B4E">
        <w:rPr>
          <w:rFonts w:ascii="Verdana" w:hAnsi="Verdana"/>
          <w:sz w:val="22"/>
          <w:szCs w:val="22"/>
        </w:rPr>
        <w:t xml:space="preserve"> </w:t>
      </w:r>
      <w:r w:rsidR="00C00797">
        <w:rPr>
          <w:rFonts w:ascii="Verdana" w:hAnsi="Verdana"/>
          <w:sz w:val="22"/>
          <w:szCs w:val="22"/>
        </w:rPr>
        <w:t>for</w:t>
      </w:r>
      <w:r w:rsidR="00393B4E">
        <w:rPr>
          <w:rFonts w:ascii="Verdana" w:hAnsi="Verdana"/>
          <w:sz w:val="22"/>
          <w:szCs w:val="22"/>
        </w:rPr>
        <w:t xml:space="preserve"> personal travel patterns</w:t>
      </w:r>
      <w:r w:rsidR="00483780">
        <w:rPr>
          <w:rFonts w:ascii="Verdana" w:hAnsi="Verdana"/>
          <w:sz w:val="22"/>
          <w:szCs w:val="22"/>
        </w:rPr>
        <w:t xml:space="preserve"> in</w:t>
      </w:r>
      <w:r w:rsidR="00393B4E">
        <w:rPr>
          <w:rFonts w:ascii="Verdana" w:hAnsi="Verdana"/>
          <w:sz w:val="22"/>
          <w:szCs w:val="22"/>
        </w:rPr>
        <w:t xml:space="preserve"> </w:t>
      </w:r>
      <w:r w:rsidR="00336CF5">
        <w:rPr>
          <w:rFonts w:ascii="Verdana" w:hAnsi="Verdana"/>
          <w:sz w:val="22"/>
          <w:szCs w:val="22"/>
        </w:rPr>
        <w:t xml:space="preserve">England. </w:t>
      </w:r>
      <w:r w:rsidR="00CD54E0">
        <w:rPr>
          <w:rFonts w:ascii="Verdana" w:hAnsi="Verdana"/>
          <w:sz w:val="22"/>
          <w:szCs w:val="22"/>
        </w:rPr>
        <w:t>All age groups are included</w:t>
      </w:r>
      <w:r w:rsidR="00B847DE">
        <w:rPr>
          <w:rFonts w:ascii="Verdana" w:hAnsi="Verdana"/>
          <w:sz w:val="22"/>
          <w:szCs w:val="22"/>
        </w:rPr>
        <w:t xml:space="preserve">, covering approximately 16,000 </w:t>
      </w:r>
      <w:r w:rsidR="00AE0E1B">
        <w:rPr>
          <w:rFonts w:ascii="Verdana" w:hAnsi="Verdana"/>
          <w:sz w:val="22"/>
          <w:szCs w:val="22"/>
        </w:rPr>
        <w:t>individuals</w:t>
      </w:r>
      <w:r w:rsidR="00B847DE">
        <w:rPr>
          <w:rFonts w:ascii="Verdana" w:hAnsi="Verdana"/>
          <w:sz w:val="22"/>
          <w:szCs w:val="22"/>
        </w:rPr>
        <w:t xml:space="preserve"> each year. </w:t>
      </w:r>
      <w:r w:rsidR="00E667D2">
        <w:rPr>
          <w:rFonts w:ascii="Verdana" w:hAnsi="Verdana"/>
          <w:sz w:val="22"/>
          <w:szCs w:val="22"/>
        </w:rPr>
        <w:t xml:space="preserve">The Active Lives Survey </w:t>
      </w:r>
      <w:r w:rsidR="00681BA6">
        <w:rPr>
          <w:rFonts w:ascii="Verdana" w:hAnsi="Verdana"/>
          <w:sz w:val="22"/>
          <w:szCs w:val="22"/>
        </w:rPr>
        <w:t>covers around 175,000 people each year</w:t>
      </w:r>
      <w:r w:rsidR="00C01F05">
        <w:rPr>
          <w:rFonts w:ascii="Verdana" w:hAnsi="Verdana"/>
          <w:sz w:val="22"/>
          <w:szCs w:val="22"/>
        </w:rPr>
        <w:t xml:space="preserve">, </w:t>
      </w:r>
      <w:r w:rsidR="00D168DD">
        <w:rPr>
          <w:rFonts w:ascii="Verdana" w:hAnsi="Verdana"/>
          <w:sz w:val="22"/>
          <w:szCs w:val="22"/>
        </w:rPr>
        <w:t>gathering</w:t>
      </w:r>
      <w:r w:rsidR="00C01F05">
        <w:rPr>
          <w:rFonts w:ascii="Verdana" w:hAnsi="Verdana"/>
          <w:sz w:val="22"/>
          <w:szCs w:val="22"/>
        </w:rPr>
        <w:t xml:space="preserve"> data on how </w:t>
      </w:r>
      <w:r w:rsidR="000854CF">
        <w:rPr>
          <w:rFonts w:ascii="Verdana" w:hAnsi="Verdana"/>
          <w:sz w:val="22"/>
          <w:szCs w:val="22"/>
        </w:rPr>
        <w:t>residents</w:t>
      </w:r>
      <w:r w:rsidR="00C01F05">
        <w:rPr>
          <w:rFonts w:ascii="Verdana" w:hAnsi="Verdana"/>
          <w:sz w:val="22"/>
          <w:szCs w:val="22"/>
        </w:rPr>
        <w:t xml:space="preserve"> in England engage </w:t>
      </w:r>
      <w:r w:rsidR="00BB2348">
        <w:rPr>
          <w:rFonts w:ascii="Verdana" w:hAnsi="Verdana"/>
          <w:sz w:val="22"/>
          <w:szCs w:val="22"/>
        </w:rPr>
        <w:t>in</w:t>
      </w:r>
      <w:r w:rsidR="00C01F05">
        <w:rPr>
          <w:rFonts w:ascii="Verdana" w:hAnsi="Verdana"/>
          <w:sz w:val="22"/>
          <w:szCs w:val="22"/>
        </w:rPr>
        <w:t xml:space="preserve"> sport and physical activity</w:t>
      </w:r>
      <w:r w:rsidR="00677676">
        <w:rPr>
          <w:rFonts w:ascii="Verdana" w:hAnsi="Verdana"/>
          <w:sz w:val="22"/>
          <w:szCs w:val="22"/>
        </w:rPr>
        <w:t>.</w:t>
      </w:r>
      <w:r w:rsidR="00B81387">
        <w:rPr>
          <w:rFonts w:ascii="Verdana" w:hAnsi="Verdana"/>
          <w:sz w:val="22"/>
          <w:szCs w:val="22"/>
        </w:rPr>
        <w:t xml:space="preserve"> </w:t>
      </w:r>
      <w:r w:rsidR="00677676">
        <w:rPr>
          <w:rFonts w:ascii="Verdana" w:hAnsi="Verdana"/>
          <w:sz w:val="22"/>
          <w:szCs w:val="22"/>
        </w:rPr>
        <w:t xml:space="preserve">This is </w:t>
      </w:r>
      <w:r w:rsidR="00681BA6">
        <w:rPr>
          <w:rFonts w:ascii="Verdana" w:hAnsi="Verdana"/>
          <w:sz w:val="22"/>
          <w:szCs w:val="22"/>
        </w:rPr>
        <w:t>formed</w:t>
      </w:r>
      <w:r w:rsidR="009C6E45">
        <w:rPr>
          <w:rFonts w:ascii="Verdana" w:hAnsi="Verdana"/>
          <w:sz w:val="22"/>
          <w:szCs w:val="22"/>
        </w:rPr>
        <w:t xml:space="preserve"> from an Adult Survey and a </w:t>
      </w:r>
      <w:r w:rsidR="009C6E45">
        <w:rPr>
          <w:rFonts w:ascii="Verdana" w:hAnsi="Verdana"/>
          <w:sz w:val="22"/>
          <w:szCs w:val="22"/>
        </w:rPr>
        <w:lastRenderedPageBreak/>
        <w:t>Children and Young People Survey</w:t>
      </w:r>
      <w:r w:rsidR="00B81387">
        <w:rPr>
          <w:rFonts w:ascii="Verdana" w:hAnsi="Verdana"/>
          <w:sz w:val="22"/>
          <w:szCs w:val="22"/>
        </w:rPr>
        <w:t xml:space="preserve">, with </w:t>
      </w:r>
      <w:r w:rsidR="00D168DD">
        <w:rPr>
          <w:rFonts w:ascii="Verdana" w:hAnsi="Verdana"/>
          <w:sz w:val="22"/>
          <w:szCs w:val="22"/>
        </w:rPr>
        <w:t xml:space="preserve">their </w:t>
      </w:r>
      <w:r w:rsidR="00C00797">
        <w:rPr>
          <w:rFonts w:ascii="Verdana" w:hAnsi="Verdana"/>
          <w:sz w:val="22"/>
          <w:szCs w:val="22"/>
        </w:rPr>
        <w:t>respective, methods</w:t>
      </w:r>
      <w:r w:rsidR="00D168DD">
        <w:rPr>
          <w:rFonts w:ascii="Verdana" w:hAnsi="Verdana"/>
          <w:sz w:val="22"/>
          <w:szCs w:val="22"/>
        </w:rPr>
        <w:t xml:space="preserve"> and evaluation differing slightly.</w:t>
      </w:r>
    </w:p>
    <w:p w14:paraId="0792643B" w14:textId="0D582AE3" w:rsidR="00CA043D" w:rsidRPr="00620D59" w:rsidRDefault="00393421" w:rsidP="0086404F">
      <w:pPr>
        <w:rPr>
          <w:rFonts w:ascii="Verdana" w:hAnsi="Verdana"/>
          <w:sz w:val="22"/>
          <w:szCs w:val="22"/>
        </w:rPr>
      </w:pPr>
      <w:r w:rsidRPr="00620D59">
        <w:rPr>
          <w:rFonts w:ascii="Verdana" w:hAnsi="Verdana"/>
          <w:sz w:val="22"/>
          <w:szCs w:val="22"/>
        </w:rPr>
        <w:t>Th</w:t>
      </w:r>
      <w:r w:rsidR="005558E5" w:rsidRPr="00620D59">
        <w:rPr>
          <w:rFonts w:ascii="Verdana" w:hAnsi="Verdana"/>
          <w:sz w:val="22"/>
          <w:szCs w:val="22"/>
        </w:rPr>
        <w:t>e</w:t>
      </w:r>
      <w:r w:rsidRPr="00620D59">
        <w:rPr>
          <w:rFonts w:ascii="Verdana" w:hAnsi="Verdana"/>
          <w:sz w:val="22"/>
          <w:szCs w:val="22"/>
        </w:rPr>
        <w:t xml:space="preserve"> </w:t>
      </w:r>
      <w:r w:rsidR="00C00797">
        <w:rPr>
          <w:rFonts w:ascii="Verdana" w:hAnsi="Verdana"/>
          <w:sz w:val="22"/>
          <w:szCs w:val="22"/>
        </w:rPr>
        <w:t xml:space="preserve">statistical </w:t>
      </w:r>
      <w:r w:rsidRPr="00620D59">
        <w:rPr>
          <w:rFonts w:ascii="Verdana" w:hAnsi="Verdana"/>
          <w:sz w:val="22"/>
          <w:szCs w:val="22"/>
        </w:rPr>
        <w:t>release</w:t>
      </w:r>
      <w:r w:rsidR="00CA043D" w:rsidRPr="00620D59">
        <w:rPr>
          <w:rFonts w:ascii="Verdana" w:hAnsi="Verdana"/>
          <w:sz w:val="22"/>
          <w:szCs w:val="22"/>
        </w:rPr>
        <w:t xml:space="preserve"> </w:t>
      </w:r>
      <w:r w:rsidR="007E158C">
        <w:rPr>
          <w:rFonts w:ascii="Verdana" w:hAnsi="Verdana"/>
          <w:sz w:val="22"/>
          <w:szCs w:val="22"/>
        </w:rPr>
        <w:t xml:space="preserve">this report is based on </w:t>
      </w:r>
      <w:r w:rsidR="00CA043D" w:rsidRPr="00620D59">
        <w:rPr>
          <w:rFonts w:ascii="Verdana" w:hAnsi="Verdana"/>
          <w:sz w:val="22"/>
          <w:szCs w:val="22"/>
        </w:rPr>
        <w:t>concerns a total of twelve datasets, three of which provide data by local authority</w:t>
      </w:r>
      <w:r w:rsidR="00BD5570" w:rsidRPr="00620D59">
        <w:rPr>
          <w:rFonts w:ascii="Verdana" w:hAnsi="Verdana"/>
          <w:sz w:val="22"/>
          <w:szCs w:val="22"/>
        </w:rPr>
        <w:t xml:space="preserve"> and </w:t>
      </w:r>
      <w:r w:rsidR="00CA043D" w:rsidRPr="00620D59">
        <w:rPr>
          <w:rFonts w:ascii="Verdana" w:hAnsi="Verdana"/>
          <w:sz w:val="22"/>
          <w:szCs w:val="22"/>
        </w:rPr>
        <w:t>district level with the remainder being national</w:t>
      </w:r>
      <w:r w:rsidR="00BD5570" w:rsidRPr="00620D59">
        <w:rPr>
          <w:rFonts w:ascii="Verdana" w:hAnsi="Verdana"/>
          <w:sz w:val="22"/>
          <w:szCs w:val="22"/>
        </w:rPr>
        <w:t xml:space="preserve"> or regional</w:t>
      </w:r>
      <w:r w:rsidR="00CA043D" w:rsidRPr="00620D59">
        <w:rPr>
          <w:rFonts w:ascii="Verdana" w:hAnsi="Verdana"/>
          <w:sz w:val="22"/>
          <w:szCs w:val="22"/>
        </w:rPr>
        <w:t>.</w:t>
      </w:r>
      <w:r w:rsidRPr="00620D59">
        <w:rPr>
          <w:rFonts w:ascii="Verdana" w:hAnsi="Verdana"/>
          <w:sz w:val="22"/>
          <w:szCs w:val="22"/>
        </w:rPr>
        <w:t xml:space="preserve"> </w:t>
      </w:r>
      <w:r w:rsidR="003E70EA" w:rsidRPr="00620D59">
        <w:rPr>
          <w:rFonts w:ascii="Verdana" w:hAnsi="Verdana"/>
          <w:sz w:val="22"/>
          <w:szCs w:val="22"/>
        </w:rPr>
        <w:t xml:space="preserve">A list of what each dataset describes can be found in </w:t>
      </w:r>
      <w:r w:rsidR="006C5C00">
        <w:rPr>
          <w:rFonts w:ascii="Verdana" w:hAnsi="Verdana"/>
          <w:sz w:val="22"/>
          <w:szCs w:val="22"/>
        </w:rPr>
        <w:t>A</w:t>
      </w:r>
      <w:r w:rsidR="003E70EA" w:rsidRPr="00620D59">
        <w:rPr>
          <w:rFonts w:ascii="Verdana" w:hAnsi="Verdana"/>
          <w:sz w:val="22"/>
          <w:szCs w:val="22"/>
        </w:rPr>
        <w:t>ppendix</w:t>
      </w:r>
      <w:r w:rsidR="00A33A8A" w:rsidRPr="00620D59">
        <w:rPr>
          <w:rFonts w:ascii="Verdana" w:hAnsi="Verdana"/>
          <w:sz w:val="22"/>
          <w:szCs w:val="22"/>
        </w:rPr>
        <w:t xml:space="preserve"> </w:t>
      </w:r>
      <w:r w:rsidR="006C5C00">
        <w:rPr>
          <w:rFonts w:ascii="Verdana" w:hAnsi="Verdana"/>
          <w:sz w:val="22"/>
          <w:szCs w:val="22"/>
        </w:rPr>
        <w:t xml:space="preserve">1 </w:t>
      </w:r>
      <w:r w:rsidR="00A33A8A" w:rsidRPr="00620D59">
        <w:rPr>
          <w:rFonts w:ascii="Verdana" w:hAnsi="Verdana"/>
          <w:sz w:val="22"/>
          <w:szCs w:val="22"/>
        </w:rPr>
        <w:t>of this report</w:t>
      </w:r>
      <w:r w:rsidR="003E70EA" w:rsidRPr="00620D59">
        <w:rPr>
          <w:rFonts w:ascii="Verdana" w:hAnsi="Verdana"/>
          <w:sz w:val="22"/>
          <w:szCs w:val="22"/>
        </w:rPr>
        <w:t>.</w:t>
      </w:r>
      <w:r w:rsidR="00F563B2">
        <w:rPr>
          <w:rFonts w:ascii="Verdana" w:hAnsi="Verdana"/>
          <w:sz w:val="22"/>
          <w:szCs w:val="22"/>
        </w:rPr>
        <w:t xml:space="preserve"> </w:t>
      </w:r>
      <w:r w:rsidRPr="00620D59">
        <w:rPr>
          <w:rFonts w:ascii="Verdana" w:hAnsi="Verdana"/>
          <w:sz w:val="22"/>
          <w:szCs w:val="22"/>
        </w:rPr>
        <w:t>As the aim of the present report is to summarise Active Travel in Kent, only parts of th</w:t>
      </w:r>
      <w:r w:rsidR="00A33A8A" w:rsidRPr="00620D59">
        <w:rPr>
          <w:rFonts w:ascii="Verdana" w:hAnsi="Verdana"/>
          <w:sz w:val="22"/>
          <w:szCs w:val="22"/>
        </w:rPr>
        <w:t>e</w:t>
      </w:r>
      <w:r w:rsidRPr="00620D59">
        <w:rPr>
          <w:rFonts w:ascii="Verdana" w:hAnsi="Verdana"/>
          <w:sz w:val="22"/>
          <w:szCs w:val="22"/>
        </w:rPr>
        <w:t xml:space="preserve"> release</w:t>
      </w:r>
      <w:r w:rsidR="00BD5570" w:rsidRPr="00620D59">
        <w:rPr>
          <w:rFonts w:ascii="Verdana" w:hAnsi="Verdana"/>
          <w:sz w:val="22"/>
          <w:szCs w:val="22"/>
        </w:rPr>
        <w:t xml:space="preserve"> </w:t>
      </w:r>
      <w:r w:rsidRPr="00620D59">
        <w:rPr>
          <w:rFonts w:ascii="Verdana" w:hAnsi="Verdana"/>
          <w:sz w:val="22"/>
          <w:szCs w:val="22"/>
        </w:rPr>
        <w:t>were analysed.</w:t>
      </w:r>
      <w:r w:rsidR="00F0721F">
        <w:rPr>
          <w:rFonts w:ascii="Verdana" w:hAnsi="Verdana"/>
          <w:sz w:val="22"/>
          <w:szCs w:val="22"/>
        </w:rPr>
        <w:t xml:space="preserve"> </w:t>
      </w:r>
      <w:r w:rsidR="006336F4">
        <w:rPr>
          <w:rFonts w:ascii="Verdana" w:hAnsi="Verdana"/>
          <w:sz w:val="22"/>
          <w:szCs w:val="22"/>
        </w:rPr>
        <w:t xml:space="preserve">The </w:t>
      </w:r>
      <w:r w:rsidR="0036367E">
        <w:rPr>
          <w:rFonts w:ascii="Verdana" w:hAnsi="Verdana"/>
          <w:sz w:val="22"/>
          <w:szCs w:val="22"/>
        </w:rPr>
        <w:t xml:space="preserve">main relevant </w:t>
      </w:r>
      <w:r w:rsidR="006336F4">
        <w:rPr>
          <w:rFonts w:ascii="Verdana" w:hAnsi="Verdana"/>
          <w:sz w:val="22"/>
          <w:szCs w:val="22"/>
        </w:rPr>
        <w:t>datasets provide data from November 2015 to November 2021.</w:t>
      </w:r>
      <w:r w:rsidR="00852373">
        <w:rPr>
          <w:rFonts w:ascii="Verdana" w:hAnsi="Verdana"/>
          <w:sz w:val="22"/>
          <w:szCs w:val="22"/>
        </w:rPr>
        <w:t xml:space="preserve"> Each year show</w:t>
      </w:r>
      <w:r w:rsidR="005C4462">
        <w:rPr>
          <w:rFonts w:ascii="Verdana" w:hAnsi="Verdana"/>
          <w:sz w:val="22"/>
          <w:szCs w:val="22"/>
        </w:rPr>
        <w:t>n</w:t>
      </w:r>
      <w:r w:rsidR="00852373">
        <w:rPr>
          <w:rFonts w:ascii="Verdana" w:hAnsi="Verdana"/>
          <w:sz w:val="22"/>
          <w:szCs w:val="22"/>
        </w:rPr>
        <w:t xml:space="preserve"> covers </w:t>
      </w:r>
      <w:r w:rsidR="005C4462">
        <w:rPr>
          <w:rFonts w:ascii="Verdana" w:hAnsi="Verdana"/>
          <w:sz w:val="22"/>
          <w:szCs w:val="22"/>
        </w:rPr>
        <w:t xml:space="preserve">a </w:t>
      </w:r>
      <w:r w:rsidR="00852373">
        <w:rPr>
          <w:rFonts w:ascii="Verdana" w:hAnsi="Verdana"/>
          <w:sz w:val="22"/>
          <w:szCs w:val="22"/>
        </w:rPr>
        <w:t xml:space="preserve">period from </w:t>
      </w:r>
      <w:r w:rsidR="000205B4" w:rsidRPr="00B56C97">
        <w:rPr>
          <w:rFonts w:ascii="Verdana" w:hAnsi="Verdana"/>
          <w:sz w:val="22"/>
          <w:szCs w:val="22"/>
        </w:rPr>
        <w:t>mid-November</w:t>
      </w:r>
      <w:r w:rsidR="005C4462">
        <w:rPr>
          <w:rFonts w:ascii="Verdana" w:hAnsi="Verdana"/>
          <w:sz w:val="22"/>
          <w:szCs w:val="22"/>
        </w:rPr>
        <w:t xml:space="preserve"> in the previous year</w:t>
      </w:r>
      <w:r w:rsidR="000205B4" w:rsidRPr="00B56C97">
        <w:rPr>
          <w:rFonts w:ascii="Verdana" w:hAnsi="Verdana"/>
          <w:sz w:val="22"/>
          <w:szCs w:val="22"/>
        </w:rPr>
        <w:t xml:space="preserve"> to mid-November</w:t>
      </w:r>
      <w:r w:rsidR="005C4462">
        <w:rPr>
          <w:rFonts w:ascii="Verdana" w:hAnsi="Verdana"/>
          <w:sz w:val="22"/>
          <w:szCs w:val="22"/>
        </w:rPr>
        <w:t xml:space="preserve"> in the year in question</w:t>
      </w:r>
      <w:r w:rsidR="000205B4">
        <w:rPr>
          <w:rFonts w:ascii="Verdana" w:hAnsi="Verdana"/>
          <w:sz w:val="22"/>
          <w:szCs w:val="22"/>
        </w:rPr>
        <w:t xml:space="preserve">. </w:t>
      </w:r>
      <w:r w:rsidR="00B56C97" w:rsidRPr="00B56C97">
        <w:rPr>
          <w:rFonts w:ascii="Verdana" w:hAnsi="Verdana"/>
          <w:sz w:val="22"/>
          <w:szCs w:val="22"/>
        </w:rPr>
        <w:t xml:space="preserve">For example, data </w:t>
      </w:r>
      <w:r w:rsidR="005C4462">
        <w:rPr>
          <w:rFonts w:ascii="Verdana" w:hAnsi="Verdana"/>
          <w:sz w:val="22"/>
          <w:szCs w:val="22"/>
        </w:rPr>
        <w:t xml:space="preserve">for </w:t>
      </w:r>
      <w:r w:rsidR="00B56C97" w:rsidRPr="00B56C97">
        <w:rPr>
          <w:rFonts w:ascii="Verdana" w:hAnsi="Verdana"/>
          <w:sz w:val="22"/>
          <w:szCs w:val="22"/>
        </w:rPr>
        <w:t>2021 covers mid-November 2020 to mid-November 2021</w:t>
      </w:r>
      <w:r w:rsidR="000205B4">
        <w:rPr>
          <w:rFonts w:ascii="Verdana" w:hAnsi="Verdana"/>
          <w:sz w:val="22"/>
          <w:szCs w:val="22"/>
        </w:rPr>
        <w:t xml:space="preserve">. </w:t>
      </w:r>
      <w:r w:rsidR="00F0721F">
        <w:rPr>
          <w:rFonts w:ascii="Verdana" w:hAnsi="Verdana"/>
          <w:sz w:val="22"/>
          <w:szCs w:val="22"/>
        </w:rPr>
        <w:t>Appendix 2 provides a summary of national</w:t>
      </w:r>
      <w:r w:rsidR="00F0721F" w:rsidRPr="0071749D">
        <w:rPr>
          <w:rFonts w:ascii="Verdana" w:hAnsi="Verdana"/>
          <w:sz w:val="22"/>
          <w:szCs w:val="22"/>
        </w:rPr>
        <w:t xml:space="preserve"> travel statistics</w:t>
      </w:r>
      <w:r w:rsidR="00F0721F">
        <w:rPr>
          <w:rFonts w:ascii="Verdana" w:hAnsi="Verdana"/>
          <w:sz w:val="22"/>
          <w:szCs w:val="22"/>
        </w:rPr>
        <w:t xml:space="preserve"> included in the statistical release</w:t>
      </w:r>
      <w:r w:rsidR="00F0721F" w:rsidRPr="0071749D">
        <w:rPr>
          <w:rFonts w:ascii="Verdana" w:hAnsi="Verdana"/>
          <w:sz w:val="22"/>
          <w:szCs w:val="22"/>
        </w:rPr>
        <w:t xml:space="preserve"> </w:t>
      </w:r>
      <w:r w:rsidR="00F0721F">
        <w:rPr>
          <w:rFonts w:ascii="Verdana" w:hAnsi="Verdana"/>
          <w:sz w:val="22"/>
          <w:szCs w:val="22"/>
        </w:rPr>
        <w:t>by</w:t>
      </w:r>
      <w:r w:rsidR="00F0721F" w:rsidRPr="0071749D">
        <w:rPr>
          <w:rFonts w:ascii="Verdana" w:hAnsi="Verdana"/>
          <w:sz w:val="22"/>
          <w:szCs w:val="22"/>
        </w:rPr>
        <w:t xml:space="preserve"> different demographic groupings</w:t>
      </w:r>
      <w:r w:rsidR="00F0721F">
        <w:rPr>
          <w:rFonts w:ascii="Verdana" w:hAnsi="Verdana"/>
          <w:sz w:val="22"/>
          <w:szCs w:val="22"/>
        </w:rPr>
        <w:t xml:space="preserve">, </w:t>
      </w:r>
      <w:r w:rsidR="00F0721F" w:rsidRPr="0071749D">
        <w:rPr>
          <w:rFonts w:ascii="Verdana" w:hAnsi="Verdana"/>
          <w:sz w:val="22"/>
          <w:szCs w:val="22"/>
        </w:rPr>
        <w:t>outlin</w:t>
      </w:r>
      <w:r w:rsidR="00F0721F">
        <w:rPr>
          <w:rFonts w:ascii="Verdana" w:hAnsi="Verdana"/>
          <w:sz w:val="22"/>
          <w:szCs w:val="22"/>
        </w:rPr>
        <w:t xml:space="preserve">ing </w:t>
      </w:r>
      <w:r w:rsidR="00F0721F" w:rsidRPr="0071749D">
        <w:rPr>
          <w:rFonts w:ascii="Verdana" w:hAnsi="Verdana"/>
          <w:sz w:val="22"/>
          <w:szCs w:val="22"/>
        </w:rPr>
        <w:t xml:space="preserve">details </w:t>
      </w:r>
      <w:r w:rsidR="00F0721F">
        <w:rPr>
          <w:rFonts w:ascii="Verdana" w:hAnsi="Verdana"/>
          <w:sz w:val="22"/>
          <w:szCs w:val="22"/>
        </w:rPr>
        <w:t xml:space="preserve">potentially </w:t>
      </w:r>
      <w:r w:rsidR="00F0721F" w:rsidRPr="0071749D">
        <w:rPr>
          <w:rFonts w:ascii="Verdana" w:hAnsi="Verdana"/>
          <w:sz w:val="22"/>
          <w:szCs w:val="22"/>
        </w:rPr>
        <w:t xml:space="preserve">relevant to the </w:t>
      </w:r>
      <w:r w:rsidR="00550A36">
        <w:rPr>
          <w:rFonts w:ascii="Verdana" w:hAnsi="Verdana"/>
          <w:sz w:val="22"/>
          <w:szCs w:val="22"/>
        </w:rPr>
        <w:t xml:space="preserve">Kent </w:t>
      </w:r>
      <w:r w:rsidR="00F0721F">
        <w:rPr>
          <w:rFonts w:ascii="Verdana" w:hAnsi="Verdana"/>
          <w:sz w:val="22"/>
          <w:szCs w:val="22"/>
        </w:rPr>
        <w:t>data.</w:t>
      </w:r>
    </w:p>
    <w:p w14:paraId="39BC6623" w14:textId="345AABB0" w:rsidR="007B222E" w:rsidRPr="00620D59" w:rsidRDefault="003E70EA" w:rsidP="0086404F">
      <w:pPr>
        <w:rPr>
          <w:rFonts w:ascii="Verdana" w:hAnsi="Verdana"/>
          <w:sz w:val="22"/>
          <w:szCs w:val="22"/>
        </w:rPr>
      </w:pPr>
      <w:r w:rsidRPr="00620D59">
        <w:rPr>
          <w:rFonts w:ascii="Verdana" w:hAnsi="Verdana"/>
          <w:sz w:val="22"/>
          <w:szCs w:val="22"/>
        </w:rPr>
        <w:t xml:space="preserve">In the core analysis, </w:t>
      </w:r>
      <w:r w:rsidR="00B625D7" w:rsidRPr="00620D59">
        <w:rPr>
          <w:rFonts w:ascii="Verdana" w:hAnsi="Verdana"/>
          <w:sz w:val="22"/>
          <w:szCs w:val="22"/>
        </w:rPr>
        <w:t>each of the</w:t>
      </w:r>
      <w:r w:rsidR="007318D3" w:rsidRPr="00620D59">
        <w:rPr>
          <w:rFonts w:ascii="Verdana" w:hAnsi="Verdana"/>
          <w:sz w:val="22"/>
          <w:szCs w:val="22"/>
        </w:rPr>
        <w:t xml:space="preserve"> 12 Kent districts </w:t>
      </w:r>
      <w:r w:rsidR="00100BD1">
        <w:rPr>
          <w:rFonts w:ascii="Verdana" w:hAnsi="Verdana"/>
          <w:sz w:val="22"/>
          <w:szCs w:val="22"/>
        </w:rPr>
        <w:t>w</w:t>
      </w:r>
      <w:r w:rsidR="00C61218">
        <w:rPr>
          <w:rFonts w:ascii="Verdana" w:hAnsi="Verdana"/>
          <w:sz w:val="22"/>
          <w:szCs w:val="22"/>
        </w:rPr>
        <w:t>ere</w:t>
      </w:r>
      <w:r w:rsidR="005558E5" w:rsidRPr="00620D59">
        <w:rPr>
          <w:rFonts w:ascii="Verdana" w:hAnsi="Verdana"/>
          <w:sz w:val="22"/>
          <w:szCs w:val="22"/>
        </w:rPr>
        <w:t xml:space="preserve"> </w:t>
      </w:r>
      <w:r w:rsidR="00137257">
        <w:rPr>
          <w:rFonts w:ascii="Verdana" w:hAnsi="Verdana"/>
          <w:sz w:val="22"/>
          <w:szCs w:val="22"/>
        </w:rPr>
        <w:t>separated</w:t>
      </w:r>
      <w:r w:rsidR="007318D3" w:rsidRPr="00620D59">
        <w:rPr>
          <w:rFonts w:ascii="Verdana" w:hAnsi="Verdana"/>
          <w:sz w:val="22"/>
          <w:szCs w:val="22"/>
        </w:rPr>
        <w:t xml:space="preserve"> </w:t>
      </w:r>
      <w:r w:rsidR="008D5361" w:rsidRPr="00620D59">
        <w:rPr>
          <w:rFonts w:ascii="Verdana" w:hAnsi="Verdana"/>
          <w:sz w:val="22"/>
          <w:szCs w:val="22"/>
        </w:rPr>
        <w:t xml:space="preserve">from the rest of England. </w:t>
      </w:r>
      <w:r w:rsidR="003F5F78" w:rsidRPr="00620D59">
        <w:rPr>
          <w:rFonts w:ascii="Verdana" w:hAnsi="Verdana"/>
          <w:sz w:val="22"/>
          <w:szCs w:val="22"/>
        </w:rPr>
        <w:t xml:space="preserve">Data </w:t>
      </w:r>
      <w:r w:rsidR="00F04598" w:rsidRPr="00620D59">
        <w:rPr>
          <w:rFonts w:ascii="Verdana" w:hAnsi="Verdana"/>
          <w:sz w:val="22"/>
          <w:szCs w:val="22"/>
        </w:rPr>
        <w:t>on</w:t>
      </w:r>
      <w:r w:rsidR="003F5F78" w:rsidRPr="00620D59">
        <w:rPr>
          <w:rFonts w:ascii="Verdana" w:hAnsi="Verdana"/>
          <w:sz w:val="22"/>
          <w:szCs w:val="22"/>
        </w:rPr>
        <w:t xml:space="preserve"> walking</w:t>
      </w:r>
      <w:r w:rsidR="006970D0">
        <w:rPr>
          <w:rFonts w:ascii="Verdana" w:hAnsi="Verdana"/>
          <w:sz w:val="22"/>
          <w:szCs w:val="22"/>
        </w:rPr>
        <w:t xml:space="preserve"> and </w:t>
      </w:r>
      <w:r w:rsidR="003F5F78" w:rsidRPr="00620D59">
        <w:rPr>
          <w:rFonts w:ascii="Verdana" w:hAnsi="Verdana"/>
          <w:sz w:val="22"/>
          <w:szCs w:val="22"/>
        </w:rPr>
        <w:t xml:space="preserve">cycling for all reasons, walking for leisure, cycling for leisure, walking for </w:t>
      </w:r>
      <w:r w:rsidR="007B222E" w:rsidRPr="00620D59">
        <w:rPr>
          <w:rFonts w:ascii="Verdana" w:hAnsi="Verdana"/>
          <w:sz w:val="22"/>
          <w:szCs w:val="22"/>
        </w:rPr>
        <w:t>travel,</w:t>
      </w:r>
      <w:r w:rsidR="003F5F78" w:rsidRPr="00620D59">
        <w:rPr>
          <w:rFonts w:ascii="Verdana" w:hAnsi="Verdana"/>
          <w:sz w:val="22"/>
          <w:szCs w:val="22"/>
        </w:rPr>
        <w:t xml:space="preserve"> and cycling for travel were analysed independently for the Kent districts. For each of these </w:t>
      </w:r>
      <w:r w:rsidR="00B43D9A">
        <w:rPr>
          <w:rFonts w:ascii="Verdana" w:hAnsi="Verdana"/>
          <w:sz w:val="22"/>
          <w:szCs w:val="22"/>
        </w:rPr>
        <w:t xml:space="preserve">activity </w:t>
      </w:r>
      <w:r w:rsidR="003F5F78" w:rsidRPr="00620D59">
        <w:rPr>
          <w:rFonts w:ascii="Verdana" w:hAnsi="Verdana"/>
          <w:sz w:val="22"/>
          <w:szCs w:val="22"/>
        </w:rPr>
        <w:t xml:space="preserve">groups, the frequency of activity </w:t>
      </w:r>
      <w:r w:rsidR="00F04598" w:rsidRPr="00620D59">
        <w:rPr>
          <w:rFonts w:ascii="Verdana" w:hAnsi="Verdana"/>
          <w:sz w:val="22"/>
          <w:szCs w:val="22"/>
        </w:rPr>
        <w:t>was</w:t>
      </w:r>
      <w:r w:rsidR="003F5F78" w:rsidRPr="00620D59">
        <w:rPr>
          <w:rFonts w:ascii="Verdana" w:hAnsi="Verdana"/>
          <w:sz w:val="22"/>
          <w:szCs w:val="22"/>
        </w:rPr>
        <w:t xml:space="preserve"> also </w:t>
      </w:r>
      <w:r w:rsidR="00C9620F" w:rsidRPr="00620D59">
        <w:rPr>
          <w:rFonts w:ascii="Verdana" w:hAnsi="Verdana"/>
          <w:sz w:val="22"/>
          <w:szCs w:val="22"/>
        </w:rPr>
        <w:t>given. This is sp</w:t>
      </w:r>
      <w:r w:rsidR="00C61218">
        <w:rPr>
          <w:rFonts w:ascii="Verdana" w:hAnsi="Verdana"/>
          <w:sz w:val="22"/>
          <w:szCs w:val="22"/>
        </w:rPr>
        <w:t xml:space="preserve">lit </w:t>
      </w:r>
      <w:r w:rsidR="00C9620F" w:rsidRPr="00620D59">
        <w:rPr>
          <w:rFonts w:ascii="Verdana" w:hAnsi="Verdana"/>
          <w:sz w:val="22"/>
          <w:szCs w:val="22"/>
        </w:rPr>
        <w:t xml:space="preserve">into the four following groups; </w:t>
      </w:r>
      <w:r w:rsidR="00943E15" w:rsidRPr="00620D59">
        <w:rPr>
          <w:rFonts w:ascii="Verdana" w:hAnsi="Verdana"/>
          <w:sz w:val="22"/>
          <w:szCs w:val="22"/>
        </w:rPr>
        <w:t>at least once a month, at least once a week, a</w:t>
      </w:r>
      <w:r w:rsidR="007B222E" w:rsidRPr="00620D59">
        <w:rPr>
          <w:rFonts w:ascii="Verdana" w:hAnsi="Verdana"/>
          <w:sz w:val="22"/>
          <w:szCs w:val="22"/>
        </w:rPr>
        <w:t xml:space="preserve">t least three times a week and at least five times a week. </w:t>
      </w:r>
      <w:r w:rsidR="00F726EF">
        <w:rPr>
          <w:rFonts w:ascii="Verdana" w:hAnsi="Verdana"/>
          <w:sz w:val="22"/>
          <w:szCs w:val="22"/>
        </w:rPr>
        <w:t>These groups are not mutually exclusive.</w:t>
      </w:r>
    </w:p>
    <w:p w14:paraId="578ABD42" w14:textId="447B632E" w:rsidR="00A019B8" w:rsidRDefault="00DB2FA4" w:rsidP="0086404F">
      <w:pPr>
        <w:rPr>
          <w:rFonts w:ascii="Verdana" w:hAnsi="Verdana"/>
          <w:sz w:val="22"/>
          <w:szCs w:val="22"/>
        </w:rPr>
      </w:pPr>
      <w:r>
        <w:rPr>
          <w:rFonts w:ascii="Verdana" w:hAnsi="Verdana"/>
          <w:sz w:val="22"/>
          <w:szCs w:val="22"/>
        </w:rPr>
        <w:t>Cross</w:t>
      </w:r>
      <w:r w:rsidR="007C0706">
        <w:rPr>
          <w:rFonts w:ascii="Verdana" w:hAnsi="Verdana"/>
          <w:sz w:val="22"/>
          <w:szCs w:val="22"/>
        </w:rPr>
        <w:t xml:space="preserve"> tabulations were performed</w:t>
      </w:r>
      <w:r w:rsidR="007318D3" w:rsidRPr="00620D59">
        <w:rPr>
          <w:rFonts w:ascii="Verdana" w:hAnsi="Verdana"/>
          <w:sz w:val="22"/>
          <w:szCs w:val="22"/>
        </w:rPr>
        <w:t xml:space="preserve"> so that </w:t>
      </w:r>
      <w:r w:rsidR="005558E5" w:rsidRPr="00620D59">
        <w:rPr>
          <w:rFonts w:ascii="Verdana" w:hAnsi="Verdana"/>
          <w:sz w:val="22"/>
          <w:szCs w:val="22"/>
        </w:rPr>
        <w:t xml:space="preserve">the </w:t>
      </w:r>
      <w:r w:rsidR="007318D3" w:rsidRPr="00620D59">
        <w:rPr>
          <w:rFonts w:ascii="Verdana" w:hAnsi="Verdana"/>
          <w:sz w:val="22"/>
          <w:szCs w:val="22"/>
        </w:rPr>
        <w:t>frequencies of walking</w:t>
      </w:r>
      <w:r w:rsidR="006970D0">
        <w:rPr>
          <w:rFonts w:ascii="Verdana" w:hAnsi="Verdana"/>
          <w:sz w:val="22"/>
          <w:szCs w:val="22"/>
        </w:rPr>
        <w:t xml:space="preserve"> and </w:t>
      </w:r>
      <w:r w:rsidR="007318D3" w:rsidRPr="00620D59">
        <w:rPr>
          <w:rFonts w:ascii="Verdana" w:hAnsi="Verdana"/>
          <w:sz w:val="22"/>
          <w:szCs w:val="22"/>
        </w:rPr>
        <w:t xml:space="preserve">cycling </w:t>
      </w:r>
      <w:r w:rsidR="003F1E7D" w:rsidRPr="00620D59">
        <w:rPr>
          <w:rFonts w:ascii="Verdana" w:hAnsi="Verdana"/>
          <w:sz w:val="22"/>
          <w:szCs w:val="22"/>
        </w:rPr>
        <w:t>were</w:t>
      </w:r>
      <w:r w:rsidR="008D5361" w:rsidRPr="00620D59">
        <w:rPr>
          <w:rFonts w:ascii="Verdana" w:hAnsi="Verdana"/>
          <w:sz w:val="22"/>
          <w:szCs w:val="22"/>
        </w:rPr>
        <w:t xml:space="preserve"> shown along with</w:t>
      </w:r>
      <w:r w:rsidR="007318D3" w:rsidRPr="00620D59">
        <w:rPr>
          <w:rFonts w:ascii="Verdana" w:hAnsi="Verdana"/>
          <w:sz w:val="22"/>
          <w:szCs w:val="22"/>
        </w:rPr>
        <w:t xml:space="preserve"> the</w:t>
      </w:r>
      <w:r w:rsidR="00137257">
        <w:rPr>
          <w:rFonts w:ascii="Verdana" w:hAnsi="Verdana"/>
          <w:sz w:val="22"/>
          <w:szCs w:val="22"/>
        </w:rPr>
        <w:t xml:space="preserve"> respective</w:t>
      </w:r>
      <w:r w:rsidR="007B222E" w:rsidRPr="00620D59">
        <w:rPr>
          <w:rFonts w:ascii="Verdana" w:hAnsi="Verdana"/>
          <w:sz w:val="22"/>
          <w:szCs w:val="22"/>
        </w:rPr>
        <w:t xml:space="preserve"> </w:t>
      </w:r>
      <w:r w:rsidR="007318D3" w:rsidRPr="00620D59">
        <w:rPr>
          <w:rFonts w:ascii="Verdana" w:hAnsi="Verdana"/>
          <w:sz w:val="22"/>
          <w:szCs w:val="22"/>
        </w:rPr>
        <w:t xml:space="preserve">proportion of the sampled population </w:t>
      </w:r>
      <w:r w:rsidR="007B222E" w:rsidRPr="00620D59">
        <w:rPr>
          <w:rFonts w:ascii="Verdana" w:hAnsi="Verdana"/>
          <w:sz w:val="22"/>
          <w:szCs w:val="22"/>
        </w:rPr>
        <w:t>for each year</w:t>
      </w:r>
      <w:r w:rsidR="007318D3" w:rsidRPr="00620D59">
        <w:rPr>
          <w:rFonts w:ascii="Verdana" w:hAnsi="Verdana"/>
          <w:sz w:val="22"/>
          <w:szCs w:val="22"/>
        </w:rPr>
        <w:t xml:space="preserve"> (</w:t>
      </w:r>
      <w:r w:rsidR="008D5361" w:rsidRPr="00620D59">
        <w:rPr>
          <w:rFonts w:ascii="Verdana" w:hAnsi="Verdana"/>
          <w:sz w:val="22"/>
          <w:szCs w:val="22"/>
        </w:rPr>
        <w:t xml:space="preserve">from </w:t>
      </w:r>
      <w:r w:rsidR="007318D3" w:rsidRPr="00620D59">
        <w:rPr>
          <w:rFonts w:ascii="Verdana" w:hAnsi="Verdana"/>
          <w:sz w:val="22"/>
          <w:szCs w:val="22"/>
        </w:rPr>
        <w:t>2016</w:t>
      </w:r>
      <w:r w:rsidR="00975BD0">
        <w:rPr>
          <w:rFonts w:ascii="Verdana" w:hAnsi="Verdana"/>
          <w:sz w:val="22"/>
          <w:szCs w:val="22"/>
        </w:rPr>
        <w:t xml:space="preserve"> to 20</w:t>
      </w:r>
      <w:r w:rsidR="007318D3" w:rsidRPr="00620D59">
        <w:rPr>
          <w:rFonts w:ascii="Verdana" w:hAnsi="Verdana"/>
          <w:sz w:val="22"/>
          <w:szCs w:val="22"/>
        </w:rPr>
        <w:t>21)</w:t>
      </w:r>
      <w:r w:rsidR="008D5361" w:rsidRPr="00620D59">
        <w:rPr>
          <w:rFonts w:ascii="Verdana" w:hAnsi="Verdana"/>
          <w:sz w:val="22"/>
          <w:szCs w:val="22"/>
        </w:rPr>
        <w:t xml:space="preserve">. </w:t>
      </w:r>
      <w:r w:rsidR="004E2BAD">
        <w:rPr>
          <w:rFonts w:ascii="Verdana" w:hAnsi="Verdana"/>
          <w:sz w:val="22"/>
          <w:szCs w:val="22"/>
        </w:rPr>
        <w:t>Trend</w:t>
      </w:r>
      <w:r w:rsidR="00151C70" w:rsidRPr="00620D59">
        <w:rPr>
          <w:rFonts w:ascii="Verdana" w:hAnsi="Verdana"/>
          <w:sz w:val="22"/>
          <w:szCs w:val="22"/>
        </w:rPr>
        <w:t xml:space="preserve"> plots were produced to show </w:t>
      </w:r>
      <w:r w:rsidR="001F4FBA">
        <w:rPr>
          <w:rFonts w:ascii="Verdana" w:hAnsi="Verdana"/>
          <w:sz w:val="22"/>
          <w:szCs w:val="22"/>
        </w:rPr>
        <w:t xml:space="preserve">yearly </w:t>
      </w:r>
      <w:r w:rsidR="00151C70" w:rsidRPr="00620D59">
        <w:rPr>
          <w:rFonts w:ascii="Verdana" w:hAnsi="Verdana"/>
          <w:sz w:val="22"/>
          <w:szCs w:val="22"/>
        </w:rPr>
        <w:t>trends in walking</w:t>
      </w:r>
      <w:r w:rsidR="001A2018">
        <w:rPr>
          <w:rFonts w:ascii="Verdana" w:hAnsi="Verdana"/>
          <w:sz w:val="22"/>
          <w:szCs w:val="22"/>
        </w:rPr>
        <w:t xml:space="preserve"> and </w:t>
      </w:r>
      <w:r w:rsidR="00151C70" w:rsidRPr="00620D59">
        <w:rPr>
          <w:rFonts w:ascii="Verdana" w:hAnsi="Verdana"/>
          <w:sz w:val="22"/>
          <w:szCs w:val="22"/>
        </w:rPr>
        <w:t xml:space="preserve">cycling frequencies </w:t>
      </w:r>
      <w:r w:rsidR="00A33A8A" w:rsidRPr="00620D59">
        <w:rPr>
          <w:rFonts w:ascii="Verdana" w:hAnsi="Verdana"/>
          <w:sz w:val="22"/>
          <w:szCs w:val="22"/>
        </w:rPr>
        <w:t>in Kent</w:t>
      </w:r>
      <w:r w:rsidR="004F0CC6" w:rsidRPr="00620D59">
        <w:rPr>
          <w:rFonts w:ascii="Verdana" w:hAnsi="Verdana"/>
          <w:sz w:val="22"/>
          <w:szCs w:val="22"/>
        </w:rPr>
        <w:t xml:space="preserve">. </w:t>
      </w:r>
      <w:r w:rsidR="00BC5155">
        <w:rPr>
          <w:rFonts w:ascii="Verdana" w:hAnsi="Verdana"/>
          <w:sz w:val="22"/>
          <w:szCs w:val="22"/>
        </w:rPr>
        <w:t xml:space="preserve">Using </w:t>
      </w:r>
      <w:r w:rsidR="00BB2348">
        <w:rPr>
          <w:rFonts w:ascii="Verdana" w:hAnsi="Verdana"/>
          <w:sz w:val="22"/>
          <w:szCs w:val="22"/>
        </w:rPr>
        <w:t>Excel’s</w:t>
      </w:r>
      <w:r w:rsidR="00BC5155">
        <w:rPr>
          <w:rFonts w:ascii="Verdana" w:hAnsi="Verdana"/>
          <w:sz w:val="22"/>
          <w:szCs w:val="22"/>
        </w:rPr>
        <w:t xml:space="preserve"> conditional formatting function,</w:t>
      </w:r>
      <w:r w:rsidR="001D549E">
        <w:rPr>
          <w:rFonts w:ascii="Verdana" w:hAnsi="Verdana"/>
          <w:sz w:val="22"/>
          <w:szCs w:val="22"/>
        </w:rPr>
        <w:t xml:space="preserve"> the values </w:t>
      </w:r>
      <w:r w:rsidR="001F4FBA">
        <w:rPr>
          <w:rFonts w:ascii="Verdana" w:hAnsi="Verdana"/>
          <w:sz w:val="22"/>
          <w:szCs w:val="22"/>
        </w:rPr>
        <w:t>in</w:t>
      </w:r>
      <w:r w:rsidR="001D549E">
        <w:rPr>
          <w:rFonts w:ascii="Verdana" w:hAnsi="Verdana"/>
          <w:sz w:val="22"/>
          <w:szCs w:val="22"/>
        </w:rPr>
        <w:t xml:space="preserve"> tables </w:t>
      </w:r>
      <w:r w:rsidR="001D549E" w:rsidRPr="00620D59">
        <w:rPr>
          <w:rFonts w:ascii="Verdana" w:hAnsi="Verdana"/>
          <w:sz w:val="22"/>
          <w:szCs w:val="22"/>
        </w:rPr>
        <w:t>showing the proportion of individuals sampled who walk</w:t>
      </w:r>
      <w:r w:rsidR="001D549E">
        <w:rPr>
          <w:rFonts w:ascii="Verdana" w:hAnsi="Verdana"/>
          <w:sz w:val="22"/>
          <w:szCs w:val="22"/>
        </w:rPr>
        <w:t xml:space="preserve"> or </w:t>
      </w:r>
      <w:r w:rsidR="001D549E" w:rsidRPr="00620D59">
        <w:rPr>
          <w:rFonts w:ascii="Verdana" w:hAnsi="Verdana"/>
          <w:sz w:val="22"/>
          <w:szCs w:val="22"/>
        </w:rPr>
        <w:t xml:space="preserve">cycle ‘x’ number of times </w:t>
      </w:r>
      <w:r w:rsidR="001D549E">
        <w:rPr>
          <w:rFonts w:ascii="Verdana" w:hAnsi="Verdana"/>
          <w:sz w:val="22"/>
          <w:szCs w:val="22"/>
        </w:rPr>
        <w:t xml:space="preserve">were highlighted so that </w:t>
      </w:r>
      <w:r w:rsidR="00D44C85">
        <w:rPr>
          <w:rFonts w:ascii="Verdana" w:hAnsi="Verdana"/>
          <w:sz w:val="22"/>
          <w:szCs w:val="22"/>
        </w:rPr>
        <w:t xml:space="preserve">lower values appear red and higher ones appear green. This allows trends to be </w:t>
      </w:r>
      <w:r w:rsidR="00A019B8">
        <w:rPr>
          <w:rFonts w:ascii="Verdana" w:hAnsi="Verdana"/>
          <w:sz w:val="22"/>
          <w:szCs w:val="22"/>
        </w:rPr>
        <w:t>visualised</w:t>
      </w:r>
      <w:r w:rsidR="00D44C85">
        <w:rPr>
          <w:rFonts w:ascii="Verdana" w:hAnsi="Verdana"/>
          <w:sz w:val="22"/>
          <w:szCs w:val="22"/>
        </w:rPr>
        <w:t xml:space="preserve"> quickly</w:t>
      </w:r>
      <w:r w:rsidR="00A019B8">
        <w:rPr>
          <w:rFonts w:ascii="Verdana" w:hAnsi="Verdana"/>
          <w:sz w:val="22"/>
          <w:szCs w:val="22"/>
        </w:rPr>
        <w:t xml:space="preserve">. </w:t>
      </w:r>
      <w:r w:rsidR="004F0CC6" w:rsidRPr="00620D59">
        <w:rPr>
          <w:rFonts w:ascii="Verdana" w:hAnsi="Verdana"/>
          <w:sz w:val="22"/>
          <w:szCs w:val="22"/>
        </w:rPr>
        <w:t>Bar graphs were also produced from th</w:t>
      </w:r>
      <w:r w:rsidR="00D44C85">
        <w:rPr>
          <w:rFonts w:ascii="Verdana" w:hAnsi="Verdana"/>
          <w:sz w:val="22"/>
          <w:szCs w:val="22"/>
        </w:rPr>
        <w:t xml:space="preserve">ese tables to aid </w:t>
      </w:r>
      <w:r w:rsidR="00935637">
        <w:rPr>
          <w:rFonts w:ascii="Verdana" w:hAnsi="Verdana"/>
          <w:sz w:val="22"/>
          <w:szCs w:val="22"/>
        </w:rPr>
        <w:t xml:space="preserve">the </w:t>
      </w:r>
      <w:r w:rsidR="00D44C85">
        <w:rPr>
          <w:rFonts w:ascii="Verdana" w:hAnsi="Verdana"/>
          <w:sz w:val="22"/>
          <w:szCs w:val="22"/>
        </w:rPr>
        <w:t>interpre</w:t>
      </w:r>
      <w:r w:rsidR="00A019B8">
        <w:rPr>
          <w:rFonts w:ascii="Verdana" w:hAnsi="Verdana"/>
          <w:sz w:val="22"/>
          <w:szCs w:val="22"/>
        </w:rPr>
        <w:t>tation</w:t>
      </w:r>
      <w:r w:rsidR="00D44C85">
        <w:rPr>
          <w:rFonts w:ascii="Verdana" w:hAnsi="Verdana"/>
          <w:sz w:val="22"/>
          <w:szCs w:val="22"/>
        </w:rPr>
        <w:t xml:space="preserve"> of the data.</w:t>
      </w:r>
    </w:p>
    <w:p w14:paraId="1421B92C" w14:textId="15E01F5B" w:rsidR="00E020AB" w:rsidRDefault="00E020AB" w:rsidP="0086404F">
      <w:pPr>
        <w:rPr>
          <w:rFonts w:ascii="Verdana" w:hAnsi="Verdana"/>
          <w:sz w:val="22"/>
          <w:szCs w:val="22"/>
        </w:rPr>
      </w:pPr>
      <w:r>
        <w:rPr>
          <w:rFonts w:ascii="Verdana" w:hAnsi="Verdana"/>
          <w:sz w:val="22"/>
          <w:szCs w:val="22"/>
        </w:rPr>
        <w:t xml:space="preserve">Data for Kent’s closest economic neighbours were obtained using the Chartered Institute of Public Finance and Accountancy (CIPFA) ranking. </w:t>
      </w:r>
      <w:r w:rsidR="00264B73">
        <w:rPr>
          <w:rFonts w:ascii="Verdana" w:hAnsi="Verdana"/>
          <w:sz w:val="22"/>
          <w:szCs w:val="22"/>
        </w:rPr>
        <w:t xml:space="preserve">The </w:t>
      </w:r>
      <w:r>
        <w:rPr>
          <w:rFonts w:ascii="Verdana" w:hAnsi="Verdana"/>
          <w:sz w:val="22"/>
          <w:szCs w:val="22"/>
        </w:rPr>
        <w:t xml:space="preserve">CIPFA neighbours </w:t>
      </w:r>
      <w:r w:rsidR="00264B73">
        <w:rPr>
          <w:rFonts w:ascii="Verdana" w:hAnsi="Verdana"/>
          <w:sz w:val="22"/>
          <w:szCs w:val="22"/>
        </w:rPr>
        <w:t xml:space="preserve">used presently </w:t>
      </w:r>
      <w:r>
        <w:rPr>
          <w:rFonts w:ascii="Verdana" w:hAnsi="Verdana"/>
          <w:sz w:val="22"/>
          <w:szCs w:val="22"/>
        </w:rPr>
        <w:t>are local authorities that rank closest to Kent based on 40 metrics from a broad range of socio-economic indicators</w:t>
      </w:r>
      <w:r>
        <w:rPr>
          <w:rFonts w:ascii="Verdana" w:hAnsi="Verdana"/>
          <w:sz w:val="22"/>
          <w:szCs w:val="22"/>
          <w:vertAlign w:val="superscript"/>
        </w:rPr>
        <w:t>5</w:t>
      </w:r>
      <w:r>
        <w:rPr>
          <w:rFonts w:ascii="Verdana" w:hAnsi="Verdana"/>
          <w:sz w:val="22"/>
          <w:szCs w:val="22"/>
        </w:rPr>
        <w:t xml:space="preserve">. This allows objective comparisons using other local authorities that are </w:t>
      </w:r>
      <w:proofErr w:type="gramStart"/>
      <w:r>
        <w:rPr>
          <w:rFonts w:ascii="Verdana" w:hAnsi="Verdana"/>
          <w:sz w:val="22"/>
          <w:szCs w:val="22"/>
        </w:rPr>
        <w:t>similar to</w:t>
      </w:r>
      <w:proofErr w:type="gramEnd"/>
      <w:r>
        <w:rPr>
          <w:rFonts w:ascii="Verdana" w:hAnsi="Verdana"/>
          <w:sz w:val="22"/>
          <w:szCs w:val="22"/>
        </w:rPr>
        <w:t xml:space="preserve"> Kent. Only </w:t>
      </w:r>
      <w:r w:rsidR="00642F12">
        <w:rPr>
          <w:rFonts w:ascii="Verdana" w:hAnsi="Verdana"/>
          <w:sz w:val="22"/>
          <w:szCs w:val="22"/>
        </w:rPr>
        <w:t xml:space="preserve">the top </w:t>
      </w:r>
      <w:r>
        <w:rPr>
          <w:rFonts w:ascii="Verdana" w:hAnsi="Verdana"/>
          <w:sz w:val="22"/>
          <w:szCs w:val="22"/>
        </w:rPr>
        <w:t xml:space="preserve">five </w:t>
      </w:r>
      <w:r w:rsidR="00642F12">
        <w:rPr>
          <w:rFonts w:ascii="Verdana" w:hAnsi="Verdana"/>
          <w:sz w:val="22"/>
          <w:szCs w:val="22"/>
        </w:rPr>
        <w:t xml:space="preserve">of Kent’s nearest </w:t>
      </w:r>
      <w:r>
        <w:rPr>
          <w:rFonts w:ascii="Verdana" w:hAnsi="Verdana"/>
          <w:sz w:val="22"/>
          <w:szCs w:val="22"/>
        </w:rPr>
        <w:t>neighbours were selected</w:t>
      </w:r>
      <w:r w:rsidR="00642F12">
        <w:rPr>
          <w:rFonts w:ascii="Verdana" w:hAnsi="Verdana"/>
          <w:sz w:val="22"/>
          <w:szCs w:val="22"/>
        </w:rPr>
        <w:t xml:space="preserve">, using the CIPFA neighbour ranking </w:t>
      </w:r>
      <w:r w:rsidR="00264B73">
        <w:rPr>
          <w:rFonts w:ascii="Verdana" w:hAnsi="Verdana"/>
          <w:sz w:val="22"/>
          <w:szCs w:val="22"/>
        </w:rPr>
        <w:t xml:space="preserve">given </w:t>
      </w:r>
      <w:r w:rsidR="00642F12">
        <w:rPr>
          <w:rFonts w:ascii="Verdana" w:hAnsi="Verdana"/>
          <w:sz w:val="22"/>
          <w:szCs w:val="22"/>
        </w:rPr>
        <w:t>on OHID</w:t>
      </w:r>
      <w:r w:rsidR="00264B73">
        <w:rPr>
          <w:rFonts w:ascii="Verdana" w:hAnsi="Verdana"/>
          <w:sz w:val="22"/>
          <w:szCs w:val="22"/>
        </w:rPr>
        <w:t>’s</w:t>
      </w:r>
      <w:r w:rsidR="00642F12">
        <w:rPr>
          <w:rFonts w:ascii="Verdana" w:hAnsi="Verdana"/>
          <w:sz w:val="22"/>
          <w:szCs w:val="22"/>
        </w:rPr>
        <w:t xml:space="preserve"> Fingertips. Five </w:t>
      </w:r>
      <w:r w:rsidR="00264B73">
        <w:rPr>
          <w:rFonts w:ascii="Verdana" w:hAnsi="Verdana"/>
          <w:sz w:val="22"/>
          <w:szCs w:val="22"/>
        </w:rPr>
        <w:t>neighbours</w:t>
      </w:r>
      <w:r w:rsidR="00642F12">
        <w:rPr>
          <w:rFonts w:ascii="Verdana" w:hAnsi="Verdana"/>
          <w:sz w:val="22"/>
          <w:szCs w:val="22"/>
        </w:rPr>
        <w:t xml:space="preserve"> were selected as an </w:t>
      </w:r>
      <w:r w:rsidR="00264B73">
        <w:rPr>
          <w:rFonts w:ascii="Verdana" w:hAnsi="Verdana"/>
          <w:sz w:val="22"/>
          <w:szCs w:val="22"/>
        </w:rPr>
        <w:t>arbitrary</w:t>
      </w:r>
      <w:r w:rsidR="00642F12">
        <w:rPr>
          <w:rFonts w:ascii="Verdana" w:hAnsi="Verdana"/>
          <w:sz w:val="22"/>
          <w:szCs w:val="22"/>
        </w:rPr>
        <w:t xml:space="preserve"> cut-off</w:t>
      </w:r>
      <w:r w:rsidR="008C148F">
        <w:rPr>
          <w:rFonts w:ascii="Verdana" w:hAnsi="Verdana"/>
          <w:sz w:val="22"/>
          <w:szCs w:val="22"/>
        </w:rPr>
        <w:t xml:space="preserve"> point</w:t>
      </w:r>
      <w:r w:rsidR="00642F12">
        <w:rPr>
          <w:rFonts w:ascii="Verdana" w:hAnsi="Verdana"/>
          <w:sz w:val="22"/>
          <w:szCs w:val="22"/>
        </w:rPr>
        <w:t xml:space="preserve">, </w:t>
      </w:r>
      <w:r w:rsidR="00264B73">
        <w:rPr>
          <w:rFonts w:ascii="Verdana" w:hAnsi="Verdana"/>
          <w:sz w:val="22"/>
          <w:szCs w:val="22"/>
        </w:rPr>
        <w:t>to</w:t>
      </w:r>
      <w:r w:rsidR="00642F12">
        <w:rPr>
          <w:rFonts w:ascii="Verdana" w:hAnsi="Verdana"/>
          <w:sz w:val="22"/>
          <w:szCs w:val="22"/>
        </w:rPr>
        <w:t xml:space="preserve"> keep the comparison</w:t>
      </w:r>
      <w:r w:rsidR="00264B73">
        <w:rPr>
          <w:rFonts w:ascii="Verdana" w:hAnsi="Verdana"/>
          <w:sz w:val="22"/>
          <w:szCs w:val="22"/>
        </w:rPr>
        <w:t xml:space="preserve"> concise</w:t>
      </w:r>
      <w:r w:rsidR="00642F12">
        <w:rPr>
          <w:rFonts w:ascii="Verdana" w:hAnsi="Verdana"/>
          <w:sz w:val="22"/>
          <w:szCs w:val="22"/>
        </w:rPr>
        <w:t>.</w:t>
      </w:r>
    </w:p>
    <w:p w14:paraId="5B30296B" w14:textId="34ED09FD" w:rsidR="00DC0BC7" w:rsidRPr="00620D59" w:rsidRDefault="00FF1140" w:rsidP="0086404F">
      <w:pPr>
        <w:rPr>
          <w:rFonts w:ascii="Verdana" w:hAnsi="Verdana"/>
          <w:sz w:val="22"/>
          <w:szCs w:val="22"/>
        </w:rPr>
      </w:pPr>
      <w:r w:rsidRPr="00620D59">
        <w:rPr>
          <w:rFonts w:ascii="Verdana" w:hAnsi="Verdana"/>
          <w:sz w:val="22"/>
          <w:szCs w:val="22"/>
        </w:rPr>
        <w:t xml:space="preserve">These neighbours were Lancashire, Essex, East Sussex, Hampshire, and West Sussex. </w:t>
      </w:r>
      <w:r w:rsidR="00D835AC" w:rsidRPr="00620D59">
        <w:rPr>
          <w:rFonts w:ascii="Verdana" w:hAnsi="Verdana"/>
          <w:sz w:val="22"/>
          <w:szCs w:val="22"/>
        </w:rPr>
        <w:t xml:space="preserve">An average for each activity type was </w:t>
      </w:r>
      <w:r w:rsidR="001E6212" w:rsidRPr="00620D59">
        <w:rPr>
          <w:rFonts w:ascii="Verdana" w:hAnsi="Verdana"/>
          <w:sz w:val="22"/>
          <w:szCs w:val="22"/>
        </w:rPr>
        <w:t>calculated</w:t>
      </w:r>
      <w:r w:rsidR="00D835AC" w:rsidRPr="00620D59">
        <w:rPr>
          <w:rFonts w:ascii="Verdana" w:hAnsi="Verdana"/>
          <w:sz w:val="22"/>
          <w:szCs w:val="22"/>
        </w:rPr>
        <w:t xml:space="preserve"> across all four reco</w:t>
      </w:r>
      <w:r w:rsidR="00F21AA5" w:rsidRPr="00620D59">
        <w:rPr>
          <w:rFonts w:ascii="Verdana" w:hAnsi="Verdana"/>
          <w:sz w:val="22"/>
          <w:szCs w:val="22"/>
        </w:rPr>
        <w:t>rded frequencies</w:t>
      </w:r>
      <w:r w:rsidR="001E6212" w:rsidRPr="00620D59">
        <w:rPr>
          <w:rFonts w:ascii="Verdana" w:hAnsi="Verdana"/>
          <w:sz w:val="22"/>
          <w:szCs w:val="22"/>
        </w:rPr>
        <w:t xml:space="preserve"> and years (a total of 24 values), which was then </w:t>
      </w:r>
      <w:r w:rsidR="00F21AA5" w:rsidRPr="00620D59">
        <w:rPr>
          <w:rFonts w:ascii="Verdana" w:hAnsi="Verdana"/>
          <w:sz w:val="22"/>
          <w:szCs w:val="22"/>
        </w:rPr>
        <w:t xml:space="preserve">used for </w:t>
      </w:r>
      <w:r w:rsidR="00D9687C">
        <w:rPr>
          <w:rFonts w:ascii="Verdana" w:hAnsi="Verdana"/>
          <w:sz w:val="22"/>
          <w:szCs w:val="22"/>
        </w:rPr>
        <w:t xml:space="preserve">this </w:t>
      </w:r>
      <w:r w:rsidR="00F21AA5" w:rsidRPr="00620D59">
        <w:rPr>
          <w:rFonts w:ascii="Verdana" w:hAnsi="Verdana"/>
          <w:sz w:val="22"/>
          <w:szCs w:val="22"/>
        </w:rPr>
        <w:t xml:space="preserve">comparison. </w:t>
      </w:r>
      <w:r w:rsidRPr="00620D59">
        <w:rPr>
          <w:rFonts w:ascii="Verdana" w:hAnsi="Verdana"/>
          <w:sz w:val="22"/>
          <w:szCs w:val="22"/>
        </w:rPr>
        <w:t xml:space="preserve">Kent was then ranked </w:t>
      </w:r>
      <w:r w:rsidR="00424783">
        <w:rPr>
          <w:rFonts w:ascii="Verdana" w:hAnsi="Verdana"/>
          <w:sz w:val="22"/>
          <w:szCs w:val="22"/>
        </w:rPr>
        <w:t xml:space="preserve">based </w:t>
      </w:r>
      <w:r w:rsidR="00F90E1D">
        <w:rPr>
          <w:rFonts w:ascii="Verdana" w:hAnsi="Verdana"/>
          <w:sz w:val="22"/>
          <w:szCs w:val="22"/>
        </w:rPr>
        <w:t>on</w:t>
      </w:r>
      <w:r w:rsidR="00424783">
        <w:rPr>
          <w:rFonts w:ascii="Verdana" w:hAnsi="Verdana"/>
          <w:sz w:val="22"/>
          <w:szCs w:val="22"/>
        </w:rPr>
        <w:t xml:space="preserve"> its rates </w:t>
      </w:r>
      <w:r w:rsidRPr="00620D59">
        <w:rPr>
          <w:rFonts w:ascii="Verdana" w:hAnsi="Verdana"/>
          <w:sz w:val="22"/>
          <w:szCs w:val="22"/>
        </w:rPr>
        <w:t xml:space="preserve">for each </w:t>
      </w:r>
      <w:r w:rsidR="00F90E1D">
        <w:rPr>
          <w:rFonts w:ascii="Verdana" w:hAnsi="Verdana"/>
          <w:sz w:val="22"/>
          <w:szCs w:val="22"/>
        </w:rPr>
        <w:t>activity type</w:t>
      </w:r>
      <w:r w:rsidRPr="00620D59">
        <w:rPr>
          <w:rFonts w:ascii="Verdana" w:hAnsi="Verdana"/>
          <w:sz w:val="22"/>
          <w:szCs w:val="22"/>
        </w:rPr>
        <w:t xml:space="preserve"> </w:t>
      </w:r>
      <w:r w:rsidR="007D1088">
        <w:rPr>
          <w:rFonts w:ascii="Verdana" w:hAnsi="Verdana"/>
          <w:sz w:val="22"/>
          <w:szCs w:val="22"/>
        </w:rPr>
        <w:t>against rate</w:t>
      </w:r>
      <w:r w:rsidR="005B77A8">
        <w:rPr>
          <w:rFonts w:ascii="Verdana" w:hAnsi="Verdana"/>
          <w:sz w:val="22"/>
          <w:szCs w:val="22"/>
        </w:rPr>
        <w:t>s</w:t>
      </w:r>
      <w:r w:rsidR="007D1088">
        <w:rPr>
          <w:rFonts w:ascii="Verdana" w:hAnsi="Verdana"/>
          <w:sz w:val="22"/>
          <w:szCs w:val="22"/>
        </w:rPr>
        <w:t xml:space="preserve"> from</w:t>
      </w:r>
      <w:r w:rsidRPr="00620D59">
        <w:rPr>
          <w:rFonts w:ascii="Verdana" w:hAnsi="Verdana"/>
          <w:sz w:val="22"/>
          <w:szCs w:val="22"/>
        </w:rPr>
        <w:t xml:space="preserve"> its neighbours.</w:t>
      </w:r>
      <w:r w:rsidR="001F4FBA">
        <w:rPr>
          <w:rFonts w:ascii="Verdana" w:hAnsi="Verdana"/>
          <w:sz w:val="22"/>
          <w:szCs w:val="22"/>
        </w:rPr>
        <w:t xml:space="preserve"> </w:t>
      </w:r>
      <w:r w:rsidR="00655C6E" w:rsidRPr="00620D59">
        <w:rPr>
          <w:rFonts w:ascii="Verdana" w:hAnsi="Verdana"/>
          <w:sz w:val="22"/>
          <w:szCs w:val="22"/>
        </w:rPr>
        <w:t xml:space="preserve">Using all the graphs and </w:t>
      </w:r>
      <w:r w:rsidR="00655C6E" w:rsidRPr="00F90E1D">
        <w:rPr>
          <w:rFonts w:ascii="Verdana" w:hAnsi="Verdana"/>
          <w:sz w:val="22"/>
          <w:szCs w:val="22"/>
        </w:rPr>
        <w:t>tables produced</w:t>
      </w:r>
      <w:r w:rsidR="006730F9" w:rsidRPr="00F90E1D">
        <w:rPr>
          <w:rFonts w:ascii="Verdana" w:hAnsi="Verdana"/>
          <w:sz w:val="22"/>
          <w:szCs w:val="22"/>
        </w:rPr>
        <w:t xml:space="preserve">, </w:t>
      </w:r>
      <w:r w:rsidR="006730F9" w:rsidRPr="00F90E1D">
        <w:rPr>
          <w:rFonts w:ascii="Verdana" w:hAnsi="Verdana"/>
          <w:sz w:val="22"/>
          <w:szCs w:val="22"/>
        </w:rPr>
        <w:lastRenderedPageBreak/>
        <w:t xml:space="preserve">summaries were </w:t>
      </w:r>
      <w:r w:rsidR="000D5996" w:rsidRPr="00F90E1D">
        <w:rPr>
          <w:rFonts w:ascii="Verdana" w:hAnsi="Verdana"/>
          <w:sz w:val="22"/>
          <w:szCs w:val="22"/>
        </w:rPr>
        <w:t>written</w:t>
      </w:r>
      <w:r w:rsidR="006730F9" w:rsidRPr="00F90E1D">
        <w:rPr>
          <w:rFonts w:ascii="Verdana" w:hAnsi="Verdana"/>
          <w:sz w:val="22"/>
          <w:szCs w:val="22"/>
        </w:rPr>
        <w:t xml:space="preserve"> </w:t>
      </w:r>
      <w:r w:rsidR="008C393E" w:rsidRPr="00F90E1D">
        <w:rPr>
          <w:rFonts w:ascii="Verdana" w:hAnsi="Verdana"/>
          <w:sz w:val="22"/>
          <w:szCs w:val="22"/>
        </w:rPr>
        <w:t>to</w:t>
      </w:r>
      <w:r w:rsidR="006730F9" w:rsidRPr="00F90E1D">
        <w:rPr>
          <w:rFonts w:ascii="Verdana" w:hAnsi="Verdana"/>
          <w:sz w:val="22"/>
          <w:szCs w:val="22"/>
        </w:rPr>
        <w:t xml:space="preserve"> highlight key findings</w:t>
      </w:r>
      <w:r w:rsidR="002C634A" w:rsidRPr="00F90E1D">
        <w:rPr>
          <w:rFonts w:ascii="Verdana" w:hAnsi="Verdana"/>
          <w:sz w:val="22"/>
          <w:szCs w:val="22"/>
        </w:rPr>
        <w:t>.</w:t>
      </w:r>
      <w:r w:rsidR="005E7E3E" w:rsidRPr="00F90E1D">
        <w:rPr>
          <w:rFonts w:ascii="Verdana" w:hAnsi="Verdana"/>
          <w:sz w:val="22"/>
          <w:szCs w:val="22"/>
        </w:rPr>
        <w:t xml:space="preserve"> </w:t>
      </w:r>
      <w:r w:rsidR="00100BD1">
        <w:rPr>
          <w:rFonts w:ascii="Verdana" w:hAnsi="Verdana"/>
          <w:sz w:val="22"/>
          <w:szCs w:val="22"/>
        </w:rPr>
        <w:t>Summaries</w:t>
      </w:r>
      <w:r w:rsidR="006F7D92" w:rsidRPr="00F90E1D">
        <w:rPr>
          <w:rFonts w:ascii="Verdana" w:hAnsi="Verdana"/>
          <w:sz w:val="22"/>
          <w:szCs w:val="22"/>
        </w:rPr>
        <w:t xml:space="preserve"> of key findings from six </w:t>
      </w:r>
      <w:r w:rsidR="00D9687C" w:rsidRPr="00F90E1D">
        <w:rPr>
          <w:rFonts w:ascii="Verdana" w:hAnsi="Verdana"/>
          <w:sz w:val="22"/>
          <w:szCs w:val="22"/>
        </w:rPr>
        <w:t>national-level</w:t>
      </w:r>
      <w:r w:rsidR="006F7D92" w:rsidRPr="00F90E1D">
        <w:rPr>
          <w:rFonts w:ascii="Verdana" w:hAnsi="Verdana"/>
          <w:sz w:val="22"/>
          <w:szCs w:val="22"/>
        </w:rPr>
        <w:t xml:space="preserve"> datasets </w:t>
      </w:r>
      <w:r w:rsidR="00F90E1D">
        <w:rPr>
          <w:rFonts w:ascii="Verdana" w:hAnsi="Verdana"/>
          <w:sz w:val="22"/>
          <w:szCs w:val="22"/>
        </w:rPr>
        <w:t xml:space="preserve">included in the release </w:t>
      </w:r>
      <w:r w:rsidR="006F7D92" w:rsidRPr="00F90E1D">
        <w:rPr>
          <w:rFonts w:ascii="Verdana" w:hAnsi="Verdana"/>
          <w:sz w:val="22"/>
          <w:szCs w:val="22"/>
        </w:rPr>
        <w:t>were also produced.</w:t>
      </w:r>
    </w:p>
    <w:p w14:paraId="19177A1B" w14:textId="1BDF53D5" w:rsidR="00DC7011" w:rsidRPr="00ED04CB" w:rsidRDefault="00ED04CB" w:rsidP="008F39C6">
      <w:pPr>
        <w:pStyle w:val="Heading2"/>
        <w:rPr>
          <w:rFonts w:ascii="Verdana" w:hAnsi="Verdana"/>
          <w:sz w:val="36"/>
          <w:szCs w:val="36"/>
        </w:rPr>
      </w:pPr>
      <w:bookmarkStart w:id="7" w:name="_Toc139375896"/>
      <w:r w:rsidRPr="00ED04CB">
        <w:rPr>
          <w:rFonts w:ascii="Verdana" w:hAnsi="Verdana"/>
          <w:sz w:val="36"/>
          <w:szCs w:val="36"/>
        </w:rPr>
        <w:t xml:space="preserve">4. </w:t>
      </w:r>
      <w:r w:rsidR="00C84BDF" w:rsidRPr="00ED04CB">
        <w:rPr>
          <w:rFonts w:ascii="Verdana" w:hAnsi="Verdana"/>
          <w:sz w:val="36"/>
          <w:szCs w:val="36"/>
        </w:rPr>
        <w:t>Results</w:t>
      </w:r>
      <w:bookmarkEnd w:id="7"/>
    </w:p>
    <w:p w14:paraId="27A228D8" w14:textId="010F3801" w:rsidR="00A52360" w:rsidRPr="00ED04CB" w:rsidRDefault="005B7C2E" w:rsidP="008F39C6">
      <w:pPr>
        <w:pStyle w:val="Heading3"/>
        <w:rPr>
          <w:rFonts w:ascii="Verdana" w:hAnsi="Verdana"/>
          <w:sz w:val="28"/>
          <w:szCs w:val="28"/>
        </w:rPr>
      </w:pPr>
      <w:bookmarkStart w:id="8" w:name="_Toc139375897"/>
      <w:r w:rsidRPr="00ED04CB">
        <w:rPr>
          <w:rFonts w:ascii="Verdana" w:hAnsi="Verdana"/>
          <w:sz w:val="28"/>
          <w:szCs w:val="28"/>
        </w:rPr>
        <w:t xml:space="preserve">4.1 </w:t>
      </w:r>
      <w:r w:rsidR="00A52360" w:rsidRPr="00ED04CB">
        <w:rPr>
          <w:rFonts w:ascii="Verdana" w:hAnsi="Verdana"/>
          <w:sz w:val="28"/>
          <w:szCs w:val="28"/>
        </w:rPr>
        <w:t xml:space="preserve">Overview of the study </w:t>
      </w:r>
      <w:r w:rsidRPr="00ED04CB">
        <w:rPr>
          <w:rFonts w:ascii="Verdana" w:hAnsi="Verdana"/>
          <w:sz w:val="28"/>
          <w:szCs w:val="28"/>
        </w:rPr>
        <w:t>population</w:t>
      </w:r>
      <w:bookmarkEnd w:id="8"/>
    </w:p>
    <w:p w14:paraId="6C910352" w14:textId="5645E654" w:rsidR="00073F52" w:rsidRDefault="005B7C2E" w:rsidP="0086404F">
      <w:pPr>
        <w:rPr>
          <w:rFonts w:ascii="Verdana" w:hAnsi="Verdana"/>
          <w:sz w:val="22"/>
          <w:szCs w:val="22"/>
        </w:rPr>
      </w:pPr>
      <w:r w:rsidRPr="00F90E1D">
        <w:rPr>
          <w:rFonts w:ascii="Verdana" w:hAnsi="Verdana"/>
          <w:sz w:val="22"/>
          <w:szCs w:val="22"/>
        </w:rPr>
        <w:t xml:space="preserve">The </w:t>
      </w:r>
      <w:r w:rsidR="009C3B69" w:rsidRPr="00F90E1D">
        <w:rPr>
          <w:rFonts w:ascii="Verdana" w:hAnsi="Verdana"/>
          <w:sz w:val="22"/>
          <w:szCs w:val="22"/>
        </w:rPr>
        <w:t>three core datasets concern</w:t>
      </w:r>
      <w:r w:rsidRPr="00F90E1D">
        <w:rPr>
          <w:rFonts w:ascii="Verdana" w:hAnsi="Verdana"/>
          <w:sz w:val="22"/>
          <w:szCs w:val="22"/>
        </w:rPr>
        <w:t xml:space="preserve"> between 300 </w:t>
      </w:r>
      <w:r w:rsidR="00A26DDB">
        <w:rPr>
          <w:rFonts w:ascii="Verdana" w:hAnsi="Verdana"/>
          <w:sz w:val="22"/>
          <w:szCs w:val="22"/>
        </w:rPr>
        <w:t>to</w:t>
      </w:r>
      <w:r w:rsidRPr="00F90E1D">
        <w:rPr>
          <w:rFonts w:ascii="Verdana" w:hAnsi="Verdana"/>
          <w:sz w:val="22"/>
          <w:szCs w:val="22"/>
        </w:rPr>
        <w:t xml:space="preserve"> 600 s</w:t>
      </w:r>
      <w:r w:rsidR="00266728">
        <w:rPr>
          <w:rFonts w:ascii="Verdana" w:hAnsi="Verdana"/>
          <w:sz w:val="22"/>
          <w:szCs w:val="22"/>
        </w:rPr>
        <w:t>urvey</w:t>
      </w:r>
      <w:r w:rsidRPr="00F90E1D">
        <w:rPr>
          <w:rFonts w:ascii="Verdana" w:hAnsi="Verdana"/>
          <w:sz w:val="22"/>
          <w:szCs w:val="22"/>
        </w:rPr>
        <w:t xml:space="preserve"> participants from each district, </w:t>
      </w:r>
      <w:r w:rsidR="00D57989">
        <w:rPr>
          <w:rFonts w:ascii="Verdana" w:hAnsi="Verdana"/>
          <w:sz w:val="22"/>
          <w:szCs w:val="22"/>
        </w:rPr>
        <w:t xml:space="preserve">with </w:t>
      </w:r>
      <w:r w:rsidR="000F7CEC">
        <w:rPr>
          <w:rFonts w:ascii="Verdana" w:hAnsi="Verdana"/>
          <w:sz w:val="22"/>
          <w:szCs w:val="22"/>
        </w:rPr>
        <w:t xml:space="preserve">the number of </w:t>
      </w:r>
      <w:r w:rsidR="00D57989">
        <w:rPr>
          <w:rFonts w:ascii="Verdana" w:hAnsi="Verdana"/>
          <w:sz w:val="22"/>
          <w:szCs w:val="22"/>
        </w:rPr>
        <w:t xml:space="preserve">participants decreasing in each successive year for most </w:t>
      </w:r>
      <w:r w:rsidR="000F7CEC">
        <w:rPr>
          <w:rFonts w:ascii="Verdana" w:hAnsi="Verdana"/>
          <w:sz w:val="22"/>
          <w:szCs w:val="22"/>
        </w:rPr>
        <w:t>districts</w:t>
      </w:r>
      <w:r w:rsidR="0085370B" w:rsidRPr="00F90E1D">
        <w:rPr>
          <w:rFonts w:ascii="Verdana" w:hAnsi="Verdana"/>
          <w:sz w:val="22"/>
          <w:szCs w:val="22"/>
        </w:rPr>
        <w:t xml:space="preserve"> (see </w:t>
      </w:r>
      <w:r w:rsidR="004F01D1">
        <w:rPr>
          <w:rFonts w:ascii="Verdana" w:hAnsi="Verdana"/>
          <w:sz w:val="22"/>
          <w:szCs w:val="22"/>
        </w:rPr>
        <w:t>Table</w:t>
      </w:r>
      <w:r w:rsidR="0085370B" w:rsidRPr="00F90E1D">
        <w:rPr>
          <w:rFonts w:ascii="Verdana" w:hAnsi="Verdana"/>
          <w:sz w:val="22"/>
          <w:szCs w:val="22"/>
        </w:rPr>
        <w:t xml:space="preserve"> 1</w:t>
      </w:r>
      <w:r w:rsidR="00266728">
        <w:rPr>
          <w:rFonts w:ascii="Verdana" w:hAnsi="Verdana"/>
          <w:sz w:val="22"/>
          <w:szCs w:val="22"/>
        </w:rPr>
        <w:t xml:space="preserve"> below</w:t>
      </w:r>
      <w:r w:rsidR="0085370B" w:rsidRPr="00F90E1D">
        <w:rPr>
          <w:rFonts w:ascii="Verdana" w:hAnsi="Verdana"/>
          <w:sz w:val="22"/>
          <w:szCs w:val="22"/>
        </w:rPr>
        <w:t>)</w:t>
      </w:r>
      <w:r w:rsidR="00FA6943" w:rsidRPr="00F90E1D">
        <w:rPr>
          <w:rFonts w:ascii="Verdana" w:hAnsi="Verdana"/>
          <w:sz w:val="22"/>
          <w:szCs w:val="22"/>
        </w:rPr>
        <w:t xml:space="preserve">. </w:t>
      </w:r>
      <w:r w:rsidR="00F97D5B" w:rsidRPr="00F90E1D">
        <w:rPr>
          <w:rFonts w:ascii="Verdana" w:hAnsi="Verdana"/>
          <w:sz w:val="22"/>
          <w:szCs w:val="22"/>
        </w:rPr>
        <w:t xml:space="preserve">Canterbury and Maidstone have the most </w:t>
      </w:r>
      <w:r w:rsidR="00A04941" w:rsidRPr="00F90E1D">
        <w:rPr>
          <w:rFonts w:ascii="Verdana" w:hAnsi="Verdana"/>
          <w:sz w:val="22"/>
          <w:szCs w:val="22"/>
        </w:rPr>
        <w:t>participants</w:t>
      </w:r>
      <w:r w:rsidR="00F97D5B" w:rsidRPr="00F90E1D">
        <w:rPr>
          <w:rFonts w:ascii="Verdana" w:hAnsi="Verdana"/>
          <w:sz w:val="22"/>
          <w:szCs w:val="22"/>
        </w:rPr>
        <w:t xml:space="preserve">, </w:t>
      </w:r>
      <w:r w:rsidR="00371A40">
        <w:rPr>
          <w:rFonts w:ascii="Verdana" w:hAnsi="Verdana"/>
          <w:sz w:val="22"/>
          <w:szCs w:val="22"/>
        </w:rPr>
        <w:t xml:space="preserve">making up </w:t>
      </w:r>
      <w:r w:rsidR="001B3681">
        <w:rPr>
          <w:rFonts w:ascii="Verdana" w:hAnsi="Verdana"/>
          <w:sz w:val="22"/>
          <w:szCs w:val="22"/>
        </w:rPr>
        <w:t xml:space="preserve">11% and 10.8% of the total participants respectively. </w:t>
      </w:r>
      <w:r w:rsidR="00707C71">
        <w:rPr>
          <w:rFonts w:ascii="Verdana" w:hAnsi="Verdana"/>
          <w:sz w:val="22"/>
          <w:szCs w:val="22"/>
        </w:rPr>
        <w:t xml:space="preserve">Gravesham </w:t>
      </w:r>
      <w:r w:rsidR="00F97D5B" w:rsidRPr="00F90E1D">
        <w:rPr>
          <w:rFonts w:ascii="Verdana" w:hAnsi="Verdana"/>
          <w:sz w:val="22"/>
          <w:szCs w:val="22"/>
        </w:rPr>
        <w:t>and</w:t>
      </w:r>
      <w:r w:rsidR="00707C71">
        <w:rPr>
          <w:rFonts w:ascii="Verdana" w:hAnsi="Verdana"/>
          <w:sz w:val="22"/>
          <w:szCs w:val="22"/>
        </w:rPr>
        <w:t xml:space="preserve"> Dartford </w:t>
      </w:r>
      <w:r w:rsidR="00F97D5B" w:rsidRPr="00F90E1D">
        <w:rPr>
          <w:rFonts w:ascii="Verdana" w:hAnsi="Verdana"/>
          <w:sz w:val="22"/>
          <w:szCs w:val="22"/>
        </w:rPr>
        <w:t>have the least</w:t>
      </w:r>
      <w:r w:rsidR="001B3681">
        <w:rPr>
          <w:rFonts w:ascii="Verdana" w:hAnsi="Verdana"/>
          <w:sz w:val="22"/>
          <w:szCs w:val="22"/>
        </w:rPr>
        <w:t xml:space="preserve">, with </w:t>
      </w:r>
      <w:r w:rsidR="00D432B4">
        <w:rPr>
          <w:rFonts w:ascii="Verdana" w:hAnsi="Verdana"/>
          <w:sz w:val="22"/>
          <w:szCs w:val="22"/>
        </w:rPr>
        <w:t>each</w:t>
      </w:r>
      <w:r w:rsidR="002815C7">
        <w:rPr>
          <w:rFonts w:ascii="Verdana" w:hAnsi="Verdana"/>
          <w:sz w:val="22"/>
          <w:szCs w:val="22"/>
        </w:rPr>
        <w:t xml:space="preserve"> </w:t>
      </w:r>
      <w:r w:rsidR="00D432B4">
        <w:rPr>
          <w:rFonts w:ascii="Verdana" w:hAnsi="Verdana"/>
          <w:sz w:val="22"/>
          <w:szCs w:val="22"/>
        </w:rPr>
        <w:t>comprising</w:t>
      </w:r>
      <w:r w:rsidR="002815C7">
        <w:rPr>
          <w:rFonts w:ascii="Verdana" w:hAnsi="Verdana"/>
          <w:sz w:val="22"/>
          <w:szCs w:val="22"/>
        </w:rPr>
        <w:t xml:space="preserve"> 6.7% of survey </w:t>
      </w:r>
      <w:r w:rsidR="00D57989">
        <w:rPr>
          <w:rFonts w:ascii="Verdana" w:hAnsi="Verdana"/>
          <w:sz w:val="22"/>
          <w:szCs w:val="22"/>
        </w:rPr>
        <w:t>participants</w:t>
      </w:r>
      <w:r w:rsidR="002815C7">
        <w:rPr>
          <w:rFonts w:ascii="Verdana" w:hAnsi="Verdana"/>
          <w:sz w:val="22"/>
          <w:szCs w:val="22"/>
        </w:rPr>
        <w:t>.</w:t>
      </w:r>
    </w:p>
    <w:p w14:paraId="6876330D" w14:textId="6F8B3B0B" w:rsidR="00073F52" w:rsidRPr="007B5554" w:rsidRDefault="00073F52" w:rsidP="00CE5181">
      <w:pPr>
        <w:spacing w:line="240" w:lineRule="auto"/>
        <w:rPr>
          <w:rFonts w:ascii="Verdana" w:hAnsi="Verdana"/>
          <w:b/>
          <w:bCs/>
          <w:sz w:val="22"/>
          <w:szCs w:val="22"/>
        </w:rPr>
      </w:pPr>
      <w:r w:rsidRPr="007B5554">
        <w:rPr>
          <w:rFonts w:ascii="Verdana" w:hAnsi="Verdana"/>
          <w:b/>
          <w:bCs/>
          <w:sz w:val="22"/>
          <w:szCs w:val="22"/>
        </w:rPr>
        <w:t>Table 1. Population sizes used in the core datasets by District and Year (</w:t>
      </w:r>
      <w:r w:rsidR="000F1AEF">
        <w:rPr>
          <w:rFonts w:ascii="Verdana" w:hAnsi="Verdana"/>
          <w:b/>
          <w:bCs/>
          <w:sz w:val="22"/>
          <w:szCs w:val="22"/>
        </w:rPr>
        <w:t xml:space="preserve">Relative to each other; </w:t>
      </w:r>
      <w:r w:rsidRPr="007B5554">
        <w:rPr>
          <w:rFonts w:ascii="Verdana" w:hAnsi="Verdana"/>
          <w:b/>
          <w:bCs/>
          <w:sz w:val="22"/>
          <w:szCs w:val="22"/>
        </w:rPr>
        <w:t>values in green are higher, those in amber are intermediate and values marked in red are lower)</w:t>
      </w:r>
      <w:r w:rsidR="006532EB">
        <w:rPr>
          <w:rFonts w:ascii="Verdana" w:hAnsi="Verdana"/>
          <w:b/>
          <w:bCs/>
          <w:sz w:val="22"/>
          <w:szCs w:val="22"/>
        </w:rPr>
        <w:t>.</w:t>
      </w:r>
    </w:p>
    <w:tbl>
      <w:tblPr>
        <w:tblpPr w:leftFromText="180" w:rightFromText="180" w:vertAnchor="text" w:horzAnchor="margin" w:tblpY="34"/>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732"/>
        <w:gridCol w:w="732"/>
        <w:gridCol w:w="732"/>
        <w:gridCol w:w="769"/>
        <w:gridCol w:w="769"/>
        <w:gridCol w:w="792"/>
        <w:gridCol w:w="929"/>
        <w:gridCol w:w="1423"/>
      </w:tblGrid>
      <w:tr w:rsidR="00073F52" w:rsidRPr="00612FD8" w14:paraId="7F3D7D8F" w14:textId="77777777" w:rsidTr="007B5554">
        <w:trPr>
          <w:trHeight w:val="444"/>
        </w:trPr>
        <w:tc>
          <w:tcPr>
            <w:tcW w:w="2319" w:type="dxa"/>
            <w:vMerge w:val="restart"/>
            <w:shd w:val="clear" w:color="auto" w:fill="2D7C82"/>
            <w:noWrap/>
            <w:vAlign w:val="bottom"/>
            <w:hideMark/>
          </w:tcPr>
          <w:p w14:paraId="5828E596" w14:textId="77777777" w:rsidR="00073F52" w:rsidRPr="00612FD8" w:rsidRDefault="00073F52" w:rsidP="007B5554">
            <w:pPr>
              <w:spacing w:before="0" w:after="0" w:line="240" w:lineRule="auto"/>
              <w:jc w:val="center"/>
              <w:rPr>
                <w:rFonts w:eastAsia="Times New Roman"/>
                <w:b/>
                <w:bCs/>
                <w:color w:val="FFFFFF" w:themeColor="background1"/>
                <w:sz w:val="28"/>
                <w:szCs w:val="28"/>
              </w:rPr>
            </w:pPr>
            <w:r w:rsidRPr="00612FD8">
              <w:rPr>
                <w:rFonts w:eastAsia="Times New Roman"/>
                <w:b/>
                <w:bCs/>
                <w:color w:val="FFFFFF" w:themeColor="background1"/>
                <w:sz w:val="28"/>
                <w:szCs w:val="28"/>
              </w:rPr>
              <w:t>District</w:t>
            </w:r>
          </w:p>
        </w:tc>
        <w:tc>
          <w:tcPr>
            <w:tcW w:w="4526" w:type="dxa"/>
            <w:gridSpan w:val="6"/>
            <w:shd w:val="clear" w:color="auto" w:fill="2D7C82"/>
            <w:noWrap/>
            <w:vAlign w:val="bottom"/>
            <w:hideMark/>
          </w:tcPr>
          <w:p w14:paraId="33FC90DF" w14:textId="77777777" w:rsidR="00073F52" w:rsidRPr="00612FD8" w:rsidRDefault="00073F52" w:rsidP="007B5554">
            <w:pPr>
              <w:spacing w:before="0" w:after="0" w:line="240" w:lineRule="auto"/>
              <w:jc w:val="center"/>
              <w:rPr>
                <w:rFonts w:eastAsia="Times New Roman"/>
                <w:b/>
                <w:bCs/>
                <w:color w:val="FFFFFF" w:themeColor="background1"/>
                <w:sz w:val="28"/>
                <w:szCs w:val="28"/>
              </w:rPr>
            </w:pPr>
            <w:r w:rsidRPr="00612FD8">
              <w:rPr>
                <w:rFonts w:eastAsia="Times New Roman"/>
                <w:b/>
                <w:bCs/>
                <w:color w:val="FFFFFF" w:themeColor="background1"/>
                <w:sz w:val="28"/>
                <w:szCs w:val="28"/>
              </w:rPr>
              <w:t>Year</w:t>
            </w:r>
          </w:p>
        </w:tc>
        <w:tc>
          <w:tcPr>
            <w:tcW w:w="929" w:type="dxa"/>
            <w:vMerge w:val="restart"/>
            <w:shd w:val="clear" w:color="auto" w:fill="2D7C82"/>
            <w:noWrap/>
            <w:vAlign w:val="bottom"/>
            <w:hideMark/>
          </w:tcPr>
          <w:p w14:paraId="7B4E8BA2" w14:textId="77777777" w:rsidR="00073F52" w:rsidRPr="00612FD8" w:rsidRDefault="00073F52" w:rsidP="007B5554">
            <w:pPr>
              <w:spacing w:before="0" w:after="0" w:line="240" w:lineRule="auto"/>
              <w:jc w:val="center"/>
              <w:rPr>
                <w:rFonts w:eastAsia="Times New Roman"/>
                <w:b/>
                <w:bCs/>
                <w:color w:val="FFFFFF" w:themeColor="background1"/>
                <w:sz w:val="28"/>
                <w:szCs w:val="28"/>
              </w:rPr>
            </w:pPr>
            <w:r w:rsidRPr="00612FD8">
              <w:rPr>
                <w:rFonts w:eastAsia="Times New Roman"/>
                <w:b/>
                <w:bCs/>
                <w:color w:val="FFFFFF" w:themeColor="background1"/>
                <w:sz w:val="28"/>
                <w:szCs w:val="28"/>
              </w:rPr>
              <w:t>Total</w:t>
            </w:r>
          </w:p>
        </w:tc>
        <w:tc>
          <w:tcPr>
            <w:tcW w:w="1423" w:type="dxa"/>
            <w:vMerge w:val="restart"/>
            <w:shd w:val="clear" w:color="auto" w:fill="2D7C82"/>
            <w:noWrap/>
            <w:vAlign w:val="bottom"/>
            <w:hideMark/>
          </w:tcPr>
          <w:p w14:paraId="0F4FB0C7" w14:textId="77777777" w:rsidR="00073F52" w:rsidRPr="00612FD8" w:rsidRDefault="00073F52" w:rsidP="007B5554">
            <w:pPr>
              <w:spacing w:before="0" w:after="0" w:line="240" w:lineRule="auto"/>
              <w:jc w:val="center"/>
              <w:rPr>
                <w:rFonts w:eastAsia="Times New Roman"/>
                <w:b/>
                <w:bCs/>
                <w:color w:val="FFFFFF" w:themeColor="background1"/>
                <w:sz w:val="28"/>
                <w:szCs w:val="28"/>
              </w:rPr>
            </w:pPr>
            <w:r w:rsidRPr="00612FD8">
              <w:rPr>
                <w:rFonts w:eastAsia="Times New Roman"/>
                <w:b/>
                <w:bCs/>
                <w:color w:val="FFFFFF" w:themeColor="background1"/>
                <w:sz w:val="28"/>
                <w:szCs w:val="28"/>
              </w:rPr>
              <w:t>Total (%)</w:t>
            </w:r>
          </w:p>
        </w:tc>
      </w:tr>
      <w:tr w:rsidR="007B5554" w:rsidRPr="00073F52" w14:paraId="1D0CBE9C" w14:textId="77777777" w:rsidTr="007B5554">
        <w:trPr>
          <w:trHeight w:val="444"/>
        </w:trPr>
        <w:tc>
          <w:tcPr>
            <w:tcW w:w="2319" w:type="dxa"/>
            <w:vMerge/>
            <w:tcBorders>
              <w:bottom w:val="single" w:sz="4" w:space="0" w:color="auto"/>
            </w:tcBorders>
            <w:shd w:val="clear" w:color="auto" w:fill="2D7C82"/>
            <w:vAlign w:val="center"/>
            <w:hideMark/>
          </w:tcPr>
          <w:p w14:paraId="7506CAC9" w14:textId="77777777" w:rsidR="00073F52" w:rsidRPr="00612FD8" w:rsidRDefault="00073F52" w:rsidP="007B5554">
            <w:pPr>
              <w:spacing w:before="0" w:after="0" w:line="240" w:lineRule="auto"/>
              <w:jc w:val="center"/>
              <w:rPr>
                <w:rFonts w:eastAsia="Times New Roman"/>
                <w:b/>
                <w:bCs/>
                <w:color w:val="FFFFFF" w:themeColor="background1"/>
              </w:rPr>
            </w:pPr>
          </w:p>
        </w:tc>
        <w:tc>
          <w:tcPr>
            <w:tcW w:w="732" w:type="dxa"/>
            <w:tcBorders>
              <w:bottom w:val="single" w:sz="4" w:space="0" w:color="auto"/>
            </w:tcBorders>
            <w:shd w:val="clear" w:color="auto" w:fill="2D7C82"/>
            <w:noWrap/>
            <w:vAlign w:val="bottom"/>
            <w:hideMark/>
          </w:tcPr>
          <w:p w14:paraId="209E7A55" w14:textId="77777777" w:rsidR="00073F52" w:rsidRPr="00612FD8" w:rsidRDefault="00073F52" w:rsidP="007B5554">
            <w:pPr>
              <w:spacing w:before="0" w:after="0" w:line="240" w:lineRule="auto"/>
              <w:jc w:val="center"/>
              <w:rPr>
                <w:rFonts w:eastAsia="Times New Roman"/>
                <w:b/>
                <w:bCs/>
                <w:color w:val="FFFFFF" w:themeColor="background1"/>
                <w:sz w:val="22"/>
                <w:szCs w:val="22"/>
              </w:rPr>
            </w:pPr>
            <w:r w:rsidRPr="00612FD8">
              <w:rPr>
                <w:rFonts w:eastAsia="Times New Roman"/>
                <w:b/>
                <w:bCs/>
                <w:color w:val="FFFFFF" w:themeColor="background1"/>
                <w:sz w:val="22"/>
                <w:szCs w:val="22"/>
              </w:rPr>
              <w:t>2016</w:t>
            </w:r>
          </w:p>
        </w:tc>
        <w:tc>
          <w:tcPr>
            <w:tcW w:w="732" w:type="dxa"/>
            <w:tcBorders>
              <w:bottom w:val="single" w:sz="4" w:space="0" w:color="auto"/>
            </w:tcBorders>
            <w:shd w:val="clear" w:color="auto" w:fill="2D7C82"/>
            <w:noWrap/>
            <w:vAlign w:val="bottom"/>
            <w:hideMark/>
          </w:tcPr>
          <w:p w14:paraId="7AC7C559" w14:textId="77777777" w:rsidR="00073F52" w:rsidRPr="00612FD8" w:rsidRDefault="00073F52" w:rsidP="007B5554">
            <w:pPr>
              <w:spacing w:before="0" w:after="0" w:line="240" w:lineRule="auto"/>
              <w:jc w:val="center"/>
              <w:rPr>
                <w:rFonts w:eastAsia="Times New Roman"/>
                <w:b/>
                <w:bCs/>
                <w:color w:val="FFFFFF" w:themeColor="background1"/>
                <w:sz w:val="22"/>
                <w:szCs w:val="22"/>
              </w:rPr>
            </w:pPr>
            <w:r w:rsidRPr="00612FD8">
              <w:rPr>
                <w:rFonts w:eastAsia="Times New Roman"/>
                <w:b/>
                <w:bCs/>
                <w:color w:val="FFFFFF" w:themeColor="background1"/>
                <w:sz w:val="22"/>
                <w:szCs w:val="22"/>
              </w:rPr>
              <w:t>2017</w:t>
            </w:r>
          </w:p>
        </w:tc>
        <w:tc>
          <w:tcPr>
            <w:tcW w:w="732" w:type="dxa"/>
            <w:tcBorders>
              <w:bottom w:val="single" w:sz="4" w:space="0" w:color="auto"/>
            </w:tcBorders>
            <w:shd w:val="clear" w:color="auto" w:fill="2D7C82"/>
            <w:noWrap/>
            <w:vAlign w:val="bottom"/>
            <w:hideMark/>
          </w:tcPr>
          <w:p w14:paraId="5CEAE98E" w14:textId="77777777" w:rsidR="00073F52" w:rsidRPr="00612FD8" w:rsidRDefault="00073F52" w:rsidP="007B5554">
            <w:pPr>
              <w:spacing w:before="0" w:after="0" w:line="240" w:lineRule="auto"/>
              <w:jc w:val="center"/>
              <w:rPr>
                <w:rFonts w:eastAsia="Times New Roman"/>
                <w:b/>
                <w:bCs/>
                <w:color w:val="FFFFFF" w:themeColor="background1"/>
                <w:sz w:val="22"/>
                <w:szCs w:val="22"/>
              </w:rPr>
            </w:pPr>
            <w:r w:rsidRPr="00612FD8">
              <w:rPr>
                <w:rFonts w:eastAsia="Times New Roman"/>
                <w:b/>
                <w:bCs/>
                <w:color w:val="FFFFFF" w:themeColor="background1"/>
                <w:sz w:val="22"/>
                <w:szCs w:val="22"/>
              </w:rPr>
              <w:t>2018</w:t>
            </w:r>
          </w:p>
        </w:tc>
        <w:tc>
          <w:tcPr>
            <w:tcW w:w="769" w:type="dxa"/>
            <w:tcBorders>
              <w:bottom w:val="single" w:sz="4" w:space="0" w:color="auto"/>
            </w:tcBorders>
            <w:shd w:val="clear" w:color="auto" w:fill="2D7C82"/>
            <w:noWrap/>
            <w:vAlign w:val="bottom"/>
            <w:hideMark/>
          </w:tcPr>
          <w:p w14:paraId="3B0EE11A" w14:textId="77777777" w:rsidR="00073F52" w:rsidRPr="00612FD8" w:rsidRDefault="00073F52" w:rsidP="007B5554">
            <w:pPr>
              <w:spacing w:before="0" w:after="0" w:line="240" w:lineRule="auto"/>
              <w:jc w:val="center"/>
              <w:rPr>
                <w:rFonts w:eastAsia="Times New Roman"/>
                <w:b/>
                <w:bCs/>
                <w:color w:val="FFFFFF" w:themeColor="background1"/>
                <w:sz w:val="22"/>
                <w:szCs w:val="22"/>
              </w:rPr>
            </w:pPr>
            <w:r w:rsidRPr="00612FD8">
              <w:rPr>
                <w:rFonts w:eastAsia="Times New Roman"/>
                <w:b/>
                <w:bCs/>
                <w:color w:val="FFFFFF" w:themeColor="background1"/>
                <w:sz w:val="22"/>
                <w:szCs w:val="22"/>
              </w:rPr>
              <w:t>2019</w:t>
            </w:r>
          </w:p>
        </w:tc>
        <w:tc>
          <w:tcPr>
            <w:tcW w:w="769" w:type="dxa"/>
            <w:tcBorders>
              <w:bottom w:val="single" w:sz="4" w:space="0" w:color="auto"/>
            </w:tcBorders>
            <w:shd w:val="clear" w:color="auto" w:fill="2D7C82"/>
            <w:noWrap/>
            <w:vAlign w:val="bottom"/>
            <w:hideMark/>
          </w:tcPr>
          <w:p w14:paraId="44DE673B" w14:textId="77777777" w:rsidR="00073F52" w:rsidRPr="00612FD8" w:rsidRDefault="00073F52" w:rsidP="007B5554">
            <w:pPr>
              <w:spacing w:before="0" w:after="0" w:line="240" w:lineRule="auto"/>
              <w:jc w:val="center"/>
              <w:rPr>
                <w:rFonts w:eastAsia="Times New Roman"/>
                <w:b/>
                <w:bCs/>
                <w:color w:val="FFFFFF" w:themeColor="background1"/>
                <w:sz w:val="22"/>
                <w:szCs w:val="22"/>
              </w:rPr>
            </w:pPr>
            <w:r w:rsidRPr="00612FD8">
              <w:rPr>
                <w:rFonts w:eastAsia="Times New Roman"/>
                <w:b/>
                <w:bCs/>
                <w:color w:val="FFFFFF" w:themeColor="background1"/>
                <w:sz w:val="22"/>
                <w:szCs w:val="22"/>
              </w:rPr>
              <w:t>2020</w:t>
            </w:r>
          </w:p>
        </w:tc>
        <w:tc>
          <w:tcPr>
            <w:tcW w:w="791" w:type="dxa"/>
            <w:tcBorders>
              <w:bottom w:val="single" w:sz="4" w:space="0" w:color="auto"/>
            </w:tcBorders>
            <w:shd w:val="clear" w:color="auto" w:fill="2D7C82"/>
            <w:noWrap/>
            <w:vAlign w:val="bottom"/>
            <w:hideMark/>
          </w:tcPr>
          <w:p w14:paraId="232B1289" w14:textId="77777777" w:rsidR="00073F52" w:rsidRPr="00612FD8" w:rsidRDefault="00073F52" w:rsidP="007B5554">
            <w:pPr>
              <w:spacing w:before="0" w:after="0" w:line="240" w:lineRule="auto"/>
              <w:jc w:val="center"/>
              <w:rPr>
                <w:rFonts w:eastAsia="Times New Roman"/>
                <w:b/>
                <w:bCs/>
                <w:color w:val="FFFFFF" w:themeColor="background1"/>
                <w:sz w:val="22"/>
                <w:szCs w:val="22"/>
              </w:rPr>
            </w:pPr>
            <w:r w:rsidRPr="00612FD8">
              <w:rPr>
                <w:rFonts w:eastAsia="Times New Roman"/>
                <w:b/>
                <w:bCs/>
                <w:color w:val="FFFFFF" w:themeColor="background1"/>
                <w:sz w:val="22"/>
                <w:szCs w:val="22"/>
              </w:rPr>
              <w:t>2021</w:t>
            </w:r>
          </w:p>
        </w:tc>
        <w:tc>
          <w:tcPr>
            <w:tcW w:w="929" w:type="dxa"/>
            <w:vMerge/>
            <w:tcBorders>
              <w:bottom w:val="single" w:sz="4" w:space="0" w:color="auto"/>
            </w:tcBorders>
            <w:shd w:val="clear" w:color="auto" w:fill="2D7C82"/>
            <w:vAlign w:val="center"/>
            <w:hideMark/>
          </w:tcPr>
          <w:p w14:paraId="4672CBEA" w14:textId="77777777" w:rsidR="00073F52" w:rsidRPr="00612FD8" w:rsidRDefault="00073F52" w:rsidP="007B5554">
            <w:pPr>
              <w:spacing w:before="0" w:after="0" w:line="240" w:lineRule="auto"/>
              <w:jc w:val="center"/>
              <w:rPr>
                <w:rFonts w:eastAsia="Times New Roman"/>
                <w:b/>
                <w:bCs/>
                <w:color w:val="000000"/>
              </w:rPr>
            </w:pPr>
          </w:p>
        </w:tc>
        <w:tc>
          <w:tcPr>
            <w:tcW w:w="1423" w:type="dxa"/>
            <w:vMerge/>
            <w:tcBorders>
              <w:bottom w:val="single" w:sz="4" w:space="0" w:color="auto"/>
            </w:tcBorders>
            <w:shd w:val="clear" w:color="auto" w:fill="2D7C82"/>
            <w:vAlign w:val="center"/>
            <w:hideMark/>
          </w:tcPr>
          <w:p w14:paraId="3D05A80D" w14:textId="77777777" w:rsidR="00073F52" w:rsidRPr="00612FD8" w:rsidRDefault="00073F52" w:rsidP="007B5554">
            <w:pPr>
              <w:spacing w:before="0" w:after="0" w:line="240" w:lineRule="auto"/>
              <w:jc w:val="center"/>
              <w:rPr>
                <w:rFonts w:eastAsia="Times New Roman"/>
                <w:b/>
                <w:bCs/>
                <w:color w:val="000000"/>
              </w:rPr>
            </w:pPr>
          </w:p>
        </w:tc>
      </w:tr>
      <w:tr w:rsidR="007B5554" w:rsidRPr="00612FD8" w14:paraId="3C664B2D" w14:textId="77777777" w:rsidTr="007B5554">
        <w:trPr>
          <w:trHeight w:val="424"/>
        </w:trPr>
        <w:tc>
          <w:tcPr>
            <w:tcW w:w="2319" w:type="dxa"/>
            <w:tcBorders>
              <w:top w:val="single" w:sz="4" w:space="0" w:color="auto"/>
              <w:left w:val="single" w:sz="4" w:space="0" w:color="auto"/>
              <w:bottom w:val="nil"/>
              <w:right w:val="single" w:sz="4" w:space="0" w:color="auto"/>
            </w:tcBorders>
            <w:shd w:val="clear" w:color="auto" w:fill="auto"/>
            <w:noWrap/>
            <w:vAlign w:val="bottom"/>
            <w:hideMark/>
          </w:tcPr>
          <w:p w14:paraId="0CF92FE1"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Ashford</w:t>
            </w:r>
          </w:p>
        </w:tc>
        <w:tc>
          <w:tcPr>
            <w:tcW w:w="732" w:type="dxa"/>
            <w:tcBorders>
              <w:top w:val="single" w:sz="4" w:space="0" w:color="auto"/>
              <w:left w:val="single" w:sz="4" w:space="0" w:color="auto"/>
              <w:bottom w:val="nil"/>
              <w:right w:val="nil"/>
            </w:tcBorders>
            <w:shd w:val="clear" w:color="000000" w:fill="F0E784"/>
            <w:noWrap/>
            <w:vAlign w:val="bottom"/>
            <w:hideMark/>
          </w:tcPr>
          <w:p w14:paraId="4EAE8FF9"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448</w:t>
            </w:r>
          </w:p>
        </w:tc>
        <w:tc>
          <w:tcPr>
            <w:tcW w:w="732" w:type="dxa"/>
            <w:tcBorders>
              <w:top w:val="single" w:sz="4" w:space="0" w:color="auto"/>
              <w:left w:val="nil"/>
              <w:bottom w:val="nil"/>
              <w:right w:val="nil"/>
            </w:tcBorders>
            <w:shd w:val="clear" w:color="000000" w:fill="F8E984"/>
            <w:noWrap/>
            <w:vAlign w:val="bottom"/>
            <w:hideMark/>
          </w:tcPr>
          <w:p w14:paraId="19D61701"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424</w:t>
            </w:r>
          </w:p>
        </w:tc>
        <w:tc>
          <w:tcPr>
            <w:tcW w:w="732" w:type="dxa"/>
            <w:tcBorders>
              <w:top w:val="single" w:sz="4" w:space="0" w:color="auto"/>
              <w:left w:val="nil"/>
              <w:bottom w:val="nil"/>
              <w:right w:val="nil"/>
            </w:tcBorders>
            <w:shd w:val="clear" w:color="000000" w:fill="F9EA84"/>
            <w:noWrap/>
            <w:vAlign w:val="bottom"/>
            <w:hideMark/>
          </w:tcPr>
          <w:p w14:paraId="453D4925"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402</w:t>
            </w:r>
          </w:p>
        </w:tc>
        <w:tc>
          <w:tcPr>
            <w:tcW w:w="769" w:type="dxa"/>
            <w:tcBorders>
              <w:top w:val="single" w:sz="4" w:space="0" w:color="auto"/>
              <w:left w:val="nil"/>
              <w:bottom w:val="nil"/>
              <w:right w:val="nil"/>
            </w:tcBorders>
            <w:shd w:val="clear" w:color="000000" w:fill="F4E884"/>
            <w:noWrap/>
            <w:vAlign w:val="bottom"/>
            <w:hideMark/>
          </w:tcPr>
          <w:p w14:paraId="5B2BEABB"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411</w:t>
            </w:r>
          </w:p>
        </w:tc>
        <w:tc>
          <w:tcPr>
            <w:tcW w:w="769" w:type="dxa"/>
            <w:tcBorders>
              <w:top w:val="single" w:sz="4" w:space="0" w:color="auto"/>
              <w:left w:val="nil"/>
              <w:bottom w:val="nil"/>
              <w:right w:val="nil"/>
            </w:tcBorders>
            <w:shd w:val="clear" w:color="000000" w:fill="F4E884"/>
            <w:noWrap/>
            <w:vAlign w:val="bottom"/>
            <w:hideMark/>
          </w:tcPr>
          <w:p w14:paraId="3ED8DD0D"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401</w:t>
            </w:r>
          </w:p>
        </w:tc>
        <w:tc>
          <w:tcPr>
            <w:tcW w:w="791" w:type="dxa"/>
            <w:tcBorders>
              <w:top w:val="single" w:sz="4" w:space="0" w:color="auto"/>
              <w:left w:val="nil"/>
              <w:bottom w:val="nil"/>
              <w:right w:val="single" w:sz="4" w:space="0" w:color="auto"/>
            </w:tcBorders>
            <w:shd w:val="clear" w:color="000000" w:fill="F9EA84"/>
            <w:noWrap/>
            <w:vAlign w:val="bottom"/>
            <w:hideMark/>
          </w:tcPr>
          <w:p w14:paraId="20A522C0"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394</w:t>
            </w:r>
          </w:p>
        </w:tc>
        <w:tc>
          <w:tcPr>
            <w:tcW w:w="929" w:type="dxa"/>
            <w:tcBorders>
              <w:top w:val="single" w:sz="4" w:space="0" w:color="auto"/>
              <w:left w:val="single" w:sz="4" w:space="0" w:color="auto"/>
              <w:bottom w:val="nil"/>
              <w:right w:val="single" w:sz="4" w:space="0" w:color="auto"/>
            </w:tcBorders>
            <w:shd w:val="clear" w:color="auto" w:fill="auto"/>
            <w:noWrap/>
            <w:vAlign w:val="bottom"/>
            <w:hideMark/>
          </w:tcPr>
          <w:p w14:paraId="7A32F038"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2,087</w:t>
            </w:r>
          </w:p>
        </w:tc>
        <w:tc>
          <w:tcPr>
            <w:tcW w:w="1423" w:type="dxa"/>
            <w:tcBorders>
              <w:top w:val="single" w:sz="4" w:space="0" w:color="auto"/>
              <w:left w:val="single" w:sz="4" w:space="0" w:color="auto"/>
              <w:bottom w:val="nil"/>
              <w:right w:val="single" w:sz="4" w:space="0" w:color="auto"/>
            </w:tcBorders>
            <w:shd w:val="clear" w:color="auto" w:fill="auto"/>
            <w:noWrap/>
            <w:vAlign w:val="bottom"/>
            <w:hideMark/>
          </w:tcPr>
          <w:p w14:paraId="0F3697B2" w14:textId="77777777" w:rsidR="00073F52" w:rsidRPr="007B5554" w:rsidRDefault="00073F52" w:rsidP="007B5554">
            <w:pPr>
              <w:spacing w:before="0" w:after="0" w:line="240" w:lineRule="auto"/>
              <w:jc w:val="center"/>
              <w:rPr>
                <w:rFonts w:eastAsia="Times New Roman"/>
                <w:color w:val="000000"/>
                <w:sz w:val="20"/>
                <w:szCs w:val="20"/>
              </w:rPr>
            </w:pPr>
            <w:r w:rsidRPr="007B5554">
              <w:rPr>
                <w:color w:val="000000"/>
                <w:sz w:val="20"/>
                <w:szCs w:val="20"/>
              </w:rPr>
              <w:t>8.03</w:t>
            </w:r>
          </w:p>
        </w:tc>
      </w:tr>
      <w:tr w:rsidR="007B5554" w:rsidRPr="00612FD8" w14:paraId="2790D3A5" w14:textId="77777777" w:rsidTr="007B5554">
        <w:trPr>
          <w:trHeight w:val="424"/>
        </w:trPr>
        <w:tc>
          <w:tcPr>
            <w:tcW w:w="2319" w:type="dxa"/>
            <w:tcBorders>
              <w:top w:val="nil"/>
              <w:left w:val="single" w:sz="4" w:space="0" w:color="auto"/>
              <w:bottom w:val="nil"/>
              <w:right w:val="single" w:sz="4" w:space="0" w:color="auto"/>
            </w:tcBorders>
            <w:shd w:val="clear" w:color="auto" w:fill="auto"/>
            <w:noWrap/>
            <w:vAlign w:val="bottom"/>
            <w:hideMark/>
          </w:tcPr>
          <w:p w14:paraId="3B5ECA13"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Canterbury</w:t>
            </w:r>
          </w:p>
        </w:tc>
        <w:tc>
          <w:tcPr>
            <w:tcW w:w="732" w:type="dxa"/>
            <w:tcBorders>
              <w:top w:val="nil"/>
              <w:left w:val="single" w:sz="4" w:space="0" w:color="auto"/>
              <w:bottom w:val="nil"/>
              <w:right w:val="nil"/>
            </w:tcBorders>
            <w:shd w:val="clear" w:color="000000" w:fill="63BE7B"/>
            <w:noWrap/>
            <w:vAlign w:val="bottom"/>
            <w:hideMark/>
          </w:tcPr>
          <w:p w14:paraId="3E7B14BE"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601</w:t>
            </w:r>
          </w:p>
        </w:tc>
        <w:tc>
          <w:tcPr>
            <w:tcW w:w="732" w:type="dxa"/>
            <w:tcBorders>
              <w:top w:val="nil"/>
              <w:left w:val="nil"/>
              <w:bottom w:val="nil"/>
              <w:right w:val="nil"/>
            </w:tcBorders>
            <w:shd w:val="clear" w:color="000000" w:fill="63BE7B"/>
            <w:noWrap/>
            <w:vAlign w:val="bottom"/>
            <w:hideMark/>
          </w:tcPr>
          <w:p w14:paraId="12D78EB3"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596</w:t>
            </w:r>
          </w:p>
        </w:tc>
        <w:tc>
          <w:tcPr>
            <w:tcW w:w="732" w:type="dxa"/>
            <w:tcBorders>
              <w:top w:val="nil"/>
              <w:left w:val="nil"/>
              <w:bottom w:val="nil"/>
              <w:right w:val="nil"/>
            </w:tcBorders>
            <w:shd w:val="clear" w:color="000000" w:fill="63BE7B"/>
            <w:noWrap/>
            <w:vAlign w:val="bottom"/>
            <w:hideMark/>
          </w:tcPr>
          <w:p w14:paraId="728A1C0D"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558</w:t>
            </w:r>
          </w:p>
        </w:tc>
        <w:tc>
          <w:tcPr>
            <w:tcW w:w="769" w:type="dxa"/>
            <w:tcBorders>
              <w:top w:val="nil"/>
              <w:left w:val="nil"/>
              <w:bottom w:val="nil"/>
              <w:right w:val="nil"/>
            </w:tcBorders>
            <w:shd w:val="clear" w:color="000000" w:fill="63BE7B"/>
            <w:noWrap/>
            <w:vAlign w:val="bottom"/>
            <w:hideMark/>
          </w:tcPr>
          <w:p w14:paraId="37631350"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553</w:t>
            </w:r>
          </w:p>
        </w:tc>
        <w:tc>
          <w:tcPr>
            <w:tcW w:w="769" w:type="dxa"/>
            <w:tcBorders>
              <w:top w:val="nil"/>
              <w:left w:val="nil"/>
              <w:bottom w:val="nil"/>
              <w:right w:val="nil"/>
            </w:tcBorders>
            <w:shd w:val="clear" w:color="000000" w:fill="63BE7B"/>
            <w:noWrap/>
            <w:vAlign w:val="bottom"/>
            <w:hideMark/>
          </w:tcPr>
          <w:p w14:paraId="6EE8AFD0"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550</w:t>
            </w:r>
          </w:p>
        </w:tc>
        <w:tc>
          <w:tcPr>
            <w:tcW w:w="791" w:type="dxa"/>
            <w:tcBorders>
              <w:top w:val="nil"/>
              <w:left w:val="nil"/>
              <w:bottom w:val="nil"/>
              <w:right w:val="single" w:sz="4" w:space="0" w:color="auto"/>
            </w:tcBorders>
            <w:shd w:val="clear" w:color="000000" w:fill="63BE7B"/>
            <w:noWrap/>
            <w:vAlign w:val="bottom"/>
            <w:hideMark/>
          </w:tcPr>
          <w:p w14:paraId="6FADB0E7"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549</w:t>
            </w:r>
          </w:p>
        </w:tc>
        <w:tc>
          <w:tcPr>
            <w:tcW w:w="929" w:type="dxa"/>
            <w:tcBorders>
              <w:top w:val="nil"/>
              <w:left w:val="single" w:sz="4" w:space="0" w:color="auto"/>
              <w:bottom w:val="nil"/>
              <w:right w:val="single" w:sz="4" w:space="0" w:color="auto"/>
            </w:tcBorders>
            <w:shd w:val="clear" w:color="auto" w:fill="auto"/>
            <w:noWrap/>
            <w:vAlign w:val="bottom"/>
            <w:hideMark/>
          </w:tcPr>
          <w:p w14:paraId="75686EF2"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2,858</w:t>
            </w:r>
          </w:p>
        </w:tc>
        <w:tc>
          <w:tcPr>
            <w:tcW w:w="1423" w:type="dxa"/>
            <w:tcBorders>
              <w:top w:val="nil"/>
              <w:left w:val="single" w:sz="4" w:space="0" w:color="auto"/>
              <w:bottom w:val="nil"/>
              <w:right w:val="single" w:sz="4" w:space="0" w:color="auto"/>
            </w:tcBorders>
            <w:shd w:val="clear" w:color="auto" w:fill="auto"/>
            <w:noWrap/>
            <w:vAlign w:val="bottom"/>
            <w:hideMark/>
          </w:tcPr>
          <w:p w14:paraId="427542CF" w14:textId="77777777" w:rsidR="00073F52" w:rsidRPr="007B5554" w:rsidRDefault="00073F52" w:rsidP="007B5554">
            <w:pPr>
              <w:spacing w:before="0" w:after="0" w:line="240" w:lineRule="auto"/>
              <w:jc w:val="center"/>
              <w:rPr>
                <w:rFonts w:eastAsia="Times New Roman"/>
                <w:color w:val="000000"/>
                <w:sz w:val="20"/>
                <w:szCs w:val="20"/>
              </w:rPr>
            </w:pPr>
            <w:r w:rsidRPr="007B5554">
              <w:rPr>
                <w:color w:val="000000"/>
                <w:sz w:val="20"/>
                <w:szCs w:val="20"/>
              </w:rPr>
              <w:t>11.03</w:t>
            </w:r>
          </w:p>
        </w:tc>
      </w:tr>
      <w:tr w:rsidR="007B5554" w:rsidRPr="00612FD8" w14:paraId="5C0082C6" w14:textId="77777777" w:rsidTr="007B5554">
        <w:trPr>
          <w:trHeight w:val="424"/>
        </w:trPr>
        <w:tc>
          <w:tcPr>
            <w:tcW w:w="2319" w:type="dxa"/>
            <w:tcBorders>
              <w:top w:val="nil"/>
              <w:left w:val="single" w:sz="4" w:space="0" w:color="auto"/>
              <w:bottom w:val="nil"/>
              <w:right w:val="single" w:sz="4" w:space="0" w:color="auto"/>
            </w:tcBorders>
            <w:shd w:val="clear" w:color="auto" w:fill="auto"/>
            <w:noWrap/>
            <w:vAlign w:val="bottom"/>
            <w:hideMark/>
          </w:tcPr>
          <w:p w14:paraId="7A142F9D"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Dartford</w:t>
            </w:r>
          </w:p>
        </w:tc>
        <w:tc>
          <w:tcPr>
            <w:tcW w:w="732" w:type="dxa"/>
            <w:tcBorders>
              <w:top w:val="nil"/>
              <w:left w:val="single" w:sz="4" w:space="0" w:color="auto"/>
              <w:bottom w:val="nil"/>
              <w:right w:val="nil"/>
            </w:tcBorders>
            <w:shd w:val="clear" w:color="000000" w:fill="F8696B"/>
            <w:noWrap/>
            <w:vAlign w:val="bottom"/>
            <w:hideMark/>
          </w:tcPr>
          <w:p w14:paraId="73738F98"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368</w:t>
            </w:r>
          </w:p>
        </w:tc>
        <w:tc>
          <w:tcPr>
            <w:tcW w:w="732" w:type="dxa"/>
            <w:tcBorders>
              <w:top w:val="nil"/>
              <w:left w:val="nil"/>
              <w:bottom w:val="nil"/>
              <w:right w:val="nil"/>
            </w:tcBorders>
            <w:shd w:val="clear" w:color="000000" w:fill="F8696B"/>
            <w:noWrap/>
            <w:vAlign w:val="bottom"/>
            <w:hideMark/>
          </w:tcPr>
          <w:p w14:paraId="3358BA46"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364</w:t>
            </w:r>
          </w:p>
        </w:tc>
        <w:tc>
          <w:tcPr>
            <w:tcW w:w="732" w:type="dxa"/>
            <w:tcBorders>
              <w:top w:val="nil"/>
              <w:left w:val="nil"/>
              <w:bottom w:val="nil"/>
              <w:right w:val="nil"/>
            </w:tcBorders>
            <w:shd w:val="clear" w:color="000000" w:fill="F8736D"/>
            <w:noWrap/>
            <w:vAlign w:val="bottom"/>
            <w:hideMark/>
          </w:tcPr>
          <w:p w14:paraId="6DEED33D"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335</w:t>
            </w:r>
          </w:p>
        </w:tc>
        <w:tc>
          <w:tcPr>
            <w:tcW w:w="769" w:type="dxa"/>
            <w:tcBorders>
              <w:top w:val="nil"/>
              <w:left w:val="nil"/>
              <w:bottom w:val="nil"/>
              <w:right w:val="nil"/>
            </w:tcBorders>
            <w:shd w:val="clear" w:color="000000" w:fill="F8706C"/>
            <w:noWrap/>
            <w:vAlign w:val="bottom"/>
            <w:hideMark/>
          </w:tcPr>
          <w:p w14:paraId="7E2AB3C2"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337</w:t>
            </w:r>
          </w:p>
        </w:tc>
        <w:tc>
          <w:tcPr>
            <w:tcW w:w="769" w:type="dxa"/>
            <w:tcBorders>
              <w:top w:val="nil"/>
              <w:left w:val="nil"/>
              <w:bottom w:val="nil"/>
              <w:right w:val="nil"/>
            </w:tcBorders>
            <w:shd w:val="clear" w:color="000000" w:fill="F9806F"/>
            <w:noWrap/>
            <w:vAlign w:val="bottom"/>
            <w:hideMark/>
          </w:tcPr>
          <w:p w14:paraId="473F0932"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338</w:t>
            </w:r>
          </w:p>
        </w:tc>
        <w:tc>
          <w:tcPr>
            <w:tcW w:w="791" w:type="dxa"/>
            <w:tcBorders>
              <w:top w:val="nil"/>
              <w:left w:val="nil"/>
              <w:bottom w:val="nil"/>
              <w:right w:val="single" w:sz="4" w:space="0" w:color="auto"/>
            </w:tcBorders>
            <w:shd w:val="clear" w:color="000000" w:fill="F86F6C"/>
            <w:noWrap/>
            <w:vAlign w:val="bottom"/>
            <w:hideMark/>
          </w:tcPr>
          <w:p w14:paraId="58509669"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332</w:t>
            </w:r>
          </w:p>
        </w:tc>
        <w:tc>
          <w:tcPr>
            <w:tcW w:w="929" w:type="dxa"/>
            <w:tcBorders>
              <w:top w:val="nil"/>
              <w:left w:val="single" w:sz="4" w:space="0" w:color="auto"/>
              <w:bottom w:val="nil"/>
              <w:right w:val="single" w:sz="4" w:space="0" w:color="auto"/>
            </w:tcBorders>
            <w:shd w:val="clear" w:color="auto" w:fill="auto"/>
            <w:noWrap/>
            <w:vAlign w:val="bottom"/>
            <w:hideMark/>
          </w:tcPr>
          <w:p w14:paraId="26A70C6B"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1,741</w:t>
            </w:r>
          </w:p>
        </w:tc>
        <w:tc>
          <w:tcPr>
            <w:tcW w:w="1423" w:type="dxa"/>
            <w:tcBorders>
              <w:top w:val="nil"/>
              <w:left w:val="single" w:sz="4" w:space="0" w:color="auto"/>
              <w:bottom w:val="nil"/>
              <w:right w:val="single" w:sz="4" w:space="0" w:color="auto"/>
            </w:tcBorders>
            <w:shd w:val="clear" w:color="auto" w:fill="auto"/>
            <w:noWrap/>
            <w:vAlign w:val="bottom"/>
            <w:hideMark/>
          </w:tcPr>
          <w:p w14:paraId="71942947" w14:textId="77777777" w:rsidR="00073F52" w:rsidRPr="007B5554" w:rsidRDefault="00073F52" w:rsidP="007B5554">
            <w:pPr>
              <w:spacing w:before="0" w:after="0" w:line="240" w:lineRule="auto"/>
              <w:jc w:val="center"/>
              <w:rPr>
                <w:rFonts w:eastAsia="Times New Roman"/>
                <w:color w:val="000000"/>
                <w:sz w:val="20"/>
                <w:szCs w:val="20"/>
              </w:rPr>
            </w:pPr>
            <w:r w:rsidRPr="007B5554">
              <w:rPr>
                <w:color w:val="000000"/>
                <w:sz w:val="20"/>
                <w:szCs w:val="20"/>
              </w:rPr>
              <w:t>6.71</w:t>
            </w:r>
          </w:p>
        </w:tc>
      </w:tr>
      <w:tr w:rsidR="007B5554" w:rsidRPr="00612FD8" w14:paraId="05A7ACEC" w14:textId="77777777" w:rsidTr="007B5554">
        <w:trPr>
          <w:trHeight w:val="424"/>
        </w:trPr>
        <w:tc>
          <w:tcPr>
            <w:tcW w:w="2319" w:type="dxa"/>
            <w:tcBorders>
              <w:top w:val="nil"/>
              <w:left w:val="single" w:sz="4" w:space="0" w:color="auto"/>
              <w:bottom w:val="nil"/>
              <w:right w:val="single" w:sz="4" w:space="0" w:color="auto"/>
            </w:tcBorders>
            <w:shd w:val="clear" w:color="auto" w:fill="auto"/>
            <w:noWrap/>
            <w:vAlign w:val="bottom"/>
            <w:hideMark/>
          </w:tcPr>
          <w:p w14:paraId="1AA5DB0C"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Dover</w:t>
            </w:r>
          </w:p>
        </w:tc>
        <w:tc>
          <w:tcPr>
            <w:tcW w:w="732" w:type="dxa"/>
            <w:tcBorders>
              <w:top w:val="nil"/>
              <w:left w:val="single" w:sz="4" w:space="0" w:color="auto"/>
              <w:bottom w:val="nil"/>
              <w:right w:val="nil"/>
            </w:tcBorders>
            <w:shd w:val="clear" w:color="000000" w:fill="FCC17B"/>
            <w:noWrap/>
            <w:vAlign w:val="bottom"/>
            <w:hideMark/>
          </w:tcPr>
          <w:p w14:paraId="67D10B29"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411</w:t>
            </w:r>
          </w:p>
        </w:tc>
        <w:tc>
          <w:tcPr>
            <w:tcW w:w="732" w:type="dxa"/>
            <w:tcBorders>
              <w:top w:val="nil"/>
              <w:left w:val="nil"/>
              <w:bottom w:val="nil"/>
              <w:right w:val="nil"/>
            </w:tcBorders>
            <w:shd w:val="clear" w:color="000000" w:fill="FDD680"/>
            <w:noWrap/>
            <w:vAlign w:val="bottom"/>
            <w:hideMark/>
          </w:tcPr>
          <w:p w14:paraId="59A61FC0"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407</w:t>
            </w:r>
          </w:p>
        </w:tc>
        <w:tc>
          <w:tcPr>
            <w:tcW w:w="732" w:type="dxa"/>
            <w:tcBorders>
              <w:top w:val="nil"/>
              <w:left w:val="nil"/>
              <w:bottom w:val="nil"/>
              <w:right w:val="nil"/>
            </w:tcBorders>
            <w:shd w:val="clear" w:color="000000" w:fill="FDD47F"/>
            <w:noWrap/>
            <w:vAlign w:val="bottom"/>
            <w:hideMark/>
          </w:tcPr>
          <w:p w14:paraId="551CEC41"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384</w:t>
            </w:r>
          </w:p>
        </w:tc>
        <w:tc>
          <w:tcPr>
            <w:tcW w:w="769" w:type="dxa"/>
            <w:tcBorders>
              <w:top w:val="nil"/>
              <w:left w:val="nil"/>
              <w:bottom w:val="nil"/>
              <w:right w:val="nil"/>
            </w:tcBorders>
            <w:shd w:val="clear" w:color="000000" w:fill="FCC57C"/>
            <w:noWrap/>
            <w:vAlign w:val="bottom"/>
            <w:hideMark/>
          </w:tcPr>
          <w:p w14:paraId="51A05BD8"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381</w:t>
            </w:r>
          </w:p>
        </w:tc>
        <w:tc>
          <w:tcPr>
            <w:tcW w:w="769" w:type="dxa"/>
            <w:tcBorders>
              <w:top w:val="nil"/>
              <w:left w:val="nil"/>
              <w:bottom w:val="nil"/>
              <w:right w:val="nil"/>
            </w:tcBorders>
            <w:shd w:val="clear" w:color="000000" w:fill="FDD07E"/>
            <w:noWrap/>
            <w:vAlign w:val="bottom"/>
            <w:hideMark/>
          </w:tcPr>
          <w:p w14:paraId="0FF04C55"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376</w:t>
            </w:r>
          </w:p>
        </w:tc>
        <w:tc>
          <w:tcPr>
            <w:tcW w:w="791" w:type="dxa"/>
            <w:tcBorders>
              <w:top w:val="nil"/>
              <w:left w:val="nil"/>
              <w:bottom w:val="nil"/>
              <w:right w:val="single" w:sz="4" w:space="0" w:color="auto"/>
            </w:tcBorders>
            <w:shd w:val="clear" w:color="000000" w:fill="FEDB80"/>
            <w:noWrap/>
            <w:vAlign w:val="bottom"/>
            <w:hideMark/>
          </w:tcPr>
          <w:p w14:paraId="10AD0AB6"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380</w:t>
            </w:r>
          </w:p>
        </w:tc>
        <w:tc>
          <w:tcPr>
            <w:tcW w:w="929" w:type="dxa"/>
            <w:tcBorders>
              <w:top w:val="nil"/>
              <w:left w:val="single" w:sz="4" w:space="0" w:color="auto"/>
              <w:bottom w:val="nil"/>
              <w:right w:val="single" w:sz="4" w:space="0" w:color="auto"/>
            </w:tcBorders>
            <w:shd w:val="clear" w:color="auto" w:fill="auto"/>
            <w:noWrap/>
            <w:vAlign w:val="bottom"/>
            <w:hideMark/>
          </w:tcPr>
          <w:p w14:paraId="59809393"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1,960</w:t>
            </w:r>
          </w:p>
        </w:tc>
        <w:tc>
          <w:tcPr>
            <w:tcW w:w="1423" w:type="dxa"/>
            <w:tcBorders>
              <w:top w:val="nil"/>
              <w:left w:val="single" w:sz="4" w:space="0" w:color="auto"/>
              <w:bottom w:val="nil"/>
              <w:right w:val="single" w:sz="4" w:space="0" w:color="auto"/>
            </w:tcBorders>
            <w:shd w:val="clear" w:color="auto" w:fill="auto"/>
            <w:noWrap/>
            <w:vAlign w:val="bottom"/>
            <w:hideMark/>
          </w:tcPr>
          <w:p w14:paraId="34AA55BB" w14:textId="77777777" w:rsidR="00073F52" w:rsidRPr="007B5554" w:rsidRDefault="00073F52" w:rsidP="007B5554">
            <w:pPr>
              <w:spacing w:before="0" w:after="0" w:line="240" w:lineRule="auto"/>
              <w:jc w:val="center"/>
              <w:rPr>
                <w:rFonts w:eastAsia="Times New Roman"/>
                <w:color w:val="000000"/>
                <w:sz w:val="20"/>
                <w:szCs w:val="20"/>
              </w:rPr>
            </w:pPr>
            <w:r w:rsidRPr="007B5554">
              <w:rPr>
                <w:color w:val="000000"/>
                <w:sz w:val="20"/>
                <w:szCs w:val="20"/>
              </w:rPr>
              <w:t>7.58</w:t>
            </w:r>
          </w:p>
        </w:tc>
      </w:tr>
      <w:tr w:rsidR="007B5554" w:rsidRPr="00612FD8" w14:paraId="5C79E2A8" w14:textId="77777777" w:rsidTr="007B5554">
        <w:trPr>
          <w:trHeight w:val="424"/>
        </w:trPr>
        <w:tc>
          <w:tcPr>
            <w:tcW w:w="2319" w:type="dxa"/>
            <w:tcBorders>
              <w:top w:val="nil"/>
              <w:left w:val="single" w:sz="4" w:space="0" w:color="auto"/>
              <w:bottom w:val="nil"/>
              <w:right w:val="single" w:sz="4" w:space="0" w:color="auto"/>
            </w:tcBorders>
            <w:shd w:val="clear" w:color="auto" w:fill="auto"/>
            <w:noWrap/>
            <w:vAlign w:val="bottom"/>
            <w:hideMark/>
          </w:tcPr>
          <w:p w14:paraId="0CA17FE0"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Folkestone and Hythe</w:t>
            </w:r>
          </w:p>
        </w:tc>
        <w:tc>
          <w:tcPr>
            <w:tcW w:w="732" w:type="dxa"/>
            <w:tcBorders>
              <w:top w:val="nil"/>
              <w:left w:val="single" w:sz="4" w:space="0" w:color="auto"/>
              <w:bottom w:val="nil"/>
              <w:right w:val="nil"/>
            </w:tcBorders>
            <w:shd w:val="clear" w:color="000000" w:fill="FCB579"/>
            <w:noWrap/>
            <w:vAlign w:val="bottom"/>
            <w:hideMark/>
          </w:tcPr>
          <w:p w14:paraId="2AB37950"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406</w:t>
            </w:r>
          </w:p>
        </w:tc>
        <w:tc>
          <w:tcPr>
            <w:tcW w:w="732" w:type="dxa"/>
            <w:tcBorders>
              <w:top w:val="nil"/>
              <w:left w:val="nil"/>
              <w:bottom w:val="nil"/>
              <w:right w:val="nil"/>
            </w:tcBorders>
            <w:shd w:val="clear" w:color="000000" w:fill="FDD680"/>
            <w:noWrap/>
            <w:vAlign w:val="bottom"/>
            <w:hideMark/>
          </w:tcPr>
          <w:p w14:paraId="4241A9BC"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407</w:t>
            </w:r>
          </w:p>
        </w:tc>
        <w:tc>
          <w:tcPr>
            <w:tcW w:w="732" w:type="dxa"/>
            <w:tcBorders>
              <w:top w:val="nil"/>
              <w:left w:val="nil"/>
              <w:bottom w:val="nil"/>
              <w:right w:val="nil"/>
            </w:tcBorders>
            <w:shd w:val="clear" w:color="000000" w:fill="FCBC7B"/>
            <w:noWrap/>
            <w:vAlign w:val="bottom"/>
            <w:hideMark/>
          </w:tcPr>
          <w:p w14:paraId="6C19698F"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372</w:t>
            </w:r>
          </w:p>
        </w:tc>
        <w:tc>
          <w:tcPr>
            <w:tcW w:w="769" w:type="dxa"/>
            <w:tcBorders>
              <w:top w:val="nil"/>
              <w:left w:val="nil"/>
              <w:bottom w:val="nil"/>
              <w:right w:val="nil"/>
            </w:tcBorders>
            <w:shd w:val="clear" w:color="000000" w:fill="FBB178"/>
            <w:noWrap/>
            <w:vAlign w:val="bottom"/>
            <w:hideMark/>
          </w:tcPr>
          <w:p w14:paraId="25F3921B"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370</w:t>
            </w:r>
          </w:p>
        </w:tc>
        <w:tc>
          <w:tcPr>
            <w:tcW w:w="769" w:type="dxa"/>
            <w:tcBorders>
              <w:top w:val="nil"/>
              <w:left w:val="nil"/>
              <w:bottom w:val="nil"/>
              <w:right w:val="nil"/>
            </w:tcBorders>
            <w:shd w:val="clear" w:color="000000" w:fill="FCBA7A"/>
            <w:noWrap/>
            <w:vAlign w:val="bottom"/>
            <w:hideMark/>
          </w:tcPr>
          <w:p w14:paraId="0C38D2BB"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366</w:t>
            </w:r>
          </w:p>
        </w:tc>
        <w:tc>
          <w:tcPr>
            <w:tcW w:w="791" w:type="dxa"/>
            <w:tcBorders>
              <w:top w:val="nil"/>
              <w:left w:val="nil"/>
              <w:bottom w:val="nil"/>
              <w:right w:val="single" w:sz="4" w:space="0" w:color="auto"/>
            </w:tcBorders>
            <w:shd w:val="clear" w:color="000000" w:fill="FCBE7B"/>
            <w:noWrap/>
            <w:vAlign w:val="bottom"/>
            <w:hideMark/>
          </w:tcPr>
          <w:p w14:paraId="7AF8F6E5"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368</w:t>
            </w:r>
          </w:p>
        </w:tc>
        <w:tc>
          <w:tcPr>
            <w:tcW w:w="929" w:type="dxa"/>
            <w:tcBorders>
              <w:top w:val="nil"/>
              <w:left w:val="single" w:sz="4" w:space="0" w:color="auto"/>
              <w:bottom w:val="nil"/>
              <w:right w:val="single" w:sz="4" w:space="0" w:color="auto"/>
            </w:tcBorders>
            <w:shd w:val="clear" w:color="auto" w:fill="auto"/>
            <w:noWrap/>
            <w:vAlign w:val="bottom"/>
            <w:hideMark/>
          </w:tcPr>
          <w:p w14:paraId="3C249A6A"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1,921</w:t>
            </w:r>
          </w:p>
        </w:tc>
        <w:tc>
          <w:tcPr>
            <w:tcW w:w="1423" w:type="dxa"/>
            <w:tcBorders>
              <w:top w:val="nil"/>
              <w:left w:val="single" w:sz="4" w:space="0" w:color="auto"/>
              <w:bottom w:val="nil"/>
              <w:right w:val="single" w:sz="4" w:space="0" w:color="auto"/>
            </w:tcBorders>
            <w:shd w:val="clear" w:color="auto" w:fill="auto"/>
            <w:noWrap/>
            <w:vAlign w:val="bottom"/>
            <w:hideMark/>
          </w:tcPr>
          <w:p w14:paraId="6344ABA6" w14:textId="77777777" w:rsidR="00073F52" w:rsidRPr="007B5554" w:rsidRDefault="00073F52" w:rsidP="007B5554">
            <w:pPr>
              <w:spacing w:before="0" w:after="0" w:line="240" w:lineRule="auto"/>
              <w:jc w:val="center"/>
              <w:rPr>
                <w:rFonts w:eastAsia="Times New Roman"/>
                <w:color w:val="000000"/>
                <w:sz w:val="20"/>
                <w:szCs w:val="20"/>
              </w:rPr>
            </w:pPr>
            <w:r w:rsidRPr="007B5554">
              <w:rPr>
                <w:color w:val="000000"/>
                <w:sz w:val="20"/>
                <w:szCs w:val="20"/>
              </w:rPr>
              <w:t>7.41</w:t>
            </w:r>
          </w:p>
        </w:tc>
      </w:tr>
      <w:tr w:rsidR="007B5554" w:rsidRPr="00612FD8" w14:paraId="472CA1DE" w14:textId="77777777" w:rsidTr="007B5554">
        <w:trPr>
          <w:trHeight w:val="424"/>
        </w:trPr>
        <w:tc>
          <w:tcPr>
            <w:tcW w:w="2319" w:type="dxa"/>
            <w:tcBorders>
              <w:top w:val="nil"/>
              <w:left w:val="single" w:sz="4" w:space="0" w:color="auto"/>
              <w:bottom w:val="nil"/>
              <w:right w:val="single" w:sz="4" w:space="0" w:color="auto"/>
            </w:tcBorders>
            <w:shd w:val="clear" w:color="auto" w:fill="auto"/>
            <w:noWrap/>
            <w:vAlign w:val="bottom"/>
            <w:hideMark/>
          </w:tcPr>
          <w:p w14:paraId="4AF941B0"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Gravesham</w:t>
            </w:r>
          </w:p>
        </w:tc>
        <w:tc>
          <w:tcPr>
            <w:tcW w:w="732" w:type="dxa"/>
            <w:tcBorders>
              <w:top w:val="nil"/>
              <w:left w:val="single" w:sz="4" w:space="0" w:color="auto"/>
              <w:bottom w:val="nil"/>
              <w:right w:val="nil"/>
            </w:tcBorders>
            <w:shd w:val="clear" w:color="000000" w:fill="F8736D"/>
            <w:noWrap/>
            <w:vAlign w:val="bottom"/>
            <w:hideMark/>
          </w:tcPr>
          <w:p w14:paraId="5759E40A"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373</w:t>
            </w:r>
          </w:p>
        </w:tc>
        <w:tc>
          <w:tcPr>
            <w:tcW w:w="732" w:type="dxa"/>
            <w:tcBorders>
              <w:top w:val="nil"/>
              <w:left w:val="nil"/>
              <w:bottom w:val="nil"/>
              <w:right w:val="nil"/>
            </w:tcBorders>
            <w:shd w:val="clear" w:color="000000" w:fill="F9816F"/>
            <w:noWrap/>
            <w:vAlign w:val="bottom"/>
            <w:hideMark/>
          </w:tcPr>
          <w:p w14:paraId="2E8E2B13"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374</w:t>
            </w:r>
          </w:p>
        </w:tc>
        <w:tc>
          <w:tcPr>
            <w:tcW w:w="732" w:type="dxa"/>
            <w:tcBorders>
              <w:top w:val="nil"/>
              <w:left w:val="nil"/>
              <w:bottom w:val="nil"/>
              <w:right w:val="nil"/>
            </w:tcBorders>
            <w:shd w:val="clear" w:color="000000" w:fill="F8696B"/>
            <w:noWrap/>
            <w:vAlign w:val="bottom"/>
            <w:hideMark/>
          </w:tcPr>
          <w:p w14:paraId="1F1750C5"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329</w:t>
            </w:r>
          </w:p>
        </w:tc>
        <w:tc>
          <w:tcPr>
            <w:tcW w:w="769" w:type="dxa"/>
            <w:tcBorders>
              <w:top w:val="nil"/>
              <w:left w:val="nil"/>
              <w:bottom w:val="nil"/>
              <w:right w:val="nil"/>
            </w:tcBorders>
            <w:shd w:val="clear" w:color="000000" w:fill="F8696B"/>
            <w:noWrap/>
            <w:vAlign w:val="bottom"/>
            <w:hideMark/>
          </w:tcPr>
          <w:p w14:paraId="5C825960"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333</w:t>
            </w:r>
          </w:p>
        </w:tc>
        <w:tc>
          <w:tcPr>
            <w:tcW w:w="769" w:type="dxa"/>
            <w:tcBorders>
              <w:top w:val="nil"/>
              <w:left w:val="nil"/>
              <w:bottom w:val="nil"/>
              <w:right w:val="nil"/>
            </w:tcBorders>
            <w:shd w:val="clear" w:color="000000" w:fill="F8696B"/>
            <w:noWrap/>
            <w:vAlign w:val="bottom"/>
            <w:hideMark/>
          </w:tcPr>
          <w:p w14:paraId="0FABA07A"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327</w:t>
            </w:r>
          </w:p>
        </w:tc>
        <w:tc>
          <w:tcPr>
            <w:tcW w:w="791" w:type="dxa"/>
            <w:tcBorders>
              <w:top w:val="nil"/>
              <w:left w:val="nil"/>
              <w:bottom w:val="nil"/>
              <w:right w:val="single" w:sz="4" w:space="0" w:color="auto"/>
            </w:tcBorders>
            <w:shd w:val="clear" w:color="000000" w:fill="F8696B"/>
            <w:noWrap/>
            <w:vAlign w:val="bottom"/>
            <w:hideMark/>
          </w:tcPr>
          <w:p w14:paraId="463831AD"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329</w:t>
            </w:r>
          </w:p>
        </w:tc>
        <w:tc>
          <w:tcPr>
            <w:tcW w:w="929" w:type="dxa"/>
            <w:tcBorders>
              <w:top w:val="nil"/>
              <w:left w:val="single" w:sz="4" w:space="0" w:color="auto"/>
              <w:bottom w:val="nil"/>
              <w:right w:val="single" w:sz="4" w:space="0" w:color="auto"/>
            </w:tcBorders>
            <w:shd w:val="clear" w:color="auto" w:fill="auto"/>
            <w:noWrap/>
            <w:vAlign w:val="bottom"/>
            <w:hideMark/>
          </w:tcPr>
          <w:p w14:paraId="74D68D04"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1,736</w:t>
            </w:r>
          </w:p>
        </w:tc>
        <w:tc>
          <w:tcPr>
            <w:tcW w:w="1423" w:type="dxa"/>
            <w:tcBorders>
              <w:top w:val="nil"/>
              <w:left w:val="single" w:sz="4" w:space="0" w:color="auto"/>
              <w:bottom w:val="nil"/>
              <w:right w:val="single" w:sz="4" w:space="0" w:color="auto"/>
            </w:tcBorders>
            <w:shd w:val="clear" w:color="auto" w:fill="auto"/>
            <w:noWrap/>
            <w:vAlign w:val="bottom"/>
            <w:hideMark/>
          </w:tcPr>
          <w:p w14:paraId="65ECC41E" w14:textId="77777777" w:rsidR="00073F52" w:rsidRPr="007B5554" w:rsidRDefault="00073F52" w:rsidP="007B5554">
            <w:pPr>
              <w:spacing w:before="0" w:after="0" w:line="240" w:lineRule="auto"/>
              <w:jc w:val="center"/>
              <w:rPr>
                <w:rFonts w:eastAsia="Times New Roman"/>
                <w:color w:val="000000"/>
                <w:sz w:val="20"/>
                <w:szCs w:val="20"/>
              </w:rPr>
            </w:pPr>
            <w:r w:rsidRPr="007B5554">
              <w:rPr>
                <w:color w:val="000000"/>
                <w:sz w:val="20"/>
                <w:szCs w:val="20"/>
              </w:rPr>
              <w:t>6.69</w:t>
            </w:r>
          </w:p>
        </w:tc>
      </w:tr>
      <w:tr w:rsidR="007B5554" w:rsidRPr="00612FD8" w14:paraId="31487717" w14:textId="77777777" w:rsidTr="007B5554">
        <w:trPr>
          <w:trHeight w:val="424"/>
        </w:trPr>
        <w:tc>
          <w:tcPr>
            <w:tcW w:w="2319" w:type="dxa"/>
            <w:tcBorders>
              <w:top w:val="nil"/>
              <w:left w:val="single" w:sz="4" w:space="0" w:color="auto"/>
              <w:bottom w:val="nil"/>
              <w:right w:val="single" w:sz="4" w:space="0" w:color="auto"/>
            </w:tcBorders>
            <w:shd w:val="clear" w:color="auto" w:fill="auto"/>
            <w:noWrap/>
            <w:vAlign w:val="bottom"/>
            <w:hideMark/>
          </w:tcPr>
          <w:p w14:paraId="164A9BDD"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Maidstone</w:t>
            </w:r>
          </w:p>
        </w:tc>
        <w:tc>
          <w:tcPr>
            <w:tcW w:w="732" w:type="dxa"/>
            <w:tcBorders>
              <w:top w:val="nil"/>
              <w:left w:val="single" w:sz="4" w:space="0" w:color="auto"/>
              <w:bottom w:val="nil"/>
              <w:right w:val="nil"/>
            </w:tcBorders>
            <w:shd w:val="clear" w:color="000000" w:fill="64BF7C"/>
            <w:noWrap/>
            <w:vAlign w:val="bottom"/>
            <w:hideMark/>
          </w:tcPr>
          <w:p w14:paraId="474A3B6F"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601</w:t>
            </w:r>
          </w:p>
        </w:tc>
        <w:tc>
          <w:tcPr>
            <w:tcW w:w="732" w:type="dxa"/>
            <w:tcBorders>
              <w:top w:val="nil"/>
              <w:left w:val="nil"/>
              <w:bottom w:val="nil"/>
              <w:right w:val="nil"/>
            </w:tcBorders>
            <w:shd w:val="clear" w:color="000000" w:fill="6CC17C"/>
            <w:noWrap/>
            <w:vAlign w:val="bottom"/>
            <w:hideMark/>
          </w:tcPr>
          <w:p w14:paraId="05D6FC7A"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587</w:t>
            </w:r>
          </w:p>
        </w:tc>
        <w:tc>
          <w:tcPr>
            <w:tcW w:w="732" w:type="dxa"/>
            <w:tcBorders>
              <w:top w:val="nil"/>
              <w:left w:val="nil"/>
              <w:bottom w:val="nil"/>
              <w:right w:val="nil"/>
            </w:tcBorders>
            <w:shd w:val="clear" w:color="000000" w:fill="7DC67D"/>
            <w:noWrap/>
            <w:vAlign w:val="bottom"/>
            <w:hideMark/>
          </w:tcPr>
          <w:p w14:paraId="23A07E0F"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531</w:t>
            </w:r>
          </w:p>
        </w:tc>
        <w:tc>
          <w:tcPr>
            <w:tcW w:w="769" w:type="dxa"/>
            <w:tcBorders>
              <w:top w:val="nil"/>
              <w:left w:val="nil"/>
              <w:bottom w:val="nil"/>
              <w:right w:val="nil"/>
            </w:tcBorders>
            <w:shd w:val="clear" w:color="000000" w:fill="70C27C"/>
            <w:noWrap/>
            <w:vAlign w:val="bottom"/>
            <w:hideMark/>
          </w:tcPr>
          <w:p w14:paraId="5F10BF98"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541</w:t>
            </w:r>
          </w:p>
        </w:tc>
        <w:tc>
          <w:tcPr>
            <w:tcW w:w="769" w:type="dxa"/>
            <w:tcBorders>
              <w:top w:val="nil"/>
              <w:left w:val="nil"/>
              <w:bottom w:val="nil"/>
              <w:right w:val="nil"/>
            </w:tcBorders>
            <w:shd w:val="clear" w:color="000000" w:fill="76C47D"/>
            <w:noWrap/>
            <w:vAlign w:val="bottom"/>
            <w:hideMark/>
          </w:tcPr>
          <w:p w14:paraId="20930243"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531</w:t>
            </w:r>
          </w:p>
        </w:tc>
        <w:tc>
          <w:tcPr>
            <w:tcW w:w="791" w:type="dxa"/>
            <w:tcBorders>
              <w:top w:val="nil"/>
              <w:left w:val="nil"/>
              <w:bottom w:val="nil"/>
              <w:right w:val="single" w:sz="4" w:space="0" w:color="auto"/>
            </w:tcBorders>
            <w:shd w:val="clear" w:color="000000" w:fill="6FC27C"/>
            <w:noWrap/>
            <w:vAlign w:val="bottom"/>
            <w:hideMark/>
          </w:tcPr>
          <w:p w14:paraId="42CA883A"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537</w:t>
            </w:r>
          </w:p>
        </w:tc>
        <w:tc>
          <w:tcPr>
            <w:tcW w:w="929" w:type="dxa"/>
            <w:tcBorders>
              <w:top w:val="nil"/>
              <w:left w:val="single" w:sz="4" w:space="0" w:color="auto"/>
              <w:bottom w:val="nil"/>
              <w:right w:val="single" w:sz="4" w:space="0" w:color="auto"/>
            </w:tcBorders>
            <w:shd w:val="clear" w:color="auto" w:fill="auto"/>
            <w:noWrap/>
            <w:vAlign w:val="bottom"/>
            <w:hideMark/>
          </w:tcPr>
          <w:p w14:paraId="6ED8E246"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2,791</w:t>
            </w:r>
          </w:p>
        </w:tc>
        <w:tc>
          <w:tcPr>
            <w:tcW w:w="1423" w:type="dxa"/>
            <w:tcBorders>
              <w:top w:val="nil"/>
              <w:left w:val="single" w:sz="4" w:space="0" w:color="auto"/>
              <w:bottom w:val="nil"/>
              <w:right w:val="single" w:sz="4" w:space="0" w:color="auto"/>
            </w:tcBorders>
            <w:shd w:val="clear" w:color="auto" w:fill="auto"/>
            <w:noWrap/>
            <w:vAlign w:val="bottom"/>
            <w:hideMark/>
          </w:tcPr>
          <w:p w14:paraId="116D8308" w14:textId="77777777" w:rsidR="00073F52" w:rsidRPr="007B5554" w:rsidRDefault="00073F52" w:rsidP="007B5554">
            <w:pPr>
              <w:spacing w:before="0" w:after="0" w:line="240" w:lineRule="auto"/>
              <w:jc w:val="center"/>
              <w:rPr>
                <w:rFonts w:eastAsia="Times New Roman"/>
                <w:color w:val="000000"/>
                <w:sz w:val="20"/>
                <w:szCs w:val="20"/>
              </w:rPr>
            </w:pPr>
            <w:r w:rsidRPr="007B5554">
              <w:rPr>
                <w:color w:val="000000"/>
                <w:sz w:val="20"/>
                <w:szCs w:val="20"/>
              </w:rPr>
              <w:t>10.77</w:t>
            </w:r>
          </w:p>
        </w:tc>
      </w:tr>
      <w:tr w:rsidR="007B5554" w:rsidRPr="00612FD8" w14:paraId="05B98985" w14:textId="77777777" w:rsidTr="007B5554">
        <w:trPr>
          <w:trHeight w:val="424"/>
        </w:trPr>
        <w:tc>
          <w:tcPr>
            <w:tcW w:w="2319" w:type="dxa"/>
            <w:tcBorders>
              <w:top w:val="nil"/>
              <w:left w:val="single" w:sz="4" w:space="0" w:color="auto"/>
              <w:bottom w:val="nil"/>
              <w:right w:val="single" w:sz="4" w:space="0" w:color="auto"/>
            </w:tcBorders>
            <w:shd w:val="clear" w:color="auto" w:fill="auto"/>
            <w:noWrap/>
            <w:vAlign w:val="bottom"/>
            <w:hideMark/>
          </w:tcPr>
          <w:p w14:paraId="440D7523"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Sevenoaks</w:t>
            </w:r>
          </w:p>
        </w:tc>
        <w:tc>
          <w:tcPr>
            <w:tcW w:w="732" w:type="dxa"/>
            <w:tcBorders>
              <w:top w:val="nil"/>
              <w:left w:val="single" w:sz="4" w:space="0" w:color="auto"/>
              <w:bottom w:val="nil"/>
              <w:right w:val="nil"/>
            </w:tcBorders>
            <w:shd w:val="clear" w:color="000000" w:fill="FDCF7E"/>
            <w:noWrap/>
            <w:vAlign w:val="bottom"/>
            <w:hideMark/>
          </w:tcPr>
          <w:p w14:paraId="53539A01"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418</w:t>
            </w:r>
          </w:p>
        </w:tc>
        <w:tc>
          <w:tcPr>
            <w:tcW w:w="732" w:type="dxa"/>
            <w:tcBorders>
              <w:top w:val="nil"/>
              <w:left w:val="nil"/>
              <w:bottom w:val="nil"/>
              <w:right w:val="nil"/>
            </w:tcBorders>
            <w:shd w:val="clear" w:color="000000" w:fill="FDD27F"/>
            <w:noWrap/>
            <w:vAlign w:val="bottom"/>
            <w:hideMark/>
          </w:tcPr>
          <w:p w14:paraId="4947ED7B"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406</w:t>
            </w:r>
          </w:p>
        </w:tc>
        <w:tc>
          <w:tcPr>
            <w:tcW w:w="732" w:type="dxa"/>
            <w:tcBorders>
              <w:top w:val="nil"/>
              <w:left w:val="nil"/>
              <w:bottom w:val="nil"/>
              <w:right w:val="nil"/>
            </w:tcBorders>
            <w:shd w:val="clear" w:color="000000" w:fill="FEDE81"/>
            <w:noWrap/>
            <w:vAlign w:val="bottom"/>
            <w:hideMark/>
          </w:tcPr>
          <w:p w14:paraId="676E6EB5"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389</w:t>
            </w:r>
          </w:p>
        </w:tc>
        <w:tc>
          <w:tcPr>
            <w:tcW w:w="769" w:type="dxa"/>
            <w:tcBorders>
              <w:top w:val="nil"/>
              <w:left w:val="nil"/>
              <w:bottom w:val="nil"/>
              <w:right w:val="nil"/>
            </w:tcBorders>
            <w:shd w:val="clear" w:color="000000" w:fill="FDD47F"/>
            <w:noWrap/>
            <w:vAlign w:val="bottom"/>
            <w:hideMark/>
          </w:tcPr>
          <w:p w14:paraId="129A0C98"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389</w:t>
            </w:r>
          </w:p>
        </w:tc>
        <w:tc>
          <w:tcPr>
            <w:tcW w:w="769" w:type="dxa"/>
            <w:tcBorders>
              <w:top w:val="nil"/>
              <w:left w:val="nil"/>
              <w:bottom w:val="nil"/>
              <w:right w:val="nil"/>
            </w:tcBorders>
            <w:shd w:val="clear" w:color="000000" w:fill="FDD37F"/>
            <w:noWrap/>
            <w:vAlign w:val="bottom"/>
            <w:hideMark/>
          </w:tcPr>
          <w:p w14:paraId="3AE1D9D8"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378</w:t>
            </w:r>
          </w:p>
        </w:tc>
        <w:tc>
          <w:tcPr>
            <w:tcW w:w="791" w:type="dxa"/>
            <w:tcBorders>
              <w:top w:val="nil"/>
              <w:left w:val="nil"/>
              <w:bottom w:val="nil"/>
              <w:right w:val="single" w:sz="4" w:space="0" w:color="auto"/>
            </w:tcBorders>
            <w:shd w:val="clear" w:color="000000" w:fill="FED980"/>
            <w:noWrap/>
            <w:vAlign w:val="bottom"/>
            <w:hideMark/>
          </w:tcPr>
          <w:p w14:paraId="056EF6E8"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380</w:t>
            </w:r>
          </w:p>
        </w:tc>
        <w:tc>
          <w:tcPr>
            <w:tcW w:w="929" w:type="dxa"/>
            <w:tcBorders>
              <w:top w:val="nil"/>
              <w:left w:val="single" w:sz="4" w:space="0" w:color="auto"/>
              <w:bottom w:val="nil"/>
              <w:right w:val="single" w:sz="4" w:space="0" w:color="auto"/>
            </w:tcBorders>
            <w:shd w:val="clear" w:color="auto" w:fill="auto"/>
            <w:noWrap/>
            <w:vAlign w:val="bottom"/>
            <w:hideMark/>
          </w:tcPr>
          <w:p w14:paraId="0D02E80B"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1,980</w:t>
            </w:r>
          </w:p>
        </w:tc>
        <w:tc>
          <w:tcPr>
            <w:tcW w:w="1423" w:type="dxa"/>
            <w:tcBorders>
              <w:top w:val="nil"/>
              <w:left w:val="single" w:sz="4" w:space="0" w:color="auto"/>
              <w:bottom w:val="nil"/>
              <w:right w:val="single" w:sz="4" w:space="0" w:color="auto"/>
            </w:tcBorders>
            <w:shd w:val="clear" w:color="auto" w:fill="auto"/>
            <w:noWrap/>
            <w:vAlign w:val="bottom"/>
            <w:hideMark/>
          </w:tcPr>
          <w:p w14:paraId="438CA598" w14:textId="77777777" w:rsidR="00073F52" w:rsidRPr="007B5554" w:rsidRDefault="00073F52" w:rsidP="007B5554">
            <w:pPr>
              <w:spacing w:before="0" w:after="0" w:line="240" w:lineRule="auto"/>
              <w:jc w:val="center"/>
              <w:rPr>
                <w:rFonts w:eastAsia="Times New Roman"/>
                <w:color w:val="000000"/>
                <w:sz w:val="20"/>
                <w:szCs w:val="20"/>
              </w:rPr>
            </w:pPr>
            <w:r w:rsidRPr="007B5554">
              <w:rPr>
                <w:color w:val="000000"/>
                <w:sz w:val="20"/>
                <w:szCs w:val="20"/>
              </w:rPr>
              <w:t>7.64</w:t>
            </w:r>
          </w:p>
        </w:tc>
      </w:tr>
      <w:tr w:rsidR="007B5554" w:rsidRPr="00612FD8" w14:paraId="4E984D99" w14:textId="77777777" w:rsidTr="007B5554">
        <w:trPr>
          <w:trHeight w:val="424"/>
        </w:trPr>
        <w:tc>
          <w:tcPr>
            <w:tcW w:w="2319" w:type="dxa"/>
            <w:tcBorders>
              <w:top w:val="nil"/>
              <w:left w:val="single" w:sz="4" w:space="0" w:color="auto"/>
              <w:bottom w:val="nil"/>
              <w:right w:val="single" w:sz="4" w:space="0" w:color="auto"/>
            </w:tcBorders>
            <w:shd w:val="clear" w:color="auto" w:fill="auto"/>
            <w:noWrap/>
            <w:vAlign w:val="bottom"/>
            <w:hideMark/>
          </w:tcPr>
          <w:p w14:paraId="39DD69DD"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Swale</w:t>
            </w:r>
          </w:p>
        </w:tc>
        <w:tc>
          <w:tcPr>
            <w:tcW w:w="732" w:type="dxa"/>
            <w:tcBorders>
              <w:top w:val="nil"/>
              <w:left w:val="single" w:sz="4" w:space="0" w:color="auto"/>
              <w:bottom w:val="nil"/>
              <w:right w:val="nil"/>
            </w:tcBorders>
            <w:shd w:val="clear" w:color="000000" w:fill="BED981"/>
            <w:noWrap/>
            <w:vAlign w:val="bottom"/>
            <w:hideMark/>
          </w:tcPr>
          <w:p w14:paraId="7E33261D"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503</w:t>
            </w:r>
          </w:p>
        </w:tc>
        <w:tc>
          <w:tcPr>
            <w:tcW w:w="732" w:type="dxa"/>
            <w:tcBorders>
              <w:top w:val="nil"/>
              <w:left w:val="nil"/>
              <w:bottom w:val="nil"/>
              <w:right w:val="nil"/>
            </w:tcBorders>
            <w:shd w:val="clear" w:color="000000" w:fill="B5D680"/>
            <w:noWrap/>
            <w:vAlign w:val="bottom"/>
            <w:hideMark/>
          </w:tcPr>
          <w:p w14:paraId="0B4A16C8"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502</w:t>
            </w:r>
          </w:p>
        </w:tc>
        <w:tc>
          <w:tcPr>
            <w:tcW w:w="732" w:type="dxa"/>
            <w:tcBorders>
              <w:top w:val="nil"/>
              <w:left w:val="nil"/>
              <w:bottom w:val="nil"/>
              <w:right w:val="nil"/>
            </w:tcBorders>
            <w:shd w:val="clear" w:color="000000" w:fill="C2DA81"/>
            <w:noWrap/>
            <w:vAlign w:val="bottom"/>
            <w:hideMark/>
          </w:tcPr>
          <w:p w14:paraId="3458AE08"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460</w:t>
            </w:r>
          </w:p>
        </w:tc>
        <w:tc>
          <w:tcPr>
            <w:tcW w:w="769" w:type="dxa"/>
            <w:tcBorders>
              <w:top w:val="nil"/>
              <w:left w:val="nil"/>
              <w:bottom w:val="nil"/>
              <w:right w:val="nil"/>
            </w:tcBorders>
            <w:shd w:val="clear" w:color="000000" w:fill="B5D680"/>
            <w:noWrap/>
            <w:vAlign w:val="bottom"/>
            <w:hideMark/>
          </w:tcPr>
          <w:p w14:paraId="4919254C"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473</w:t>
            </w:r>
          </w:p>
        </w:tc>
        <w:tc>
          <w:tcPr>
            <w:tcW w:w="769" w:type="dxa"/>
            <w:tcBorders>
              <w:top w:val="nil"/>
              <w:left w:val="nil"/>
              <w:bottom w:val="nil"/>
              <w:right w:val="nil"/>
            </w:tcBorders>
            <w:shd w:val="clear" w:color="000000" w:fill="B2D580"/>
            <w:noWrap/>
            <w:vAlign w:val="bottom"/>
            <w:hideMark/>
          </w:tcPr>
          <w:p w14:paraId="64B8BDE2"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469</w:t>
            </w:r>
          </w:p>
        </w:tc>
        <w:tc>
          <w:tcPr>
            <w:tcW w:w="791" w:type="dxa"/>
            <w:tcBorders>
              <w:top w:val="nil"/>
              <w:left w:val="nil"/>
              <w:bottom w:val="nil"/>
              <w:right w:val="single" w:sz="4" w:space="0" w:color="auto"/>
            </w:tcBorders>
            <w:shd w:val="clear" w:color="000000" w:fill="B5D680"/>
            <w:noWrap/>
            <w:vAlign w:val="bottom"/>
            <w:hideMark/>
          </w:tcPr>
          <w:p w14:paraId="1E5968CF"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465</w:t>
            </w:r>
          </w:p>
        </w:tc>
        <w:tc>
          <w:tcPr>
            <w:tcW w:w="929" w:type="dxa"/>
            <w:tcBorders>
              <w:top w:val="nil"/>
              <w:left w:val="single" w:sz="4" w:space="0" w:color="auto"/>
              <w:bottom w:val="nil"/>
              <w:right w:val="single" w:sz="4" w:space="0" w:color="auto"/>
            </w:tcBorders>
            <w:shd w:val="clear" w:color="auto" w:fill="auto"/>
            <w:noWrap/>
            <w:vAlign w:val="bottom"/>
            <w:hideMark/>
          </w:tcPr>
          <w:p w14:paraId="6716A1A4"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2,407</w:t>
            </w:r>
          </w:p>
        </w:tc>
        <w:tc>
          <w:tcPr>
            <w:tcW w:w="1423" w:type="dxa"/>
            <w:tcBorders>
              <w:top w:val="nil"/>
              <w:left w:val="single" w:sz="4" w:space="0" w:color="auto"/>
              <w:bottom w:val="nil"/>
              <w:right w:val="single" w:sz="4" w:space="0" w:color="auto"/>
            </w:tcBorders>
            <w:shd w:val="clear" w:color="auto" w:fill="auto"/>
            <w:noWrap/>
            <w:vAlign w:val="bottom"/>
            <w:hideMark/>
          </w:tcPr>
          <w:p w14:paraId="6A44059D" w14:textId="77777777" w:rsidR="00073F52" w:rsidRPr="007B5554" w:rsidRDefault="00073F52" w:rsidP="007B5554">
            <w:pPr>
              <w:spacing w:before="0" w:after="0" w:line="240" w:lineRule="auto"/>
              <w:jc w:val="center"/>
              <w:rPr>
                <w:rFonts w:eastAsia="Times New Roman"/>
                <w:color w:val="000000"/>
                <w:sz w:val="20"/>
                <w:szCs w:val="20"/>
              </w:rPr>
            </w:pPr>
            <w:r w:rsidRPr="007B5554">
              <w:rPr>
                <w:color w:val="000000"/>
                <w:sz w:val="20"/>
                <w:szCs w:val="20"/>
              </w:rPr>
              <w:t>9.29</w:t>
            </w:r>
          </w:p>
        </w:tc>
      </w:tr>
      <w:tr w:rsidR="007B5554" w:rsidRPr="00612FD8" w14:paraId="759E03FB" w14:textId="77777777" w:rsidTr="007B5554">
        <w:trPr>
          <w:trHeight w:val="424"/>
        </w:trPr>
        <w:tc>
          <w:tcPr>
            <w:tcW w:w="2319" w:type="dxa"/>
            <w:tcBorders>
              <w:top w:val="nil"/>
              <w:left w:val="single" w:sz="4" w:space="0" w:color="auto"/>
              <w:bottom w:val="nil"/>
              <w:right w:val="single" w:sz="4" w:space="0" w:color="auto"/>
            </w:tcBorders>
            <w:shd w:val="clear" w:color="auto" w:fill="auto"/>
            <w:noWrap/>
            <w:vAlign w:val="bottom"/>
            <w:hideMark/>
          </w:tcPr>
          <w:p w14:paraId="43E5C032"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Thanet</w:t>
            </w:r>
          </w:p>
        </w:tc>
        <w:tc>
          <w:tcPr>
            <w:tcW w:w="732" w:type="dxa"/>
            <w:tcBorders>
              <w:top w:val="nil"/>
              <w:left w:val="single" w:sz="4" w:space="0" w:color="auto"/>
              <w:bottom w:val="nil"/>
              <w:right w:val="nil"/>
            </w:tcBorders>
            <w:shd w:val="clear" w:color="000000" w:fill="B9D780"/>
            <w:noWrap/>
            <w:vAlign w:val="bottom"/>
            <w:hideMark/>
          </w:tcPr>
          <w:p w14:paraId="600B214B"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508</w:t>
            </w:r>
          </w:p>
        </w:tc>
        <w:tc>
          <w:tcPr>
            <w:tcW w:w="732" w:type="dxa"/>
            <w:tcBorders>
              <w:top w:val="nil"/>
              <w:left w:val="nil"/>
              <w:bottom w:val="nil"/>
              <w:right w:val="nil"/>
            </w:tcBorders>
            <w:shd w:val="clear" w:color="000000" w:fill="C6DB81"/>
            <w:noWrap/>
            <w:vAlign w:val="bottom"/>
            <w:hideMark/>
          </w:tcPr>
          <w:p w14:paraId="26092000"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483</w:t>
            </w:r>
          </w:p>
        </w:tc>
        <w:tc>
          <w:tcPr>
            <w:tcW w:w="732" w:type="dxa"/>
            <w:tcBorders>
              <w:top w:val="nil"/>
              <w:left w:val="nil"/>
              <w:bottom w:val="nil"/>
              <w:right w:val="nil"/>
            </w:tcBorders>
            <w:shd w:val="clear" w:color="000000" w:fill="C6DB81"/>
            <w:noWrap/>
            <w:vAlign w:val="bottom"/>
            <w:hideMark/>
          </w:tcPr>
          <w:p w14:paraId="471D6D1A"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456</w:t>
            </w:r>
          </w:p>
        </w:tc>
        <w:tc>
          <w:tcPr>
            <w:tcW w:w="769" w:type="dxa"/>
            <w:tcBorders>
              <w:top w:val="nil"/>
              <w:left w:val="nil"/>
              <w:bottom w:val="nil"/>
              <w:right w:val="nil"/>
            </w:tcBorders>
            <w:shd w:val="clear" w:color="000000" w:fill="C5DB81"/>
            <w:noWrap/>
            <w:vAlign w:val="bottom"/>
            <w:hideMark/>
          </w:tcPr>
          <w:p w14:paraId="4EEF54C3"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458</w:t>
            </w:r>
          </w:p>
        </w:tc>
        <w:tc>
          <w:tcPr>
            <w:tcW w:w="769" w:type="dxa"/>
            <w:tcBorders>
              <w:top w:val="nil"/>
              <w:left w:val="nil"/>
              <w:bottom w:val="nil"/>
              <w:right w:val="nil"/>
            </w:tcBorders>
            <w:shd w:val="clear" w:color="000000" w:fill="C1D981"/>
            <w:noWrap/>
            <w:vAlign w:val="bottom"/>
            <w:hideMark/>
          </w:tcPr>
          <w:p w14:paraId="4E93A045"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454</w:t>
            </w:r>
          </w:p>
        </w:tc>
        <w:tc>
          <w:tcPr>
            <w:tcW w:w="791" w:type="dxa"/>
            <w:tcBorders>
              <w:top w:val="nil"/>
              <w:left w:val="nil"/>
              <w:bottom w:val="nil"/>
              <w:right w:val="single" w:sz="4" w:space="0" w:color="auto"/>
            </w:tcBorders>
            <w:shd w:val="clear" w:color="000000" w:fill="C1DA81"/>
            <w:noWrap/>
            <w:vAlign w:val="bottom"/>
            <w:hideMark/>
          </w:tcPr>
          <w:p w14:paraId="10785255"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452</w:t>
            </w:r>
          </w:p>
        </w:tc>
        <w:tc>
          <w:tcPr>
            <w:tcW w:w="929" w:type="dxa"/>
            <w:tcBorders>
              <w:top w:val="nil"/>
              <w:left w:val="single" w:sz="4" w:space="0" w:color="auto"/>
              <w:bottom w:val="nil"/>
              <w:right w:val="single" w:sz="4" w:space="0" w:color="auto"/>
            </w:tcBorders>
            <w:shd w:val="clear" w:color="auto" w:fill="auto"/>
            <w:noWrap/>
            <w:vAlign w:val="bottom"/>
            <w:hideMark/>
          </w:tcPr>
          <w:p w14:paraId="72FB437E"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2,359</w:t>
            </w:r>
          </w:p>
        </w:tc>
        <w:tc>
          <w:tcPr>
            <w:tcW w:w="1423" w:type="dxa"/>
            <w:tcBorders>
              <w:top w:val="nil"/>
              <w:left w:val="single" w:sz="4" w:space="0" w:color="auto"/>
              <w:bottom w:val="nil"/>
              <w:right w:val="single" w:sz="4" w:space="0" w:color="auto"/>
            </w:tcBorders>
            <w:shd w:val="clear" w:color="auto" w:fill="auto"/>
            <w:noWrap/>
            <w:vAlign w:val="bottom"/>
            <w:hideMark/>
          </w:tcPr>
          <w:p w14:paraId="2C5936F4" w14:textId="77777777" w:rsidR="00073F52" w:rsidRPr="007B5554" w:rsidRDefault="00073F52" w:rsidP="007B5554">
            <w:pPr>
              <w:spacing w:before="0" w:after="0" w:line="240" w:lineRule="auto"/>
              <w:jc w:val="center"/>
              <w:rPr>
                <w:rFonts w:eastAsia="Times New Roman"/>
                <w:color w:val="000000"/>
                <w:sz w:val="20"/>
                <w:szCs w:val="20"/>
              </w:rPr>
            </w:pPr>
            <w:r w:rsidRPr="007B5554">
              <w:rPr>
                <w:color w:val="000000"/>
                <w:sz w:val="20"/>
                <w:szCs w:val="20"/>
              </w:rPr>
              <w:t>9.10</w:t>
            </w:r>
          </w:p>
        </w:tc>
      </w:tr>
      <w:tr w:rsidR="007B5554" w:rsidRPr="00612FD8" w14:paraId="133A7584" w14:textId="77777777" w:rsidTr="007B5554">
        <w:trPr>
          <w:trHeight w:val="424"/>
        </w:trPr>
        <w:tc>
          <w:tcPr>
            <w:tcW w:w="2319" w:type="dxa"/>
            <w:tcBorders>
              <w:top w:val="nil"/>
              <w:left w:val="single" w:sz="4" w:space="0" w:color="auto"/>
              <w:bottom w:val="nil"/>
              <w:right w:val="single" w:sz="4" w:space="0" w:color="auto"/>
            </w:tcBorders>
            <w:shd w:val="clear" w:color="auto" w:fill="auto"/>
            <w:noWrap/>
            <w:vAlign w:val="bottom"/>
            <w:hideMark/>
          </w:tcPr>
          <w:p w14:paraId="4A0BB01D"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Tonbridge and Malling</w:t>
            </w:r>
          </w:p>
        </w:tc>
        <w:tc>
          <w:tcPr>
            <w:tcW w:w="732" w:type="dxa"/>
            <w:tcBorders>
              <w:top w:val="nil"/>
              <w:left w:val="single" w:sz="4" w:space="0" w:color="auto"/>
              <w:bottom w:val="nil"/>
              <w:right w:val="nil"/>
            </w:tcBorders>
            <w:shd w:val="clear" w:color="000000" w:fill="F3E884"/>
            <w:noWrap/>
            <w:vAlign w:val="bottom"/>
            <w:hideMark/>
          </w:tcPr>
          <w:p w14:paraId="3D703329"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446</w:t>
            </w:r>
          </w:p>
        </w:tc>
        <w:tc>
          <w:tcPr>
            <w:tcW w:w="732" w:type="dxa"/>
            <w:tcBorders>
              <w:top w:val="nil"/>
              <w:left w:val="nil"/>
              <w:bottom w:val="nil"/>
              <w:right w:val="nil"/>
            </w:tcBorders>
            <w:shd w:val="clear" w:color="000000" w:fill="E6E483"/>
            <w:noWrap/>
            <w:vAlign w:val="bottom"/>
            <w:hideMark/>
          </w:tcPr>
          <w:p w14:paraId="14677195"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446</w:t>
            </w:r>
          </w:p>
        </w:tc>
        <w:tc>
          <w:tcPr>
            <w:tcW w:w="732" w:type="dxa"/>
            <w:tcBorders>
              <w:top w:val="nil"/>
              <w:left w:val="nil"/>
              <w:bottom w:val="nil"/>
              <w:right w:val="nil"/>
            </w:tcBorders>
            <w:shd w:val="clear" w:color="000000" w:fill="F0E784"/>
            <w:noWrap/>
            <w:vAlign w:val="bottom"/>
            <w:hideMark/>
          </w:tcPr>
          <w:p w14:paraId="5F7D11C1"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412</w:t>
            </w:r>
          </w:p>
        </w:tc>
        <w:tc>
          <w:tcPr>
            <w:tcW w:w="769" w:type="dxa"/>
            <w:tcBorders>
              <w:top w:val="nil"/>
              <w:left w:val="nil"/>
              <w:bottom w:val="nil"/>
              <w:right w:val="nil"/>
            </w:tcBorders>
            <w:shd w:val="clear" w:color="000000" w:fill="EDE683"/>
            <w:noWrap/>
            <w:vAlign w:val="bottom"/>
            <w:hideMark/>
          </w:tcPr>
          <w:p w14:paraId="5C1F14E5"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419</w:t>
            </w:r>
          </w:p>
        </w:tc>
        <w:tc>
          <w:tcPr>
            <w:tcW w:w="769" w:type="dxa"/>
            <w:tcBorders>
              <w:top w:val="nil"/>
              <w:left w:val="nil"/>
              <w:bottom w:val="nil"/>
              <w:right w:val="nil"/>
            </w:tcBorders>
            <w:shd w:val="clear" w:color="000000" w:fill="EDE683"/>
            <w:noWrap/>
            <w:vAlign w:val="bottom"/>
            <w:hideMark/>
          </w:tcPr>
          <w:p w14:paraId="2F7171BB"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408</w:t>
            </w:r>
          </w:p>
        </w:tc>
        <w:tc>
          <w:tcPr>
            <w:tcW w:w="791" w:type="dxa"/>
            <w:tcBorders>
              <w:top w:val="nil"/>
              <w:left w:val="nil"/>
              <w:bottom w:val="nil"/>
              <w:right w:val="single" w:sz="4" w:space="0" w:color="auto"/>
            </w:tcBorders>
            <w:shd w:val="clear" w:color="000000" w:fill="E7E483"/>
            <w:noWrap/>
            <w:vAlign w:val="bottom"/>
            <w:hideMark/>
          </w:tcPr>
          <w:p w14:paraId="2E24D2EC"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412</w:t>
            </w:r>
          </w:p>
        </w:tc>
        <w:tc>
          <w:tcPr>
            <w:tcW w:w="929" w:type="dxa"/>
            <w:tcBorders>
              <w:top w:val="nil"/>
              <w:left w:val="single" w:sz="4" w:space="0" w:color="auto"/>
              <w:bottom w:val="nil"/>
              <w:right w:val="single" w:sz="4" w:space="0" w:color="auto"/>
            </w:tcBorders>
            <w:shd w:val="clear" w:color="auto" w:fill="auto"/>
            <w:noWrap/>
            <w:vAlign w:val="bottom"/>
            <w:hideMark/>
          </w:tcPr>
          <w:p w14:paraId="55BC8638"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2,130</w:t>
            </w:r>
          </w:p>
        </w:tc>
        <w:tc>
          <w:tcPr>
            <w:tcW w:w="1423" w:type="dxa"/>
            <w:tcBorders>
              <w:top w:val="nil"/>
              <w:left w:val="single" w:sz="4" w:space="0" w:color="auto"/>
              <w:bottom w:val="nil"/>
              <w:right w:val="single" w:sz="4" w:space="0" w:color="auto"/>
            </w:tcBorders>
            <w:shd w:val="clear" w:color="auto" w:fill="auto"/>
            <w:noWrap/>
            <w:vAlign w:val="bottom"/>
            <w:hideMark/>
          </w:tcPr>
          <w:p w14:paraId="3C75EE0E" w14:textId="77777777" w:rsidR="00073F52" w:rsidRPr="007B5554" w:rsidRDefault="00073F52" w:rsidP="007B5554">
            <w:pPr>
              <w:spacing w:before="0" w:after="0" w:line="240" w:lineRule="auto"/>
              <w:jc w:val="center"/>
              <w:rPr>
                <w:rFonts w:eastAsia="Times New Roman"/>
                <w:color w:val="000000"/>
                <w:sz w:val="20"/>
                <w:szCs w:val="20"/>
              </w:rPr>
            </w:pPr>
            <w:r w:rsidRPr="007B5554">
              <w:rPr>
                <w:color w:val="000000"/>
                <w:sz w:val="20"/>
                <w:szCs w:val="20"/>
              </w:rPr>
              <w:t>8.23</w:t>
            </w:r>
          </w:p>
        </w:tc>
      </w:tr>
      <w:tr w:rsidR="007B5554" w:rsidRPr="00612FD8" w14:paraId="2FDD62D1" w14:textId="77777777" w:rsidTr="007B5554">
        <w:trPr>
          <w:trHeight w:val="424"/>
        </w:trPr>
        <w:tc>
          <w:tcPr>
            <w:tcW w:w="2319" w:type="dxa"/>
            <w:tcBorders>
              <w:top w:val="nil"/>
              <w:left w:val="single" w:sz="4" w:space="0" w:color="auto"/>
              <w:bottom w:val="nil"/>
              <w:right w:val="single" w:sz="4" w:space="0" w:color="auto"/>
            </w:tcBorders>
            <w:shd w:val="clear" w:color="auto" w:fill="auto"/>
            <w:noWrap/>
            <w:vAlign w:val="bottom"/>
            <w:hideMark/>
          </w:tcPr>
          <w:p w14:paraId="44BB080B"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Tunbridge Wells</w:t>
            </w:r>
          </w:p>
        </w:tc>
        <w:tc>
          <w:tcPr>
            <w:tcW w:w="732" w:type="dxa"/>
            <w:tcBorders>
              <w:top w:val="nil"/>
              <w:left w:val="single" w:sz="4" w:space="0" w:color="auto"/>
              <w:bottom w:val="nil"/>
              <w:right w:val="nil"/>
            </w:tcBorders>
            <w:shd w:val="clear" w:color="000000" w:fill="FCBE7B"/>
            <w:noWrap/>
            <w:vAlign w:val="bottom"/>
            <w:hideMark/>
          </w:tcPr>
          <w:p w14:paraId="56306596"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410</w:t>
            </w:r>
          </w:p>
        </w:tc>
        <w:tc>
          <w:tcPr>
            <w:tcW w:w="732" w:type="dxa"/>
            <w:tcBorders>
              <w:top w:val="nil"/>
              <w:left w:val="nil"/>
              <w:bottom w:val="nil"/>
              <w:right w:val="nil"/>
            </w:tcBorders>
            <w:shd w:val="clear" w:color="000000" w:fill="FDD67F"/>
            <w:noWrap/>
            <w:vAlign w:val="bottom"/>
            <w:hideMark/>
          </w:tcPr>
          <w:p w14:paraId="19B6124C"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407</w:t>
            </w:r>
          </w:p>
        </w:tc>
        <w:tc>
          <w:tcPr>
            <w:tcW w:w="732" w:type="dxa"/>
            <w:tcBorders>
              <w:top w:val="nil"/>
              <w:left w:val="nil"/>
              <w:bottom w:val="nil"/>
              <w:right w:val="nil"/>
            </w:tcBorders>
            <w:shd w:val="clear" w:color="000000" w:fill="FDCA7D"/>
            <w:noWrap/>
            <w:vAlign w:val="bottom"/>
            <w:hideMark/>
          </w:tcPr>
          <w:p w14:paraId="78E8A92D"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379</w:t>
            </w:r>
          </w:p>
        </w:tc>
        <w:tc>
          <w:tcPr>
            <w:tcW w:w="769" w:type="dxa"/>
            <w:tcBorders>
              <w:top w:val="nil"/>
              <w:left w:val="nil"/>
              <w:bottom w:val="nil"/>
              <w:right w:val="nil"/>
            </w:tcBorders>
            <w:shd w:val="clear" w:color="000000" w:fill="FCC27C"/>
            <w:noWrap/>
            <w:vAlign w:val="bottom"/>
            <w:hideMark/>
          </w:tcPr>
          <w:p w14:paraId="10AF0CB3"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379</w:t>
            </w:r>
          </w:p>
        </w:tc>
        <w:tc>
          <w:tcPr>
            <w:tcW w:w="769" w:type="dxa"/>
            <w:tcBorders>
              <w:top w:val="nil"/>
              <w:left w:val="nil"/>
              <w:bottom w:val="nil"/>
              <w:right w:val="nil"/>
            </w:tcBorders>
            <w:shd w:val="clear" w:color="000000" w:fill="FDC97D"/>
            <w:noWrap/>
            <w:vAlign w:val="bottom"/>
            <w:hideMark/>
          </w:tcPr>
          <w:p w14:paraId="2686F17E"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373</w:t>
            </w:r>
          </w:p>
        </w:tc>
        <w:tc>
          <w:tcPr>
            <w:tcW w:w="791" w:type="dxa"/>
            <w:tcBorders>
              <w:top w:val="nil"/>
              <w:left w:val="nil"/>
              <w:bottom w:val="nil"/>
              <w:right w:val="single" w:sz="4" w:space="0" w:color="auto"/>
            </w:tcBorders>
            <w:shd w:val="clear" w:color="000000" w:fill="FDCB7D"/>
            <w:noWrap/>
            <w:vAlign w:val="bottom"/>
            <w:hideMark/>
          </w:tcPr>
          <w:p w14:paraId="21EB26AC"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373</w:t>
            </w:r>
          </w:p>
        </w:tc>
        <w:tc>
          <w:tcPr>
            <w:tcW w:w="929" w:type="dxa"/>
            <w:tcBorders>
              <w:top w:val="nil"/>
              <w:left w:val="single" w:sz="4" w:space="0" w:color="auto"/>
              <w:bottom w:val="nil"/>
              <w:right w:val="single" w:sz="4" w:space="0" w:color="auto"/>
            </w:tcBorders>
            <w:shd w:val="clear" w:color="auto" w:fill="auto"/>
            <w:noWrap/>
            <w:vAlign w:val="bottom"/>
            <w:hideMark/>
          </w:tcPr>
          <w:p w14:paraId="55375B4A" w14:textId="77777777" w:rsidR="00073F52" w:rsidRPr="007B5554" w:rsidRDefault="00073F52" w:rsidP="007B5554">
            <w:pPr>
              <w:spacing w:before="0" w:after="0" w:line="240" w:lineRule="auto"/>
              <w:jc w:val="center"/>
              <w:rPr>
                <w:rFonts w:eastAsia="Times New Roman"/>
                <w:color w:val="000000"/>
                <w:sz w:val="20"/>
                <w:szCs w:val="20"/>
              </w:rPr>
            </w:pPr>
            <w:r w:rsidRPr="007B5554">
              <w:rPr>
                <w:rFonts w:eastAsia="Times New Roman"/>
                <w:color w:val="000000"/>
                <w:sz w:val="20"/>
                <w:szCs w:val="20"/>
              </w:rPr>
              <w:t>1,949</w:t>
            </w:r>
          </w:p>
        </w:tc>
        <w:tc>
          <w:tcPr>
            <w:tcW w:w="1423" w:type="dxa"/>
            <w:tcBorders>
              <w:top w:val="nil"/>
              <w:left w:val="single" w:sz="4" w:space="0" w:color="auto"/>
              <w:bottom w:val="nil"/>
              <w:right w:val="single" w:sz="4" w:space="0" w:color="auto"/>
            </w:tcBorders>
            <w:shd w:val="clear" w:color="auto" w:fill="auto"/>
            <w:noWrap/>
            <w:vAlign w:val="bottom"/>
            <w:hideMark/>
          </w:tcPr>
          <w:p w14:paraId="47B618AC" w14:textId="77777777" w:rsidR="00073F52" w:rsidRPr="007B5554" w:rsidRDefault="00073F52" w:rsidP="007B5554">
            <w:pPr>
              <w:spacing w:before="0" w:after="0" w:line="240" w:lineRule="auto"/>
              <w:jc w:val="center"/>
              <w:rPr>
                <w:rFonts w:eastAsia="Times New Roman"/>
                <w:color w:val="000000"/>
                <w:sz w:val="20"/>
                <w:szCs w:val="20"/>
              </w:rPr>
            </w:pPr>
            <w:r w:rsidRPr="007B5554">
              <w:rPr>
                <w:color w:val="000000"/>
                <w:sz w:val="20"/>
                <w:szCs w:val="20"/>
              </w:rPr>
              <w:t>7.52</w:t>
            </w:r>
          </w:p>
        </w:tc>
      </w:tr>
      <w:tr w:rsidR="007B5554" w:rsidRPr="00612FD8" w14:paraId="52EC4AF1" w14:textId="77777777" w:rsidTr="007B5554">
        <w:trPr>
          <w:trHeight w:val="424"/>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14:paraId="5B24A7B8" w14:textId="77777777" w:rsidR="00073F52" w:rsidRPr="00612FD8" w:rsidRDefault="00073F52" w:rsidP="007B5554">
            <w:pPr>
              <w:spacing w:before="0" w:after="0" w:line="240" w:lineRule="auto"/>
              <w:jc w:val="center"/>
              <w:rPr>
                <w:rFonts w:eastAsia="Times New Roman"/>
                <w:b/>
                <w:bCs/>
                <w:i/>
                <w:iCs/>
                <w:color w:val="000000"/>
              </w:rPr>
            </w:pPr>
            <w:r w:rsidRPr="007B5554">
              <w:rPr>
                <w:rFonts w:eastAsia="Times New Roman"/>
                <w:b/>
                <w:bCs/>
                <w:i/>
                <w:iCs/>
                <w:color w:val="000000"/>
                <w:sz w:val="20"/>
                <w:szCs w:val="20"/>
              </w:rPr>
              <w:t>Total</w:t>
            </w:r>
          </w:p>
        </w:tc>
        <w:tc>
          <w:tcPr>
            <w:tcW w:w="732" w:type="dxa"/>
            <w:tcBorders>
              <w:top w:val="nil"/>
              <w:left w:val="single" w:sz="4" w:space="0" w:color="auto"/>
              <w:bottom w:val="single" w:sz="4" w:space="0" w:color="auto"/>
              <w:right w:val="nil"/>
            </w:tcBorders>
            <w:shd w:val="clear" w:color="auto" w:fill="auto"/>
            <w:noWrap/>
            <w:vAlign w:val="bottom"/>
            <w:hideMark/>
          </w:tcPr>
          <w:p w14:paraId="284315BD" w14:textId="77777777" w:rsidR="00073F52" w:rsidRPr="007B5554" w:rsidRDefault="00073F52" w:rsidP="007B5554">
            <w:pPr>
              <w:spacing w:before="0" w:after="0" w:line="240" w:lineRule="auto"/>
              <w:jc w:val="center"/>
              <w:rPr>
                <w:rFonts w:eastAsia="Times New Roman"/>
                <w:b/>
                <w:bCs/>
                <w:i/>
                <w:iCs/>
                <w:color w:val="000000"/>
                <w:sz w:val="20"/>
                <w:szCs w:val="20"/>
              </w:rPr>
            </w:pPr>
            <w:r w:rsidRPr="007B5554">
              <w:rPr>
                <w:rFonts w:eastAsia="Times New Roman"/>
                <w:b/>
                <w:bCs/>
                <w:i/>
                <w:iCs/>
                <w:color w:val="000000"/>
                <w:sz w:val="20"/>
                <w:szCs w:val="20"/>
              </w:rPr>
              <w:t>5,493</w:t>
            </w:r>
          </w:p>
        </w:tc>
        <w:tc>
          <w:tcPr>
            <w:tcW w:w="732" w:type="dxa"/>
            <w:tcBorders>
              <w:top w:val="nil"/>
              <w:left w:val="nil"/>
              <w:bottom w:val="single" w:sz="4" w:space="0" w:color="auto"/>
              <w:right w:val="nil"/>
            </w:tcBorders>
            <w:shd w:val="clear" w:color="auto" w:fill="auto"/>
            <w:noWrap/>
            <w:vAlign w:val="bottom"/>
            <w:hideMark/>
          </w:tcPr>
          <w:p w14:paraId="30A5A99C" w14:textId="77777777" w:rsidR="00073F52" w:rsidRPr="007B5554" w:rsidRDefault="00073F52" w:rsidP="007B5554">
            <w:pPr>
              <w:spacing w:before="0" w:after="0" w:line="240" w:lineRule="auto"/>
              <w:jc w:val="center"/>
              <w:rPr>
                <w:rFonts w:eastAsia="Times New Roman"/>
                <w:b/>
                <w:bCs/>
                <w:i/>
                <w:iCs/>
                <w:color w:val="000000"/>
                <w:sz w:val="20"/>
                <w:szCs w:val="20"/>
              </w:rPr>
            </w:pPr>
            <w:r w:rsidRPr="007B5554">
              <w:rPr>
                <w:rFonts w:eastAsia="Times New Roman"/>
                <w:b/>
                <w:bCs/>
                <w:i/>
                <w:iCs/>
                <w:color w:val="000000"/>
                <w:sz w:val="20"/>
                <w:szCs w:val="20"/>
              </w:rPr>
              <w:t>5,403</w:t>
            </w:r>
          </w:p>
        </w:tc>
        <w:tc>
          <w:tcPr>
            <w:tcW w:w="732" w:type="dxa"/>
            <w:tcBorders>
              <w:top w:val="nil"/>
              <w:left w:val="nil"/>
              <w:bottom w:val="single" w:sz="4" w:space="0" w:color="auto"/>
              <w:right w:val="nil"/>
            </w:tcBorders>
            <w:shd w:val="clear" w:color="auto" w:fill="auto"/>
            <w:noWrap/>
            <w:vAlign w:val="bottom"/>
            <w:hideMark/>
          </w:tcPr>
          <w:p w14:paraId="5E68971E" w14:textId="77777777" w:rsidR="00073F52" w:rsidRPr="007B5554" w:rsidRDefault="00073F52" w:rsidP="007B5554">
            <w:pPr>
              <w:spacing w:before="0" w:after="0" w:line="240" w:lineRule="auto"/>
              <w:jc w:val="center"/>
              <w:rPr>
                <w:rFonts w:eastAsia="Times New Roman"/>
                <w:b/>
                <w:bCs/>
                <w:i/>
                <w:iCs/>
                <w:color w:val="000000"/>
                <w:sz w:val="20"/>
                <w:szCs w:val="20"/>
              </w:rPr>
            </w:pPr>
            <w:r w:rsidRPr="007B5554">
              <w:rPr>
                <w:rFonts w:eastAsia="Times New Roman"/>
                <w:b/>
                <w:bCs/>
                <w:i/>
                <w:iCs/>
                <w:color w:val="000000"/>
                <w:sz w:val="20"/>
                <w:szCs w:val="20"/>
              </w:rPr>
              <w:t>5,009</w:t>
            </w:r>
          </w:p>
        </w:tc>
        <w:tc>
          <w:tcPr>
            <w:tcW w:w="769" w:type="dxa"/>
            <w:tcBorders>
              <w:top w:val="nil"/>
              <w:left w:val="nil"/>
              <w:bottom w:val="single" w:sz="4" w:space="0" w:color="auto"/>
              <w:right w:val="nil"/>
            </w:tcBorders>
            <w:shd w:val="clear" w:color="auto" w:fill="auto"/>
            <w:noWrap/>
            <w:vAlign w:val="bottom"/>
            <w:hideMark/>
          </w:tcPr>
          <w:p w14:paraId="6D7A44BE" w14:textId="77777777" w:rsidR="00073F52" w:rsidRPr="007B5554" w:rsidRDefault="00073F52" w:rsidP="007B5554">
            <w:pPr>
              <w:spacing w:before="0" w:after="0" w:line="240" w:lineRule="auto"/>
              <w:jc w:val="center"/>
              <w:rPr>
                <w:rFonts w:eastAsia="Times New Roman"/>
                <w:b/>
                <w:bCs/>
                <w:i/>
                <w:iCs/>
                <w:color w:val="000000"/>
                <w:sz w:val="20"/>
                <w:szCs w:val="20"/>
              </w:rPr>
            </w:pPr>
            <w:r w:rsidRPr="007B5554">
              <w:rPr>
                <w:rFonts w:eastAsia="Times New Roman"/>
                <w:b/>
                <w:bCs/>
                <w:i/>
                <w:iCs/>
                <w:color w:val="000000"/>
                <w:sz w:val="20"/>
                <w:szCs w:val="20"/>
              </w:rPr>
              <w:t>5,044</w:t>
            </w:r>
          </w:p>
        </w:tc>
        <w:tc>
          <w:tcPr>
            <w:tcW w:w="769" w:type="dxa"/>
            <w:tcBorders>
              <w:top w:val="nil"/>
              <w:left w:val="nil"/>
              <w:bottom w:val="single" w:sz="4" w:space="0" w:color="auto"/>
              <w:right w:val="nil"/>
            </w:tcBorders>
            <w:shd w:val="clear" w:color="auto" w:fill="auto"/>
            <w:noWrap/>
            <w:vAlign w:val="bottom"/>
            <w:hideMark/>
          </w:tcPr>
          <w:p w14:paraId="06AC2DFB" w14:textId="77777777" w:rsidR="00073F52" w:rsidRPr="007B5554" w:rsidRDefault="00073F52" w:rsidP="007B5554">
            <w:pPr>
              <w:spacing w:before="0" w:after="0" w:line="240" w:lineRule="auto"/>
              <w:jc w:val="center"/>
              <w:rPr>
                <w:rFonts w:eastAsia="Times New Roman"/>
                <w:b/>
                <w:bCs/>
                <w:i/>
                <w:iCs/>
                <w:color w:val="000000"/>
                <w:sz w:val="20"/>
                <w:szCs w:val="20"/>
              </w:rPr>
            </w:pPr>
            <w:r w:rsidRPr="007B5554">
              <w:rPr>
                <w:rFonts w:eastAsia="Times New Roman"/>
                <w:b/>
                <w:bCs/>
                <w:i/>
                <w:iCs/>
                <w:color w:val="000000"/>
                <w:sz w:val="20"/>
                <w:szCs w:val="20"/>
              </w:rPr>
              <w:t>4,972</w:t>
            </w:r>
          </w:p>
        </w:tc>
        <w:tc>
          <w:tcPr>
            <w:tcW w:w="791" w:type="dxa"/>
            <w:tcBorders>
              <w:top w:val="nil"/>
              <w:left w:val="nil"/>
              <w:bottom w:val="single" w:sz="4" w:space="0" w:color="auto"/>
              <w:right w:val="single" w:sz="4" w:space="0" w:color="auto"/>
            </w:tcBorders>
            <w:shd w:val="clear" w:color="auto" w:fill="auto"/>
            <w:noWrap/>
            <w:vAlign w:val="bottom"/>
            <w:hideMark/>
          </w:tcPr>
          <w:p w14:paraId="166C9A87" w14:textId="77777777" w:rsidR="00073F52" w:rsidRPr="007B5554" w:rsidRDefault="00073F52" w:rsidP="007B5554">
            <w:pPr>
              <w:spacing w:before="0" w:after="0" w:line="240" w:lineRule="auto"/>
              <w:jc w:val="center"/>
              <w:rPr>
                <w:rFonts w:eastAsia="Times New Roman"/>
                <w:b/>
                <w:bCs/>
                <w:i/>
                <w:iCs/>
                <w:color w:val="000000"/>
                <w:sz w:val="20"/>
                <w:szCs w:val="20"/>
              </w:rPr>
            </w:pPr>
            <w:r w:rsidRPr="007B5554">
              <w:rPr>
                <w:rFonts w:eastAsia="Times New Roman"/>
                <w:b/>
                <w:bCs/>
                <w:i/>
                <w:iCs/>
                <w:color w:val="000000"/>
                <w:sz w:val="20"/>
                <w:szCs w:val="20"/>
              </w:rPr>
              <w:t>4,970</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F70E430" w14:textId="77777777" w:rsidR="00073F52" w:rsidRPr="007B5554" w:rsidRDefault="00073F52" w:rsidP="007B5554">
            <w:pPr>
              <w:spacing w:before="0" w:after="0" w:line="240" w:lineRule="auto"/>
              <w:jc w:val="center"/>
              <w:rPr>
                <w:rFonts w:eastAsia="Times New Roman"/>
                <w:b/>
                <w:bCs/>
                <w:i/>
                <w:iCs/>
                <w:color w:val="000000"/>
                <w:sz w:val="20"/>
                <w:szCs w:val="20"/>
              </w:rPr>
            </w:pPr>
            <w:r w:rsidRPr="007B5554">
              <w:rPr>
                <w:rFonts w:eastAsia="Times New Roman"/>
                <w:b/>
                <w:bCs/>
                <w:i/>
                <w:iCs/>
                <w:color w:val="000000"/>
                <w:sz w:val="20"/>
                <w:szCs w:val="20"/>
              </w:rPr>
              <w:t>25,920</w:t>
            </w:r>
          </w:p>
        </w:tc>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08EEF9A8" w14:textId="77777777" w:rsidR="00073F52" w:rsidRPr="007B5554" w:rsidRDefault="00073F52" w:rsidP="007B5554">
            <w:pPr>
              <w:spacing w:before="0" w:after="0" w:line="240" w:lineRule="auto"/>
              <w:jc w:val="center"/>
              <w:rPr>
                <w:rFonts w:eastAsia="Times New Roman"/>
                <w:b/>
                <w:bCs/>
                <w:i/>
                <w:iCs/>
                <w:color w:val="000000"/>
                <w:sz w:val="20"/>
                <w:szCs w:val="20"/>
              </w:rPr>
            </w:pPr>
            <w:r w:rsidRPr="007B5554">
              <w:rPr>
                <w:rFonts w:eastAsia="Times New Roman"/>
                <w:b/>
                <w:bCs/>
                <w:i/>
                <w:iCs/>
                <w:color w:val="000000"/>
                <w:sz w:val="20"/>
                <w:szCs w:val="20"/>
              </w:rPr>
              <w:t xml:space="preserve">100 </w:t>
            </w:r>
          </w:p>
        </w:tc>
      </w:tr>
    </w:tbl>
    <w:p w14:paraId="184667F9" w14:textId="77777777" w:rsidR="00073F52" w:rsidRDefault="00073F52" w:rsidP="0086404F">
      <w:pPr>
        <w:rPr>
          <w:rFonts w:ascii="Verdana" w:hAnsi="Verdana"/>
          <w:b/>
          <w:bCs/>
          <w:sz w:val="22"/>
          <w:szCs w:val="22"/>
        </w:rPr>
        <w:sectPr w:rsidR="00073F52" w:rsidSect="009043C3">
          <w:headerReference w:type="default" r:id="rId17"/>
          <w:footerReference w:type="default" r:id="rId18"/>
          <w:pgSz w:w="11906" w:h="16838"/>
          <w:pgMar w:top="1440" w:right="1440" w:bottom="1440" w:left="1440" w:header="708" w:footer="708" w:gutter="0"/>
          <w:pgNumType w:start="1"/>
          <w:cols w:space="708"/>
          <w:docGrid w:linePitch="360"/>
        </w:sectPr>
      </w:pPr>
    </w:p>
    <w:p w14:paraId="04C1D943" w14:textId="22F209A5" w:rsidR="00DC7011" w:rsidRPr="00ED04CB" w:rsidRDefault="004556AD" w:rsidP="008F39C6">
      <w:pPr>
        <w:pStyle w:val="Heading3"/>
        <w:rPr>
          <w:rFonts w:ascii="Verdana" w:hAnsi="Verdana"/>
          <w:sz w:val="28"/>
          <w:szCs w:val="28"/>
        </w:rPr>
      </w:pPr>
      <w:bookmarkStart w:id="9" w:name="_Toc139375898"/>
      <w:r w:rsidRPr="00ED04CB">
        <w:rPr>
          <w:rFonts w:ascii="Verdana" w:hAnsi="Verdana"/>
          <w:sz w:val="28"/>
          <w:szCs w:val="28"/>
        </w:rPr>
        <w:lastRenderedPageBreak/>
        <w:t>4.</w:t>
      </w:r>
      <w:r w:rsidR="005B7C2E" w:rsidRPr="00ED04CB">
        <w:rPr>
          <w:rFonts w:ascii="Verdana" w:hAnsi="Verdana"/>
          <w:sz w:val="28"/>
          <w:szCs w:val="28"/>
        </w:rPr>
        <w:t xml:space="preserve">2 </w:t>
      </w:r>
      <w:r w:rsidR="008B1208" w:rsidRPr="00ED04CB">
        <w:rPr>
          <w:rFonts w:ascii="Verdana" w:hAnsi="Verdana"/>
          <w:sz w:val="28"/>
          <w:szCs w:val="28"/>
        </w:rPr>
        <w:t xml:space="preserve">Walking or </w:t>
      </w:r>
      <w:r w:rsidR="00D756CF" w:rsidRPr="00ED04CB">
        <w:rPr>
          <w:rFonts w:ascii="Verdana" w:hAnsi="Verdana"/>
          <w:sz w:val="28"/>
          <w:szCs w:val="28"/>
        </w:rPr>
        <w:t>cycling for any purpose</w:t>
      </w:r>
      <w:bookmarkEnd w:id="9"/>
    </w:p>
    <w:p w14:paraId="50166D01" w14:textId="08608850" w:rsidR="00F379C9" w:rsidRDefault="00F379C9" w:rsidP="0086404F">
      <w:pPr>
        <w:rPr>
          <w:rFonts w:ascii="Verdana" w:hAnsi="Verdana"/>
          <w:sz w:val="22"/>
          <w:szCs w:val="22"/>
        </w:rPr>
      </w:pPr>
      <w:r>
        <w:rPr>
          <w:rFonts w:ascii="Verdana" w:hAnsi="Verdana"/>
          <w:sz w:val="22"/>
          <w:szCs w:val="22"/>
        </w:rPr>
        <w:t>A higher proportion of adults walked or cycled at least once a month compared to five times a week.</w:t>
      </w:r>
      <w:r w:rsidR="00373FA2">
        <w:rPr>
          <w:rFonts w:ascii="Verdana" w:hAnsi="Verdana"/>
          <w:sz w:val="22"/>
          <w:szCs w:val="22"/>
        </w:rPr>
        <w:t xml:space="preserve"> Overall, higher frequencies of activity are less common than lower frequencies of travel. </w:t>
      </w:r>
      <w:r>
        <w:rPr>
          <w:rFonts w:ascii="Verdana" w:hAnsi="Verdana"/>
          <w:sz w:val="22"/>
          <w:szCs w:val="22"/>
        </w:rPr>
        <w:t>This trend was constant between 201</w:t>
      </w:r>
      <w:r w:rsidR="00286AE1">
        <w:rPr>
          <w:rFonts w:ascii="Verdana" w:hAnsi="Verdana"/>
          <w:sz w:val="22"/>
          <w:szCs w:val="22"/>
        </w:rPr>
        <w:t>6 and 20</w:t>
      </w:r>
      <w:r>
        <w:rPr>
          <w:rFonts w:ascii="Verdana" w:hAnsi="Verdana"/>
          <w:sz w:val="22"/>
          <w:szCs w:val="22"/>
        </w:rPr>
        <w:t xml:space="preserve">21, with the proportion of adults engaging in physical activity increasing </w:t>
      </w:r>
      <w:r w:rsidR="00286AE1">
        <w:rPr>
          <w:rFonts w:ascii="Verdana" w:hAnsi="Verdana"/>
          <w:sz w:val="22"/>
          <w:szCs w:val="22"/>
        </w:rPr>
        <w:t>from</w:t>
      </w:r>
      <w:r>
        <w:rPr>
          <w:rFonts w:ascii="Verdana" w:hAnsi="Verdana"/>
          <w:sz w:val="22"/>
          <w:szCs w:val="22"/>
        </w:rPr>
        <w:t xml:space="preserve"> 2016</w:t>
      </w:r>
      <w:r w:rsidR="00286AE1">
        <w:rPr>
          <w:rFonts w:ascii="Verdana" w:hAnsi="Verdana"/>
          <w:sz w:val="22"/>
          <w:szCs w:val="22"/>
        </w:rPr>
        <w:t xml:space="preserve"> to 20</w:t>
      </w:r>
      <w:r>
        <w:rPr>
          <w:rFonts w:ascii="Verdana" w:hAnsi="Verdana"/>
          <w:sz w:val="22"/>
          <w:szCs w:val="22"/>
        </w:rPr>
        <w:t>19</w:t>
      </w:r>
      <w:r w:rsidR="00DD4837">
        <w:rPr>
          <w:rFonts w:ascii="Verdana" w:hAnsi="Verdana"/>
          <w:sz w:val="22"/>
          <w:szCs w:val="22"/>
        </w:rPr>
        <w:t>.</w:t>
      </w:r>
      <w:r w:rsidR="009A4FE7">
        <w:rPr>
          <w:rFonts w:ascii="Verdana" w:hAnsi="Verdana"/>
          <w:sz w:val="22"/>
          <w:szCs w:val="22"/>
        </w:rPr>
        <w:t xml:space="preserve"> </w:t>
      </w:r>
      <w:r w:rsidR="00EB14A1">
        <w:rPr>
          <w:rFonts w:ascii="Verdana" w:hAnsi="Verdana"/>
          <w:sz w:val="22"/>
          <w:szCs w:val="22"/>
        </w:rPr>
        <w:t>Between</w:t>
      </w:r>
      <w:r w:rsidR="00286AE1">
        <w:rPr>
          <w:rFonts w:ascii="Verdana" w:hAnsi="Verdana"/>
          <w:sz w:val="22"/>
          <w:szCs w:val="22"/>
        </w:rPr>
        <w:t xml:space="preserve"> </w:t>
      </w:r>
      <w:r w:rsidR="00DD4837">
        <w:rPr>
          <w:rFonts w:ascii="Verdana" w:hAnsi="Verdana"/>
          <w:sz w:val="22"/>
          <w:szCs w:val="22"/>
        </w:rPr>
        <w:t>20</w:t>
      </w:r>
      <w:r w:rsidR="007A4F02">
        <w:rPr>
          <w:rFonts w:ascii="Verdana" w:hAnsi="Verdana"/>
          <w:sz w:val="22"/>
          <w:szCs w:val="22"/>
        </w:rPr>
        <w:t>19</w:t>
      </w:r>
      <w:r w:rsidR="00286AE1">
        <w:rPr>
          <w:rFonts w:ascii="Verdana" w:hAnsi="Verdana"/>
          <w:sz w:val="22"/>
          <w:szCs w:val="22"/>
        </w:rPr>
        <w:t xml:space="preserve"> </w:t>
      </w:r>
      <w:r w:rsidR="00EB14A1">
        <w:rPr>
          <w:rFonts w:ascii="Verdana" w:hAnsi="Verdana"/>
          <w:sz w:val="22"/>
          <w:szCs w:val="22"/>
        </w:rPr>
        <w:t>and</w:t>
      </w:r>
      <w:r w:rsidR="00286AE1">
        <w:rPr>
          <w:rFonts w:ascii="Verdana" w:hAnsi="Verdana"/>
          <w:sz w:val="22"/>
          <w:szCs w:val="22"/>
        </w:rPr>
        <w:t xml:space="preserve"> 20</w:t>
      </w:r>
      <w:r w:rsidR="00DD4837">
        <w:rPr>
          <w:rFonts w:ascii="Verdana" w:hAnsi="Verdana"/>
          <w:sz w:val="22"/>
          <w:szCs w:val="22"/>
        </w:rPr>
        <w:t>2</w:t>
      </w:r>
      <w:r w:rsidR="007A4F02">
        <w:rPr>
          <w:rFonts w:ascii="Verdana" w:hAnsi="Verdana"/>
          <w:sz w:val="22"/>
          <w:szCs w:val="22"/>
        </w:rPr>
        <w:t>1</w:t>
      </w:r>
      <w:r w:rsidR="00DD4837">
        <w:rPr>
          <w:rFonts w:ascii="Verdana" w:hAnsi="Verdana"/>
          <w:sz w:val="22"/>
          <w:szCs w:val="22"/>
        </w:rPr>
        <w:t xml:space="preserve">, decreases can be seen </w:t>
      </w:r>
      <w:r w:rsidR="007A4F02">
        <w:rPr>
          <w:rFonts w:ascii="Verdana" w:hAnsi="Verdana"/>
          <w:sz w:val="22"/>
          <w:szCs w:val="22"/>
        </w:rPr>
        <w:t xml:space="preserve">in </w:t>
      </w:r>
      <w:r w:rsidR="00DD4837">
        <w:rPr>
          <w:rFonts w:ascii="Verdana" w:hAnsi="Verdana"/>
          <w:sz w:val="22"/>
          <w:szCs w:val="22"/>
        </w:rPr>
        <w:t>the proportion of adults exercising once a month</w:t>
      </w:r>
      <w:r w:rsidR="007A4F02">
        <w:rPr>
          <w:rFonts w:ascii="Verdana" w:hAnsi="Verdana"/>
          <w:sz w:val="22"/>
          <w:szCs w:val="22"/>
        </w:rPr>
        <w:t xml:space="preserve">, </w:t>
      </w:r>
      <w:r w:rsidR="00DD4837">
        <w:rPr>
          <w:rFonts w:ascii="Verdana" w:hAnsi="Verdana"/>
          <w:sz w:val="22"/>
          <w:szCs w:val="22"/>
        </w:rPr>
        <w:t>once a week</w:t>
      </w:r>
      <w:r w:rsidR="007A4F02">
        <w:rPr>
          <w:rFonts w:ascii="Verdana" w:hAnsi="Verdana"/>
          <w:sz w:val="22"/>
          <w:szCs w:val="22"/>
        </w:rPr>
        <w:t xml:space="preserve"> and three times a week</w:t>
      </w:r>
      <w:r w:rsidR="00DD4837">
        <w:rPr>
          <w:rFonts w:ascii="Verdana" w:hAnsi="Verdana"/>
          <w:sz w:val="22"/>
          <w:szCs w:val="22"/>
        </w:rPr>
        <w:t xml:space="preserve">. Conversely, the proportion of adults exercising five times a week </w:t>
      </w:r>
      <w:r w:rsidR="00264B73">
        <w:rPr>
          <w:rFonts w:ascii="Verdana" w:hAnsi="Verdana"/>
          <w:sz w:val="22"/>
          <w:szCs w:val="22"/>
        </w:rPr>
        <w:t>increased</w:t>
      </w:r>
      <w:r w:rsidR="00DD4837">
        <w:rPr>
          <w:rFonts w:ascii="Verdana" w:hAnsi="Verdana"/>
          <w:sz w:val="22"/>
          <w:szCs w:val="22"/>
        </w:rPr>
        <w:t>.</w:t>
      </w:r>
    </w:p>
    <w:p w14:paraId="2AE9387B" w14:textId="7B3E3000" w:rsidR="00C2148B" w:rsidRPr="00FC77F4" w:rsidRDefault="00DD4837" w:rsidP="0086404F">
      <w:pPr>
        <w:rPr>
          <w:rFonts w:ascii="Verdana" w:hAnsi="Verdana"/>
          <w:sz w:val="22"/>
          <w:szCs w:val="22"/>
        </w:rPr>
      </w:pPr>
      <w:r>
        <w:rPr>
          <w:rFonts w:ascii="Verdana" w:hAnsi="Verdana"/>
          <w:sz w:val="22"/>
          <w:szCs w:val="22"/>
        </w:rPr>
        <w:t>The</w:t>
      </w:r>
      <w:r w:rsidR="007A4F02">
        <w:rPr>
          <w:rFonts w:ascii="Verdana" w:hAnsi="Verdana"/>
          <w:sz w:val="22"/>
          <w:szCs w:val="22"/>
        </w:rPr>
        <w:t xml:space="preserve"> </w:t>
      </w:r>
      <w:r>
        <w:rPr>
          <w:rFonts w:ascii="Verdana" w:hAnsi="Verdana"/>
          <w:sz w:val="22"/>
          <w:szCs w:val="22"/>
        </w:rPr>
        <w:t xml:space="preserve">changes after 2019 can </w:t>
      </w:r>
      <w:r w:rsidR="001C1787">
        <w:rPr>
          <w:rFonts w:ascii="Verdana" w:hAnsi="Verdana"/>
          <w:sz w:val="22"/>
          <w:szCs w:val="22"/>
        </w:rPr>
        <w:t xml:space="preserve">more than </w:t>
      </w:r>
      <w:r>
        <w:rPr>
          <w:rFonts w:ascii="Verdana" w:hAnsi="Verdana"/>
          <w:sz w:val="22"/>
          <w:szCs w:val="22"/>
        </w:rPr>
        <w:t xml:space="preserve">likely be </w:t>
      </w:r>
      <w:r w:rsidR="009C70E5">
        <w:rPr>
          <w:rFonts w:ascii="Verdana" w:hAnsi="Verdana"/>
          <w:sz w:val="22"/>
          <w:szCs w:val="22"/>
        </w:rPr>
        <w:t>attributed</w:t>
      </w:r>
      <w:r>
        <w:rPr>
          <w:rFonts w:ascii="Verdana" w:hAnsi="Verdana"/>
          <w:sz w:val="22"/>
          <w:szCs w:val="22"/>
        </w:rPr>
        <w:t xml:space="preserve"> to the impact of Covid-19 and the restrictions put in</w:t>
      </w:r>
      <w:r w:rsidR="001C1787">
        <w:rPr>
          <w:rFonts w:ascii="Verdana" w:hAnsi="Verdana"/>
          <w:sz w:val="22"/>
          <w:szCs w:val="22"/>
        </w:rPr>
        <w:t>to place</w:t>
      </w:r>
      <w:r w:rsidR="00E25460">
        <w:rPr>
          <w:rFonts w:ascii="Verdana" w:hAnsi="Verdana"/>
          <w:sz w:val="22"/>
          <w:szCs w:val="22"/>
        </w:rPr>
        <w:t xml:space="preserve"> across subsequent years</w:t>
      </w:r>
      <w:r w:rsidR="001C1787">
        <w:rPr>
          <w:rFonts w:ascii="Verdana" w:hAnsi="Verdana"/>
          <w:sz w:val="22"/>
          <w:szCs w:val="22"/>
        </w:rPr>
        <w:t>.</w:t>
      </w:r>
      <w:r w:rsidR="007A4F02">
        <w:rPr>
          <w:rFonts w:ascii="Verdana" w:hAnsi="Verdana"/>
          <w:sz w:val="22"/>
          <w:szCs w:val="22"/>
        </w:rPr>
        <w:t xml:space="preserve"> To view </w:t>
      </w:r>
      <w:r w:rsidR="00BC35B5">
        <w:rPr>
          <w:rFonts w:ascii="Verdana" w:hAnsi="Verdana"/>
          <w:sz w:val="22"/>
          <w:szCs w:val="22"/>
        </w:rPr>
        <w:t xml:space="preserve">these </w:t>
      </w:r>
      <w:r w:rsidR="00043A83" w:rsidRPr="001918BF">
        <w:rPr>
          <w:rFonts w:ascii="Verdana" w:hAnsi="Verdana"/>
          <w:sz w:val="22"/>
          <w:szCs w:val="22"/>
        </w:rPr>
        <w:t xml:space="preserve">trends </w:t>
      </w:r>
      <w:r w:rsidR="007A4F02">
        <w:rPr>
          <w:rFonts w:ascii="Verdana" w:hAnsi="Verdana"/>
          <w:sz w:val="22"/>
          <w:szCs w:val="22"/>
        </w:rPr>
        <w:t xml:space="preserve">in more detail, </w:t>
      </w:r>
      <w:r w:rsidR="00043A83" w:rsidRPr="001918BF">
        <w:rPr>
          <w:rFonts w:ascii="Verdana" w:hAnsi="Verdana"/>
          <w:sz w:val="22"/>
          <w:szCs w:val="22"/>
        </w:rPr>
        <w:t xml:space="preserve">the data </w:t>
      </w:r>
      <w:r w:rsidR="00BC35B5">
        <w:rPr>
          <w:rFonts w:ascii="Verdana" w:hAnsi="Verdana"/>
          <w:sz w:val="22"/>
          <w:szCs w:val="22"/>
        </w:rPr>
        <w:t>will</w:t>
      </w:r>
      <w:r w:rsidR="00043A83" w:rsidRPr="001918BF">
        <w:rPr>
          <w:rFonts w:ascii="Verdana" w:hAnsi="Verdana"/>
          <w:sz w:val="22"/>
          <w:szCs w:val="22"/>
        </w:rPr>
        <w:t xml:space="preserve"> now be split between walking and cycling and by purpose.</w:t>
      </w:r>
      <w:r w:rsidR="004B5659">
        <w:rPr>
          <w:rFonts w:ascii="Verdana" w:hAnsi="Verdana"/>
          <w:sz w:val="22"/>
          <w:szCs w:val="22"/>
        </w:rPr>
        <w:t xml:space="preserve"> Changes </w:t>
      </w:r>
      <w:r w:rsidR="00AE0177">
        <w:rPr>
          <w:rFonts w:ascii="Verdana" w:hAnsi="Verdana"/>
          <w:sz w:val="22"/>
          <w:szCs w:val="22"/>
        </w:rPr>
        <w:t xml:space="preserve">caused by Covid will be discussed in </w:t>
      </w:r>
      <w:r w:rsidR="00D92C19">
        <w:rPr>
          <w:rFonts w:ascii="Verdana" w:hAnsi="Verdana"/>
          <w:sz w:val="22"/>
          <w:szCs w:val="22"/>
        </w:rPr>
        <w:t xml:space="preserve">more </w:t>
      </w:r>
      <w:r w:rsidR="00AE0177">
        <w:rPr>
          <w:rFonts w:ascii="Verdana" w:hAnsi="Verdana"/>
          <w:sz w:val="22"/>
          <w:szCs w:val="22"/>
        </w:rPr>
        <w:t xml:space="preserve">detail in </w:t>
      </w:r>
      <w:r w:rsidR="00CA498A">
        <w:rPr>
          <w:rFonts w:ascii="Verdana" w:hAnsi="Verdana"/>
          <w:sz w:val="22"/>
          <w:szCs w:val="22"/>
        </w:rPr>
        <w:t>S</w:t>
      </w:r>
      <w:r w:rsidR="00AE0177">
        <w:rPr>
          <w:rFonts w:ascii="Verdana" w:hAnsi="Verdana"/>
          <w:sz w:val="22"/>
          <w:szCs w:val="22"/>
        </w:rPr>
        <w:t>ection 5 of this report.</w:t>
      </w:r>
    </w:p>
    <w:p w14:paraId="41E3D98F" w14:textId="55347D0D" w:rsidR="00C61873" w:rsidRPr="004A2C16" w:rsidRDefault="00F77FB7" w:rsidP="00CE5181">
      <w:pPr>
        <w:spacing w:line="240" w:lineRule="auto"/>
        <w:rPr>
          <w:rFonts w:ascii="Verdana" w:hAnsi="Verdana"/>
          <w:b/>
          <w:bCs/>
          <w:sz w:val="22"/>
          <w:szCs w:val="22"/>
        </w:rPr>
      </w:pPr>
      <w:r w:rsidRPr="00E805FB">
        <w:rPr>
          <w:rFonts w:ascii="Verdana" w:hAnsi="Verdana"/>
          <w:b/>
          <w:bCs/>
          <w:sz w:val="22"/>
          <w:szCs w:val="22"/>
        </w:rPr>
        <w:t xml:space="preserve">Figure </w:t>
      </w:r>
      <w:r w:rsidR="00BD7284">
        <w:rPr>
          <w:rFonts w:ascii="Verdana" w:hAnsi="Verdana"/>
          <w:b/>
          <w:bCs/>
          <w:sz w:val="22"/>
          <w:szCs w:val="22"/>
        </w:rPr>
        <w:t>1</w:t>
      </w:r>
      <w:r w:rsidRPr="00E805FB">
        <w:rPr>
          <w:rFonts w:ascii="Verdana" w:hAnsi="Verdana"/>
          <w:b/>
          <w:bCs/>
          <w:sz w:val="22"/>
          <w:szCs w:val="22"/>
        </w:rPr>
        <w:t xml:space="preserve">. </w:t>
      </w:r>
      <w:r w:rsidR="003C492B">
        <w:rPr>
          <w:rFonts w:ascii="Verdana" w:hAnsi="Verdana"/>
          <w:b/>
          <w:bCs/>
          <w:sz w:val="22"/>
          <w:szCs w:val="22"/>
        </w:rPr>
        <w:t>Trend</w:t>
      </w:r>
      <w:r w:rsidR="0046363E" w:rsidRPr="00E805FB">
        <w:rPr>
          <w:rFonts w:ascii="Verdana" w:hAnsi="Verdana"/>
          <w:b/>
          <w:bCs/>
          <w:sz w:val="22"/>
          <w:szCs w:val="22"/>
        </w:rPr>
        <w:t xml:space="preserve"> plot</w:t>
      </w:r>
      <w:r w:rsidRPr="00E805FB">
        <w:rPr>
          <w:rFonts w:ascii="Verdana" w:hAnsi="Verdana"/>
          <w:b/>
          <w:bCs/>
          <w:sz w:val="22"/>
          <w:szCs w:val="22"/>
        </w:rPr>
        <w:t xml:space="preserve"> showing </w:t>
      </w:r>
      <w:r w:rsidR="00A62FFF" w:rsidRPr="00E805FB">
        <w:rPr>
          <w:rFonts w:ascii="Verdana" w:hAnsi="Verdana"/>
          <w:b/>
          <w:bCs/>
          <w:sz w:val="22"/>
          <w:szCs w:val="22"/>
        </w:rPr>
        <w:t>the p</w:t>
      </w:r>
      <w:r w:rsidR="00A62FFF" w:rsidRPr="00A62FFF">
        <w:rPr>
          <w:rFonts w:ascii="Verdana" w:hAnsi="Verdana"/>
          <w:b/>
          <w:bCs/>
          <w:sz w:val="22"/>
          <w:szCs w:val="22"/>
        </w:rPr>
        <w:t xml:space="preserve">roportion of adults who do any walking or cycling by </w:t>
      </w:r>
      <w:r w:rsidR="00A62FFF" w:rsidRPr="00E805FB">
        <w:rPr>
          <w:rFonts w:ascii="Verdana" w:hAnsi="Verdana"/>
          <w:b/>
          <w:bCs/>
          <w:sz w:val="22"/>
          <w:szCs w:val="22"/>
        </w:rPr>
        <w:t>frequency in</w:t>
      </w:r>
      <w:r w:rsidR="00A62FFF" w:rsidRPr="00A62FFF">
        <w:rPr>
          <w:rFonts w:ascii="Verdana" w:hAnsi="Verdana"/>
          <w:b/>
          <w:bCs/>
          <w:sz w:val="22"/>
          <w:szCs w:val="22"/>
        </w:rPr>
        <w:t xml:space="preserve"> Kent, </w:t>
      </w:r>
      <w:r w:rsidR="005C4462">
        <w:rPr>
          <w:rFonts w:ascii="Verdana" w:hAnsi="Verdana"/>
          <w:b/>
          <w:bCs/>
          <w:sz w:val="22"/>
          <w:szCs w:val="22"/>
        </w:rPr>
        <w:t>2016</w:t>
      </w:r>
      <w:r w:rsidR="00A62FFF" w:rsidRPr="00A62FFF">
        <w:rPr>
          <w:rFonts w:ascii="Verdana" w:hAnsi="Verdana"/>
          <w:b/>
          <w:bCs/>
          <w:sz w:val="22"/>
          <w:szCs w:val="22"/>
        </w:rPr>
        <w:t xml:space="preserve"> to 2021</w:t>
      </w:r>
      <w:r w:rsidR="006532EB">
        <w:rPr>
          <w:rFonts w:ascii="Verdana" w:hAnsi="Verdana"/>
          <w:b/>
          <w:bCs/>
          <w:sz w:val="22"/>
          <w:szCs w:val="22"/>
        </w:rPr>
        <w:t>.</w:t>
      </w:r>
      <w:r w:rsidR="007B2A76">
        <w:rPr>
          <w:rFonts w:ascii="Verdana" w:hAnsi="Verdana"/>
          <w:b/>
          <w:bCs/>
          <w:noProof/>
          <w:sz w:val="22"/>
          <w:szCs w:val="22"/>
        </w:rPr>
        <w:drawing>
          <wp:inline distT="0" distB="0" distL="0" distR="0" wp14:anchorId="3C2F3D23" wp14:editId="1DBD8C33">
            <wp:extent cx="5722924" cy="3349042"/>
            <wp:effectExtent l="0" t="0" r="0" b="3810"/>
            <wp:docPr id="395048956" name="Picture 16" descr="This figure is a scatterplot showing the proportion of adults who do any walking or cycling in Kent from 2016 to 2021. This is split into four groups based on the frequency of walking or cycling (each with a separate line on the graph); Once per month, Once per week, Three times per week and Five times per week. These groups show roughly the following proportions across the years (respectively); 80%, 70%, 50% and 35%. Trends are described in more detail in the ma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48956" name="Picture 16" descr="This figure is a scatterplot showing the proportion of adults who do any walking or cycling in Kent from 2016 to 2021. This is split into four groups based on the frequency of walking or cycling (each with a separate line on the graph); Once per month, Once per week, Three times per week and Five times per week. These groups show roughly the following proportions across the years (respectively); 80%, 70%, 50% and 35%. Trends are described in more detail in the main text abo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7188" cy="3363241"/>
                    </a:xfrm>
                    <a:prstGeom prst="rect">
                      <a:avLst/>
                    </a:prstGeom>
                    <a:noFill/>
                  </pic:spPr>
                </pic:pic>
              </a:graphicData>
            </a:graphic>
          </wp:inline>
        </w:drawing>
      </w:r>
    </w:p>
    <w:p w14:paraId="7AB4CC3A" w14:textId="6249FC35" w:rsidR="00073F52" w:rsidRDefault="00073F52">
      <w:pPr>
        <w:spacing w:before="0" w:after="200"/>
        <w:rPr>
          <w:rFonts w:ascii="Verdana" w:hAnsi="Verdana"/>
          <w:b/>
          <w:bCs/>
        </w:rPr>
      </w:pPr>
      <w:r>
        <w:rPr>
          <w:rFonts w:ascii="Verdana" w:hAnsi="Verdana"/>
          <w:b/>
          <w:bCs/>
        </w:rPr>
        <w:br w:type="page"/>
      </w:r>
    </w:p>
    <w:p w14:paraId="3C4CDED7" w14:textId="53C4DAB6" w:rsidR="004556AD" w:rsidRDefault="004556AD" w:rsidP="008F39C6">
      <w:pPr>
        <w:pStyle w:val="Heading3"/>
        <w:rPr>
          <w:rFonts w:ascii="Verdana" w:hAnsi="Verdana"/>
          <w:sz w:val="28"/>
          <w:szCs w:val="28"/>
        </w:rPr>
      </w:pPr>
      <w:bookmarkStart w:id="10" w:name="_Toc139375899"/>
      <w:r w:rsidRPr="00ED04CB">
        <w:rPr>
          <w:rFonts w:ascii="Verdana" w:hAnsi="Verdana"/>
          <w:sz w:val="28"/>
          <w:szCs w:val="28"/>
        </w:rPr>
        <w:lastRenderedPageBreak/>
        <w:t>4.</w:t>
      </w:r>
      <w:r w:rsidR="005B7C2E" w:rsidRPr="00ED04CB">
        <w:rPr>
          <w:rFonts w:ascii="Verdana" w:hAnsi="Verdana"/>
          <w:sz w:val="28"/>
          <w:szCs w:val="28"/>
        </w:rPr>
        <w:t>3</w:t>
      </w:r>
      <w:r w:rsidRPr="00ED04CB">
        <w:rPr>
          <w:rFonts w:ascii="Verdana" w:hAnsi="Verdana"/>
          <w:sz w:val="28"/>
          <w:szCs w:val="28"/>
        </w:rPr>
        <w:t xml:space="preserve"> </w:t>
      </w:r>
      <w:r w:rsidR="007D7DA5">
        <w:rPr>
          <w:rFonts w:ascii="Verdana" w:hAnsi="Verdana"/>
          <w:sz w:val="28"/>
          <w:szCs w:val="28"/>
        </w:rPr>
        <w:t xml:space="preserve">Active </w:t>
      </w:r>
      <w:r w:rsidR="00CB3048">
        <w:rPr>
          <w:rFonts w:ascii="Verdana" w:hAnsi="Verdana"/>
          <w:sz w:val="28"/>
          <w:szCs w:val="28"/>
        </w:rPr>
        <w:t>T</w:t>
      </w:r>
      <w:r w:rsidR="007D7DA5">
        <w:rPr>
          <w:rFonts w:ascii="Verdana" w:hAnsi="Verdana"/>
          <w:sz w:val="28"/>
          <w:szCs w:val="28"/>
        </w:rPr>
        <w:t xml:space="preserve">ravel for </w:t>
      </w:r>
      <w:r w:rsidR="00120369">
        <w:rPr>
          <w:rFonts w:ascii="Verdana" w:hAnsi="Verdana"/>
          <w:sz w:val="28"/>
          <w:szCs w:val="28"/>
        </w:rPr>
        <w:t xml:space="preserve">the purpose of </w:t>
      </w:r>
      <w:r w:rsidR="007D7DA5">
        <w:rPr>
          <w:rFonts w:ascii="Verdana" w:hAnsi="Verdana"/>
          <w:sz w:val="28"/>
          <w:szCs w:val="28"/>
        </w:rPr>
        <w:t>l</w:t>
      </w:r>
      <w:r w:rsidR="00100BD1">
        <w:rPr>
          <w:rFonts w:ascii="Verdana" w:hAnsi="Verdana"/>
          <w:sz w:val="28"/>
          <w:szCs w:val="28"/>
        </w:rPr>
        <w:t>eisure</w:t>
      </w:r>
      <w:bookmarkEnd w:id="10"/>
    </w:p>
    <w:p w14:paraId="3C6D1A17" w14:textId="5D855F1A" w:rsidR="007D7DA5" w:rsidRPr="00CE3C46" w:rsidRDefault="00915411" w:rsidP="00915411">
      <w:pPr>
        <w:pStyle w:val="Heading40"/>
        <w:rPr>
          <w:rFonts w:ascii="Verdana" w:hAnsi="Verdana"/>
          <w:b/>
          <w:bCs/>
          <w:color w:val="auto"/>
        </w:rPr>
      </w:pPr>
      <w:r>
        <w:rPr>
          <w:rStyle w:val="Heading4Char0"/>
          <w:rFonts w:ascii="Verdana" w:hAnsi="Verdana"/>
          <w:b/>
          <w:bCs/>
          <w:color w:val="auto"/>
        </w:rPr>
        <w:t xml:space="preserve">4.3.1 </w:t>
      </w:r>
      <w:r w:rsidR="007D7DA5" w:rsidRPr="00CE3C46">
        <w:rPr>
          <w:rStyle w:val="Heading4Char0"/>
          <w:rFonts w:ascii="Verdana" w:hAnsi="Verdana"/>
          <w:b/>
          <w:bCs/>
          <w:color w:val="auto"/>
        </w:rPr>
        <w:t>Walkin</w:t>
      </w:r>
      <w:r w:rsidR="007D7DA5" w:rsidRPr="00CE3C46">
        <w:rPr>
          <w:rFonts w:ascii="Verdana" w:hAnsi="Verdana"/>
          <w:b/>
          <w:bCs/>
          <w:i w:val="0"/>
          <w:iCs w:val="0"/>
          <w:color w:val="auto"/>
        </w:rPr>
        <w:t>g</w:t>
      </w:r>
      <w:r w:rsidRPr="00CE3C46">
        <w:rPr>
          <w:rFonts w:ascii="Verdana" w:hAnsi="Verdana"/>
          <w:b/>
          <w:bCs/>
          <w:i w:val="0"/>
          <w:iCs w:val="0"/>
          <w:color w:val="auto"/>
        </w:rPr>
        <w:t xml:space="preserve"> for leisure</w:t>
      </w:r>
    </w:p>
    <w:p w14:paraId="3BEEC10C" w14:textId="31A11BF4" w:rsidR="00645B76" w:rsidRPr="00073F52" w:rsidRDefault="00582481" w:rsidP="0086404F">
      <w:pPr>
        <w:spacing w:before="0" w:after="200"/>
        <w:rPr>
          <w:rFonts w:ascii="Verdana" w:hAnsi="Verdana"/>
          <w:sz w:val="22"/>
          <w:szCs w:val="22"/>
        </w:rPr>
      </w:pPr>
      <w:r w:rsidRPr="00CE3C46">
        <w:rPr>
          <w:rFonts w:ascii="Verdana" w:hAnsi="Verdana"/>
          <w:sz w:val="22"/>
          <w:szCs w:val="22"/>
        </w:rPr>
        <w:t xml:space="preserve">Figure </w:t>
      </w:r>
      <w:r w:rsidR="00564149" w:rsidRPr="00CE3C46">
        <w:rPr>
          <w:rFonts w:ascii="Verdana" w:hAnsi="Verdana"/>
          <w:sz w:val="22"/>
          <w:szCs w:val="22"/>
        </w:rPr>
        <w:t>2</w:t>
      </w:r>
      <w:r w:rsidRPr="00CE3C46">
        <w:rPr>
          <w:rFonts w:ascii="Verdana" w:hAnsi="Verdana"/>
          <w:sz w:val="22"/>
          <w:szCs w:val="22"/>
        </w:rPr>
        <w:t xml:space="preserve"> shows an overall steadily </w:t>
      </w:r>
      <w:r w:rsidR="00625207" w:rsidRPr="00CE3C46">
        <w:rPr>
          <w:rFonts w:ascii="Verdana" w:hAnsi="Verdana"/>
          <w:sz w:val="22"/>
          <w:szCs w:val="22"/>
        </w:rPr>
        <w:t>increasing</w:t>
      </w:r>
      <w:r w:rsidRPr="00CE3C46">
        <w:rPr>
          <w:rFonts w:ascii="Verdana" w:hAnsi="Verdana"/>
          <w:sz w:val="22"/>
          <w:szCs w:val="22"/>
        </w:rPr>
        <w:t xml:space="preserve"> trend from 2016</w:t>
      </w:r>
      <w:r w:rsidR="00F070EA" w:rsidRPr="00CE3C46">
        <w:rPr>
          <w:rFonts w:ascii="Verdana" w:hAnsi="Verdana"/>
          <w:sz w:val="22"/>
          <w:szCs w:val="22"/>
        </w:rPr>
        <w:t xml:space="preserve"> to 20</w:t>
      </w:r>
      <w:r w:rsidRPr="00CE3C46">
        <w:rPr>
          <w:rFonts w:ascii="Verdana" w:hAnsi="Verdana"/>
          <w:sz w:val="22"/>
          <w:szCs w:val="22"/>
        </w:rPr>
        <w:t>21</w:t>
      </w:r>
      <w:r w:rsidR="00661998" w:rsidRPr="00CE3C46">
        <w:rPr>
          <w:rFonts w:ascii="Verdana" w:hAnsi="Verdana"/>
          <w:sz w:val="22"/>
          <w:szCs w:val="22"/>
        </w:rPr>
        <w:t xml:space="preserve">, which is </w:t>
      </w:r>
      <w:r w:rsidR="00332779" w:rsidRPr="00CE3C46">
        <w:rPr>
          <w:rFonts w:ascii="Verdana" w:hAnsi="Verdana"/>
          <w:sz w:val="22"/>
          <w:szCs w:val="22"/>
        </w:rPr>
        <w:t xml:space="preserve">noticeable across all frequency </w:t>
      </w:r>
      <w:r w:rsidR="00D466A9" w:rsidRPr="00CE3C46">
        <w:rPr>
          <w:rFonts w:ascii="Verdana" w:hAnsi="Verdana"/>
          <w:sz w:val="22"/>
          <w:szCs w:val="22"/>
        </w:rPr>
        <w:t xml:space="preserve">categories. </w:t>
      </w:r>
      <w:r w:rsidR="00753044" w:rsidRPr="00CE3C46">
        <w:rPr>
          <w:rFonts w:ascii="Verdana" w:hAnsi="Verdana"/>
          <w:sz w:val="22"/>
          <w:szCs w:val="22"/>
        </w:rPr>
        <w:t>This rate seems to accelerate</w:t>
      </w:r>
      <w:r w:rsidR="00ED665D" w:rsidRPr="00CE3C46">
        <w:rPr>
          <w:rFonts w:ascii="Verdana" w:hAnsi="Verdana"/>
          <w:sz w:val="22"/>
          <w:szCs w:val="22"/>
        </w:rPr>
        <w:t xml:space="preserve"> slightly</w:t>
      </w:r>
      <w:r w:rsidR="00DE21F2" w:rsidRPr="00CE3C46">
        <w:rPr>
          <w:rFonts w:ascii="Verdana" w:hAnsi="Verdana"/>
          <w:sz w:val="22"/>
          <w:szCs w:val="22"/>
        </w:rPr>
        <w:t xml:space="preserve"> in 2020</w:t>
      </w:r>
      <w:r w:rsidR="00ED40D7" w:rsidRPr="00CE3C46">
        <w:rPr>
          <w:rFonts w:ascii="Verdana" w:hAnsi="Verdana"/>
          <w:sz w:val="22"/>
          <w:szCs w:val="22"/>
        </w:rPr>
        <w:t>, likely due to people exercising</w:t>
      </w:r>
      <w:r w:rsidR="00ED40D7">
        <w:rPr>
          <w:rFonts w:ascii="Verdana" w:hAnsi="Verdana"/>
          <w:sz w:val="22"/>
          <w:szCs w:val="22"/>
        </w:rPr>
        <w:t xml:space="preserve"> more during Covid-19 restrictions</w:t>
      </w:r>
      <w:r w:rsidR="00AA5830">
        <w:rPr>
          <w:rFonts w:ascii="Verdana" w:hAnsi="Verdana"/>
          <w:sz w:val="22"/>
          <w:szCs w:val="22"/>
          <w:vertAlign w:val="superscript"/>
        </w:rPr>
        <w:t>6</w:t>
      </w:r>
      <w:r w:rsidR="00ED665D">
        <w:rPr>
          <w:rFonts w:ascii="Verdana" w:hAnsi="Verdana"/>
          <w:sz w:val="22"/>
          <w:szCs w:val="22"/>
        </w:rPr>
        <w:t xml:space="preserve">. </w:t>
      </w:r>
      <w:r w:rsidR="00A214E1" w:rsidRPr="001918BF">
        <w:rPr>
          <w:rFonts w:ascii="Verdana" w:hAnsi="Verdana"/>
          <w:sz w:val="22"/>
          <w:szCs w:val="22"/>
        </w:rPr>
        <w:t xml:space="preserve">The </w:t>
      </w:r>
      <w:r w:rsidR="00A110ED" w:rsidRPr="001918BF">
        <w:rPr>
          <w:rFonts w:ascii="Verdana" w:hAnsi="Verdana"/>
          <w:sz w:val="22"/>
          <w:szCs w:val="22"/>
        </w:rPr>
        <w:t xml:space="preserve">same trend </w:t>
      </w:r>
      <w:r w:rsidR="002102D2" w:rsidRPr="001918BF">
        <w:rPr>
          <w:rFonts w:ascii="Verdana" w:hAnsi="Verdana"/>
          <w:sz w:val="22"/>
          <w:szCs w:val="22"/>
        </w:rPr>
        <w:t>can b</w:t>
      </w:r>
      <w:r w:rsidR="00E2536F" w:rsidRPr="001918BF">
        <w:rPr>
          <w:rFonts w:ascii="Verdana" w:hAnsi="Verdana"/>
          <w:sz w:val="22"/>
          <w:szCs w:val="22"/>
        </w:rPr>
        <w:t xml:space="preserve">e seen across all 12 </w:t>
      </w:r>
      <w:r w:rsidR="00625207" w:rsidRPr="001918BF">
        <w:rPr>
          <w:rFonts w:ascii="Verdana" w:hAnsi="Verdana"/>
          <w:sz w:val="22"/>
          <w:szCs w:val="22"/>
        </w:rPr>
        <w:t>districts</w:t>
      </w:r>
      <w:r w:rsidR="00E2536F" w:rsidRPr="001918BF">
        <w:rPr>
          <w:rFonts w:ascii="Verdana" w:hAnsi="Verdana"/>
          <w:sz w:val="22"/>
          <w:szCs w:val="22"/>
        </w:rPr>
        <w:t xml:space="preserve"> to varying extents</w:t>
      </w:r>
      <w:r w:rsidR="003C4307" w:rsidRPr="001918BF">
        <w:rPr>
          <w:rFonts w:ascii="Verdana" w:hAnsi="Verdana"/>
          <w:sz w:val="22"/>
          <w:szCs w:val="22"/>
        </w:rPr>
        <w:t xml:space="preserve"> but is clearer in the </w:t>
      </w:r>
      <w:r w:rsidR="00BD54E7">
        <w:rPr>
          <w:rFonts w:ascii="Verdana" w:hAnsi="Verdana"/>
          <w:sz w:val="22"/>
          <w:szCs w:val="22"/>
        </w:rPr>
        <w:t>higher</w:t>
      </w:r>
      <w:r w:rsidR="003C4307" w:rsidRPr="001918BF">
        <w:rPr>
          <w:rFonts w:ascii="Verdana" w:hAnsi="Verdana"/>
          <w:sz w:val="22"/>
          <w:szCs w:val="22"/>
        </w:rPr>
        <w:t xml:space="preserve"> frequenc</w:t>
      </w:r>
      <w:r w:rsidR="00D617B9" w:rsidRPr="001918BF">
        <w:rPr>
          <w:rFonts w:ascii="Verdana" w:hAnsi="Verdana"/>
          <w:sz w:val="22"/>
          <w:szCs w:val="22"/>
        </w:rPr>
        <w:t>ies</w:t>
      </w:r>
      <w:r w:rsidR="006E7150">
        <w:rPr>
          <w:rFonts w:ascii="Verdana" w:hAnsi="Verdana"/>
          <w:sz w:val="22"/>
          <w:szCs w:val="22"/>
        </w:rPr>
        <w:t>.</w:t>
      </w:r>
    </w:p>
    <w:p w14:paraId="61D2C7DF" w14:textId="3F91DFB5" w:rsidR="004023E8" w:rsidRDefault="00896613" w:rsidP="00CE5181">
      <w:pPr>
        <w:spacing w:after="200" w:line="240" w:lineRule="auto"/>
        <w:rPr>
          <w:rFonts w:ascii="Verdana" w:hAnsi="Verdana"/>
          <w:b/>
          <w:bCs/>
          <w:noProof/>
          <w:sz w:val="22"/>
          <w:szCs w:val="22"/>
        </w:rPr>
      </w:pPr>
      <w:r w:rsidRPr="00C405F8">
        <w:rPr>
          <w:rFonts w:ascii="Verdana" w:hAnsi="Verdana"/>
          <w:b/>
          <w:bCs/>
          <w:sz w:val="22"/>
          <w:szCs w:val="22"/>
        </w:rPr>
        <w:t xml:space="preserve">Figure </w:t>
      </w:r>
      <w:r w:rsidR="00564149">
        <w:rPr>
          <w:rFonts w:ascii="Verdana" w:hAnsi="Verdana"/>
          <w:b/>
          <w:bCs/>
          <w:sz w:val="22"/>
          <w:szCs w:val="22"/>
        </w:rPr>
        <w:t>2</w:t>
      </w:r>
      <w:r w:rsidRPr="00C405F8">
        <w:rPr>
          <w:rFonts w:ascii="Verdana" w:hAnsi="Verdana"/>
          <w:b/>
          <w:bCs/>
          <w:sz w:val="22"/>
          <w:szCs w:val="22"/>
        </w:rPr>
        <w:t>.</w:t>
      </w:r>
      <w:r w:rsidR="00561A10" w:rsidRPr="00C405F8">
        <w:rPr>
          <w:rFonts w:ascii="Verdana" w:hAnsi="Verdana"/>
          <w:b/>
          <w:bCs/>
          <w:sz w:val="22"/>
          <w:szCs w:val="22"/>
        </w:rPr>
        <w:t xml:space="preserve"> </w:t>
      </w:r>
      <w:r w:rsidR="003C492B">
        <w:rPr>
          <w:rFonts w:ascii="Verdana" w:hAnsi="Verdana"/>
          <w:b/>
          <w:bCs/>
          <w:sz w:val="22"/>
          <w:szCs w:val="22"/>
        </w:rPr>
        <w:t>Trend</w:t>
      </w:r>
      <w:r w:rsidR="00561A10" w:rsidRPr="00C405F8">
        <w:rPr>
          <w:rFonts w:ascii="Verdana" w:hAnsi="Verdana"/>
          <w:b/>
          <w:bCs/>
          <w:sz w:val="22"/>
          <w:szCs w:val="22"/>
        </w:rPr>
        <w:t xml:space="preserve"> plot showing</w:t>
      </w:r>
      <w:r w:rsidR="00D074B4" w:rsidRPr="00C405F8">
        <w:rPr>
          <w:rFonts w:ascii="Verdana" w:hAnsi="Verdana"/>
          <w:b/>
          <w:bCs/>
          <w:sz w:val="22"/>
          <w:szCs w:val="22"/>
        </w:rPr>
        <w:t xml:space="preserve"> the proportion of adults who walk for leisure by frequency in Kent, </w:t>
      </w:r>
      <w:r w:rsidR="005C4462">
        <w:rPr>
          <w:rFonts w:ascii="Verdana" w:hAnsi="Verdana"/>
          <w:b/>
          <w:bCs/>
          <w:sz w:val="22"/>
          <w:szCs w:val="22"/>
        </w:rPr>
        <w:t xml:space="preserve">2016 to </w:t>
      </w:r>
      <w:r w:rsidR="00D074B4" w:rsidRPr="00C405F8">
        <w:rPr>
          <w:rFonts w:ascii="Verdana" w:hAnsi="Verdana"/>
          <w:b/>
          <w:bCs/>
          <w:sz w:val="22"/>
          <w:szCs w:val="22"/>
        </w:rPr>
        <w:t>2021</w:t>
      </w:r>
      <w:r w:rsidR="006532EB">
        <w:rPr>
          <w:rFonts w:ascii="Verdana" w:hAnsi="Verdana"/>
          <w:b/>
          <w:bCs/>
          <w:sz w:val="22"/>
          <w:szCs w:val="22"/>
        </w:rPr>
        <w:t>.</w:t>
      </w:r>
      <w:r w:rsidR="004023E8">
        <w:rPr>
          <w:rFonts w:ascii="Verdana" w:hAnsi="Verdana"/>
          <w:b/>
          <w:bCs/>
          <w:noProof/>
          <w:sz w:val="22"/>
          <w:szCs w:val="22"/>
        </w:rPr>
        <w:drawing>
          <wp:inline distT="0" distB="0" distL="0" distR="0" wp14:anchorId="4093DEE3" wp14:editId="0320D5FA">
            <wp:extent cx="5722648" cy="3346034"/>
            <wp:effectExtent l="0" t="0" r="0" b="6985"/>
            <wp:docPr id="542525645" name="Picture 19" descr="This figure is a scatterplot showing the proportion of adults who walked for leisure in Kent from 2016 to 2021. This is split into four groups based on the frequency of walking (each with a separate line on the graph); Once per month, Once per week, Three times per week and Five times per week. These groups show roughly the following proportions across the years (respectively); 60% to 70%, 50% to 60%, 20% to 30% and 15% to 25%. Trends are described in more detail in the ma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25645" name="Picture 19" descr="This figure is a scatterplot showing the proportion of adults who walked for leisure in Kent from 2016 to 2021. This is split into four groups based on the frequency of walking (each with a separate line on the graph); Once per month, Once per week, Three times per week and Five times per week. These groups show roughly the following proportions across the years (respectively); 60% to 70%, 50% to 60%, 20% to 30% and 15% to 25%. Trends are described in more detail in the main text abo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7335" cy="3354622"/>
                    </a:xfrm>
                    <a:prstGeom prst="rect">
                      <a:avLst/>
                    </a:prstGeom>
                    <a:noFill/>
                  </pic:spPr>
                </pic:pic>
              </a:graphicData>
            </a:graphic>
          </wp:inline>
        </w:drawing>
      </w:r>
    </w:p>
    <w:p w14:paraId="29B23987" w14:textId="4532E259" w:rsidR="004A2C16" w:rsidRPr="004A2C16" w:rsidRDefault="004A2C16" w:rsidP="004A2C16">
      <w:pPr>
        <w:spacing w:before="0" w:after="200"/>
        <w:rPr>
          <w:rFonts w:ascii="Verdana" w:hAnsi="Verdana"/>
          <w:b/>
          <w:bCs/>
          <w:sz w:val="22"/>
          <w:szCs w:val="22"/>
        </w:rPr>
      </w:pPr>
      <w:r>
        <w:rPr>
          <w:rFonts w:ascii="Verdana" w:hAnsi="Verdana"/>
          <w:b/>
          <w:bCs/>
          <w:sz w:val="22"/>
          <w:szCs w:val="22"/>
        </w:rPr>
        <w:br w:type="page"/>
      </w:r>
    </w:p>
    <w:p w14:paraId="78D9D917" w14:textId="361209DA" w:rsidR="00306088" w:rsidRDefault="00105A24" w:rsidP="0086404F">
      <w:pPr>
        <w:spacing w:before="0" w:after="200"/>
        <w:rPr>
          <w:rFonts w:ascii="Verdana" w:hAnsi="Verdana"/>
          <w:sz w:val="22"/>
          <w:szCs w:val="22"/>
        </w:rPr>
      </w:pPr>
      <w:r>
        <w:rPr>
          <w:rFonts w:ascii="Verdana" w:hAnsi="Verdana"/>
          <w:sz w:val="22"/>
          <w:szCs w:val="22"/>
        </w:rPr>
        <w:lastRenderedPageBreak/>
        <w:t xml:space="preserve">Data for each district </w:t>
      </w:r>
      <w:r w:rsidR="008C7E58">
        <w:rPr>
          <w:rFonts w:ascii="Verdana" w:hAnsi="Verdana"/>
          <w:sz w:val="22"/>
          <w:szCs w:val="22"/>
        </w:rPr>
        <w:t>from 2016</w:t>
      </w:r>
      <w:r w:rsidR="00F070EA">
        <w:rPr>
          <w:rFonts w:ascii="Verdana" w:hAnsi="Verdana"/>
          <w:sz w:val="22"/>
          <w:szCs w:val="22"/>
        </w:rPr>
        <w:t xml:space="preserve"> to 20</w:t>
      </w:r>
      <w:r w:rsidR="008C7E58">
        <w:rPr>
          <w:rFonts w:ascii="Verdana" w:hAnsi="Verdana"/>
          <w:sz w:val="22"/>
          <w:szCs w:val="22"/>
        </w:rPr>
        <w:t xml:space="preserve">21 is given below, for those walking for leisure at least once a month and at least five times a week. The </w:t>
      </w:r>
      <w:r w:rsidR="00661F67">
        <w:rPr>
          <w:rFonts w:ascii="Verdana" w:hAnsi="Verdana"/>
          <w:sz w:val="22"/>
          <w:szCs w:val="22"/>
        </w:rPr>
        <w:t>middle two</w:t>
      </w:r>
      <w:r w:rsidR="008C7E58">
        <w:rPr>
          <w:rFonts w:ascii="Verdana" w:hAnsi="Verdana"/>
          <w:sz w:val="22"/>
          <w:szCs w:val="22"/>
        </w:rPr>
        <w:t xml:space="preserve"> frequencies have been left out </w:t>
      </w:r>
      <w:r w:rsidR="00040881">
        <w:rPr>
          <w:rFonts w:ascii="Verdana" w:hAnsi="Verdana"/>
          <w:sz w:val="22"/>
          <w:szCs w:val="22"/>
        </w:rPr>
        <w:t xml:space="preserve">of this report. </w:t>
      </w:r>
      <w:r w:rsidR="00661F67">
        <w:rPr>
          <w:rFonts w:ascii="Verdana" w:hAnsi="Verdana"/>
          <w:sz w:val="22"/>
          <w:szCs w:val="22"/>
        </w:rPr>
        <w:t xml:space="preserve">Trends for each district mostly match </w:t>
      </w:r>
      <w:r w:rsidR="00954828">
        <w:rPr>
          <w:rFonts w:ascii="Verdana" w:hAnsi="Verdana"/>
          <w:sz w:val="22"/>
          <w:szCs w:val="22"/>
        </w:rPr>
        <w:t xml:space="preserve">those seen for Kent overall. </w:t>
      </w:r>
      <w:r w:rsidR="00936797" w:rsidRPr="001918BF">
        <w:rPr>
          <w:rFonts w:ascii="Verdana" w:hAnsi="Verdana"/>
          <w:sz w:val="22"/>
          <w:szCs w:val="22"/>
        </w:rPr>
        <w:t xml:space="preserve">Dover has the highest overall rates whilst Dartford and Gravesham </w:t>
      </w:r>
      <w:r w:rsidR="00A01782">
        <w:rPr>
          <w:rFonts w:ascii="Verdana" w:hAnsi="Verdana"/>
          <w:sz w:val="22"/>
          <w:szCs w:val="22"/>
        </w:rPr>
        <w:t>have the lowest</w:t>
      </w:r>
      <w:r w:rsidR="00936797">
        <w:rPr>
          <w:rFonts w:ascii="Verdana" w:hAnsi="Verdana"/>
          <w:sz w:val="22"/>
          <w:szCs w:val="22"/>
        </w:rPr>
        <w:t xml:space="preserve"> (see Figur</w:t>
      </w:r>
      <w:r w:rsidR="001F1359">
        <w:rPr>
          <w:rFonts w:ascii="Verdana" w:hAnsi="Verdana"/>
          <w:sz w:val="22"/>
          <w:szCs w:val="22"/>
        </w:rPr>
        <w:t>es 3 and 4</w:t>
      </w:r>
      <w:r w:rsidR="00936797">
        <w:rPr>
          <w:rFonts w:ascii="Verdana" w:hAnsi="Verdana"/>
          <w:sz w:val="22"/>
          <w:szCs w:val="22"/>
        </w:rPr>
        <w:t>).</w:t>
      </w:r>
    </w:p>
    <w:p w14:paraId="2E29EB42" w14:textId="5552FB43" w:rsidR="00DD3C88" w:rsidRDefault="00D418D8" w:rsidP="008B3D22">
      <w:pPr>
        <w:spacing w:line="240" w:lineRule="auto"/>
        <w:rPr>
          <w:rFonts w:ascii="Verdana" w:hAnsi="Verdana"/>
          <w:b/>
          <w:bCs/>
          <w:sz w:val="22"/>
          <w:szCs w:val="22"/>
        </w:rPr>
      </w:pPr>
      <w:r>
        <w:rPr>
          <w:rFonts w:ascii="Verdana" w:hAnsi="Verdana"/>
          <w:b/>
          <w:bCs/>
          <w:noProof/>
          <w:sz w:val="22"/>
          <w:szCs w:val="22"/>
        </w:rPr>
        <w:drawing>
          <wp:anchor distT="0" distB="0" distL="114300" distR="114300" simplePos="0" relativeHeight="251674624" behindDoc="1" locked="0" layoutInCell="1" allowOverlap="1" wp14:anchorId="7559F6B7" wp14:editId="10629A5E">
            <wp:simplePos x="0" y="0"/>
            <wp:positionH relativeFrom="column">
              <wp:posOffset>-361950</wp:posOffset>
            </wp:positionH>
            <wp:positionV relativeFrom="paragraph">
              <wp:posOffset>363855</wp:posOffset>
            </wp:positionV>
            <wp:extent cx="6497955" cy="3731895"/>
            <wp:effectExtent l="0" t="0" r="0" b="1905"/>
            <wp:wrapTight wrapText="bothSides">
              <wp:wrapPolygon edited="0">
                <wp:start x="0" y="0"/>
                <wp:lineTo x="0" y="21501"/>
                <wp:lineTo x="21530" y="21501"/>
                <wp:lineTo x="21530" y="0"/>
                <wp:lineTo x="0" y="0"/>
              </wp:wrapPolygon>
            </wp:wrapTight>
            <wp:docPr id="844538223" name="Picture 9" descr="This figure is a bar chart showing the proportion of adults who walked for leisure at least once a month in Kent from 2016 to 2021. This is split by each of the twelve Kent districts, with each district having a bar for all years between 2016 and 2021 (inclusive). Overall trends are described in the main text above. Proportions vary between districts and years, ranging between 50% an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38223" name="Picture 9" descr="This figure is a bar chart showing the proportion of adults who walked for leisure at least once a month in Kent from 2016 to 2021. This is split by each of the twelve Kent districts, with each district having a bar for all years between 2016 and 2021 (inclusive). Overall trends are described in the main text above. Proportions vary between districts and years, ranging between 50% and 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7955" cy="3731895"/>
                    </a:xfrm>
                    <a:prstGeom prst="rect">
                      <a:avLst/>
                    </a:prstGeom>
                    <a:noFill/>
                  </pic:spPr>
                </pic:pic>
              </a:graphicData>
            </a:graphic>
            <wp14:sizeRelH relativeFrom="page">
              <wp14:pctWidth>0</wp14:pctWidth>
            </wp14:sizeRelH>
            <wp14:sizeRelV relativeFrom="page">
              <wp14:pctHeight>0</wp14:pctHeight>
            </wp14:sizeRelV>
          </wp:anchor>
        </w:drawing>
      </w:r>
      <w:r w:rsidR="001F1359">
        <w:rPr>
          <w:rFonts w:ascii="Verdana" w:hAnsi="Verdana"/>
          <w:b/>
          <w:bCs/>
          <w:sz w:val="22"/>
          <w:szCs w:val="22"/>
        </w:rPr>
        <w:t>Figure 3</w:t>
      </w:r>
      <w:r w:rsidR="00306088" w:rsidRPr="00B01A5F">
        <w:rPr>
          <w:rFonts w:ascii="Verdana" w:hAnsi="Verdana"/>
          <w:b/>
          <w:bCs/>
          <w:sz w:val="22"/>
          <w:szCs w:val="22"/>
        </w:rPr>
        <w:t>. Bar chart showing the proportion of adults who walk for leisure at least once per month by Kent districts,</w:t>
      </w:r>
      <w:r w:rsidR="005C4462">
        <w:rPr>
          <w:rFonts w:ascii="Verdana" w:hAnsi="Verdana"/>
          <w:b/>
          <w:bCs/>
          <w:sz w:val="22"/>
          <w:szCs w:val="22"/>
        </w:rPr>
        <w:t xml:space="preserve"> 2016 to 2021</w:t>
      </w:r>
      <w:r w:rsidR="00306088" w:rsidRPr="00B01A5F">
        <w:rPr>
          <w:rFonts w:ascii="Verdana" w:hAnsi="Verdana"/>
          <w:b/>
          <w:bCs/>
          <w:sz w:val="22"/>
          <w:szCs w:val="22"/>
        </w:rPr>
        <w:t>.</w:t>
      </w:r>
    </w:p>
    <w:p w14:paraId="0B70278A" w14:textId="5FD4B385" w:rsidR="000B6B90" w:rsidRPr="00D82FE4" w:rsidRDefault="00E30922" w:rsidP="00E30922">
      <w:pPr>
        <w:spacing w:before="0" w:after="200"/>
        <w:rPr>
          <w:rFonts w:ascii="Verdana" w:hAnsi="Verdana"/>
          <w:b/>
          <w:bCs/>
          <w:sz w:val="22"/>
          <w:szCs w:val="22"/>
        </w:rPr>
      </w:pPr>
      <w:r>
        <w:rPr>
          <w:rFonts w:ascii="Verdana" w:hAnsi="Verdana"/>
          <w:b/>
          <w:bCs/>
          <w:sz w:val="22"/>
          <w:szCs w:val="22"/>
        </w:rPr>
        <w:br w:type="page"/>
      </w:r>
      <w:r w:rsidR="00B01A5F" w:rsidRPr="00C405F8">
        <w:rPr>
          <w:rFonts w:ascii="Verdana" w:hAnsi="Verdana"/>
          <w:b/>
          <w:bCs/>
          <w:sz w:val="22"/>
          <w:szCs w:val="22"/>
        </w:rPr>
        <w:lastRenderedPageBreak/>
        <w:t xml:space="preserve">Figure </w:t>
      </w:r>
      <w:r w:rsidR="001F1359">
        <w:rPr>
          <w:rFonts w:ascii="Verdana" w:hAnsi="Verdana"/>
          <w:b/>
          <w:bCs/>
          <w:sz w:val="22"/>
          <w:szCs w:val="22"/>
        </w:rPr>
        <w:t>4</w:t>
      </w:r>
      <w:r w:rsidR="00B01A5F" w:rsidRPr="00C405F8">
        <w:rPr>
          <w:rFonts w:ascii="Verdana" w:hAnsi="Verdana"/>
          <w:b/>
          <w:bCs/>
          <w:sz w:val="22"/>
          <w:szCs w:val="22"/>
        </w:rPr>
        <w:t xml:space="preserve">. </w:t>
      </w:r>
      <w:r w:rsidR="00B01A5F" w:rsidRPr="009145EF">
        <w:rPr>
          <w:rFonts w:ascii="Verdana" w:hAnsi="Verdana"/>
          <w:b/>
          <w:bCs/>
          <w:sz w:val="22"/>
          <w:szCs w:val="22"/>
        </w:rPr>
        <w:t xml:space="preserve">Bar chart showing the proportion of adults who walk for </w:t>
      </w:r>
      <w:r w:rsidR="005963C5">
        <w:rPr>
          <w:rFonts w:ascii="Verdana" w:hAnsi="Verdana"/>
          <w:b/>
          <w:bCs/>
          <w:noProof/>
          <w:sz w:val="22"/>
          <w:szCs w:val="22"/>
        </w:rPr>
        <w:drawing>
          <wp:anchor distT="0" distB="0" distL="114300" distR="114300" simplePos="0" relativeHeight="251670528" behindDoc="1" locked="0" layoutInCell="1" allowOverlap="1" wp14:anchorId="3F8F3111" wp14:editId="07DBA5AF">
            <wp:simplePos x="0" y="0"/>
            <wp:positionH relativeFrom="column">
              <wp:posOffset>-353695</wp:posOffset>
            </wp:positionH>
            <wp:positionV relativeFrom="paragraph">
              <wp:posOffset>422275</wp:posOffset>
            </wp:positionV>
            <wp:extent cx="6463030" cy="3699510"/>
            <wp:effectExtent l="0" t="0" r="0" b="0"/>
            <wp:wrapTight wrapText="bothSides">
              <wp:wrapPolygon edited="0">
                <wp:start x="0" y="0"/>
                <wp:lineTo x="0" y="21467"/>
                <wp:lineTo x="21519" y="21467"/>
                <wp:lineTo x="21519" y="0"/>
                <wp:lineTo x="0" y="0"/>
              </wp:wrapPolygon>
            </wp:wrapTight>
            <wp:docPr id="1043448651" name="Picture 8" descr="This figure is a bar chart showing the proportion of adults who walked for leisure at least five times a week in Kent from 2016 to 2021. This is split by each of the twelve Kent districts, with each district having a bar for all years between 2016 and 2021 (inclusive). Overall trends are described in the main text above. Proportions vary between districts and years, ranging between 8% an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48651" name="Picture 8" descr="This figure is a bar chart showing the proportion of adults who walked for leisure at least five times a week in Kent from 2016 to 2021. This is split by each of the twelve Kent districts, with each district having a bar for all years between 2016 and 2021 (inclusive). Overall trends are described in the main text above. Proportions vary between districts and years, ranging between 8% and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63030" cy="3699510"/>
                    </a:xfrm>
                    <a:prstGeom prst="rect">
                      <a:avLst/>
                    </a:prstGeom>
                    <a:noFill/>
                  </pic:spPr>
                </pic:pic>
              </a:graphicData>
            </a:graphic>
            <wp14:sizeRelH relativeFrom="page">
              <wp14:pctWidth>0</wp14:pctWidth>
            </wp14:sizeRelH>
            <wp14:sizeRelV relativeFrom="page">
              <wp14:pctHeight>0</wp14:pctHeight>
            </wp14:sizeRelV>
          </wp:anchor>
        </w:drawing>
      </w:r>
      <w:r w:rsidR="00B01A5F" w:rsidRPr="009145EF">
        <w:rPr>
          <w:rFonts w:ascii="Verdana" w:hAnsi="Verdana"/>
          <w:b/>
          <w:bCs/>
          <w:sz w:val="22"/>
          <w:szCs w:val="22"/>
        </w:rPr>
        <w:t>leisure at least five times per week by Kent districts,</w:t>
      </w:r>
      <w:r w:rsidR="005C4462">
        <w:rPr>
          <w:rFonts w:ascii="Verdana" w:hAnsi="Verdana"/>
          <w:b/>
          <w:bCs/>
          <w:sz w:val="22"/>
          <w:szCs w:val="22"/>
        </w:rPr>
        <w:t xml:space="preserve"> 2016 to 2021.</w:t>
      </w:r>
    </w:p>
    <w:p w14:paraId="3B825C7C" w14:textId="5E9C7037" w:rsidR="004A2C16" w:rsidRDefault="004A2C16" w:rsidP="004A2C16">
      <w:pPr>
        <w:spacing w:before="0" w:after="200"/>
        <w:rPr>
          <w:rFonts w:ascii="Verdana" w:hAnsi="Verdana"/>
          <w:b/>
          <w:bCs/>
          <w:sz w:val="22"/>
          <w:szCs w:val="22"/>
        </w:rPr>
      </w:pPr>
      <w:r>
        <w:rPr>
          <w:rFonts w:ascii="Verdana" w:hAnsi="Verdana"/>
          <w:b/>
          <w:bCs/>
          <w:sz w:val="22"/>
          <w:szCs w:val="22"/>
        </w:rPr>
        <w:br w:type="page"/>
      </w:r>
    </w:p>
    <w:p w14:paraId="10535539" w14:textId="36E3D80B" w:rsidR="00915411" w:rsidRPr="00120369" w:rsidRDefault="00915411" w:rsidP="00915411">
      <w:pPr>
        <w:pStyle w:val="Heading40"/>
        <w:rPr>
          <w:rFonts w:ascii="Verdana" w:hAnsi="Verdana"/>
          <w:b/>
          <w:bCs/>
          <w:i w:val="0"/>
          <w:iCs w:val="0"/>
          <w:color w:val="auto"/>
        </w:rPr>
      </w:pPr>
      <w:r w:rsidRPr="00120369">
        <w:rPr>
          <w:rFonts w:ascii="Verdana" w:hAnsi="Verdana"/>
          <w:b/>
          <w:bCs/>
          <w:i w:val="0"/>
          <w:iCs w:val="0"/>
          <w:color w:val="auto"/>
        </w:rPr>
        <w:lastRenderedPageBreak/>
        <w:t>4.3.2 Cycling for Leisure</w:t>
      </w:r>
    </w:p>
    <w:p w14:paraId="67F931EA" w14:textId="28CF5AD4" w:rsidR="00915411" w:rsidRPr="009B3BFE" w:rsidRDefault="00915411" w:rsidP="00120369">
      <w:pPr>
        <w:spacing w:before="0"/>
        <w:rPr>
          <w:rFonts w:ascii="Verdana" w:hAnsi="Verdana"/>
          <w:sz w:val="22"/>
          <w:szCs w:val="22"/>
        </w:rPr>
      </w:pPr>
      <w:r w:rsidRPr="00E13D86">
        <w:rPr>
          <w:rFonts w:ascii="Verdana" w:hAnsi="Verdana"/>
          <w:sz w:val="22"/>
          <w:szCs w:val="22"/>
        </w:rPr>
        <w:t>Cycling is much less popular than walking, meaning the proportions in this section are much lower than those seen previously. For those who cycle for leisure, relative stability is seen from 2016</w:t>
      </w:r>
      <w:r w:rsidR="00F070EA">
        <w:rPr>
          <w:rFonts w:ascii="Verdana" w:hAnsi="Verdana"/>
          <w:sz w:val="22"/>
          <w:szCs w:val="22"/>
        </w:rPr>
        <w:t xml:space="preserve"> to 20</w:t>
      </w:r>
      <w:r w:rsidRPr="00E13D86">
        <w:rPr>
          <w:rFonts w:ascii="Verdana" w:hAnsi="Verdana"/>
          <w:sz w:val="22"/>
          <w:szCs w:val="22"/>
        </w:rPr>
        <w:t>19 followed by a considerable increase in 2020, and a large decrease in 2021 (see</w:t>
      </w:r>
      <w:r w:rsidR="007E122C">
        <w:rPr>
          <w:rFonts w:ascii="Verdana" w:hAnsi="Verdana"/>
          <w:sz w:val="22"/>
          <w:szCs w:val="22"/>
        </w:rPr>
        <w:t xml:space="preserve"> Figure 5</w:t>
      </w:r>
      <w:r w:rsidRPr="00E13D86">
        <w:rPr>
          <w:rFonts w:ascii="Verdana" w:hAnsi="Verdana"/>
          <w:sz w:val="22"/>
          <w:szCs w:val="22"/>
        </w:rPr>
        <w:t xml:space="preserve">). This decrease is seen across all frequency groups but is more noticeable in lower frequencies of activity. The increase in 2020 is likely due to Covid-19 restrictions causing an uptake in cycling as a hobby, with the end of lockdowns in 2021 causing many to </w:t>
      </w:r>
      <w:r>
        <w:rPr>
          <w:rFonts w:ascii="Verdana" w:hAnsi="Verdana"/>
          <w:sz w:val="22"/>
          <w:szCs w:val="22"/>
        </w:rPr>
        <w:t>stop.</w:t>
      </w:r>
    </w:p>
    <w:p w14:paraId="0DADD05D" w14:textId="1BE51758" w:rsidR="0018566F" w:rsidRPr="0018566F" w:rsidRDefault="00915411" w:rsidP="00CE5181">
      <w:pPr>
        <w:spacing w:before="0" w:after="200" w:line="240" w:lineRule="auto"/>
        <w:rPr>
          <w:rFonts w:ascii="Verdana" w:hAnsi="Verdana"/>
          <w:b/>
          <w:bCs/>
          <w:noProof/>
          <w:sz w:val="22"/>
          <w:szCs w:val="22"/>
        </w:rPr>
      </w:pPr>
      <w:r w:rsidRPr="008256F7">
        <w:rPr>
          <w:rFonts w:ascii="Verdana" w:hAnsi="Verdana"/>
          <w:b/>
          <w:bCs/>
          <w:sz w:val="22"/>
          <w:szCs w:val="22"/>
        </w:rPr>
        <w:t xml:space="preserve">Figure </w:t>
      </w:r>
      <w:r w:rsidR="007E122C">
        <w:rPr>
          <w:rFonts w:ascii="Verdana" w:hAnsi="Verdana"/>
          <w:b/>
          <w:bCs/>
          <w:sz w:val="22"/>
          <w:szCs w:val="22"/>
        </w:rPr>
        <w:t>5</w:t>
      </w:r>
      <w:r w:rsidRPr="008256F7">
        <w:rPr>
          <w:rFonts w:ascii="Verdana" w:hAnsi="Verdana"/>
          <w:b/>
          <w:bCs/>
          <w:sz w:val="22"/>
          <w:szCs w:val="22"/>
        </w:rPr>
        <w:t xml:space="preserve">. </w:t>
      </w:r>
      <w:r w:rsidR="003C492B">
        <w:rPr>
          <w:rFonts w:ascii="Verdana" w:hAnsi="Verdana"/>
          <w:b/>
          <w:bCs/>
          <w:sz w:val="22"/>
          <w:szCs w:val="22"/>
        </w:rPr>
        <w:t>Trend</w:t>
      </w:r>
      <w:r w:rsidRPr="008256F7">
        <w:rPr>
          <w:rFonts w:ascii="Verdana" w:hAnsi="Verdana"/>
          <w:b/>
          <w:bCs/>
          <w:sz w:val="22"/>
          <w:szCs w:val="22"/>
        </w:rPr>
        <w:t xml:space="preserve"> plot showing the proportion of adults who cycle for leisure by frequency, Kent, </w:t>
      </w:r>
      <w:r w:rsidR="005C4462">
        <w:rPr>
          <w:rFonts w:ascii="Verdana" w:hAnsi="Verdana"/>
          <w:b/>
          <w:bCs/>
          <w:sz w:val="22"/>
          <w:szCs w:val="22"/>
        </w:rPr>
        <w:t xml:space="preserve">2016 to </w:t>
      </w:r>
      <w:r w:rsidRPr="008256F7">
        <w:rPr>
          <w:rFonts w:ascii="Verdana" w:hAnsi="Verdana"/>
          <w:b/>
          <w:bCs/>
          <w:sz w:val="22"/>
          <w:szCs w:val="22"/>
        </w:rPr>
        <w:t>2021</w:t>
      </w:r>
      <w:r>
        <w:rPr>
          <w:rFonts w:ascii="Verdana" w:hAnsi="Verdana"/>
          <w:b/>
          <w:bCs/>
          <w:sz w:val="22"/>
          <w:szCs w:val="22"/>
        </w:rPr>
        <w:t>.</w:t>
      </w:r>
      <w:r w:rsidR="0018566F">
        <w:rPr>
          <w:rFonts w:ascii="Verdana" w:hAnsi="Verdana"/>
          <w:b/>
          <w:bCs/>
          <w:noProof/>
        </w:rPr>
        <w:drawing>
          <wp:inline distT="0" distB="0" distL="0" distR="0" wp14:anchorId="19FFC1ED" wp14:editId="7754968F">
            <wp:extent cx="5714972" cy="3328459"/>
            <wp:effectExtent l="0" t="0" r="635" b="5715"/>
            <wp:docPr id="269242789" name="Picture 20" descr="This figure is a scatterplot showing the proportion of adults who cycled for leisure in Kent from 2016 to 2021. This is split into four groups based on the frequency of walking (each with a separate line on the graph); Once per month, Once per week, Three times per week and Five times per week. These groups show roughly the following proportions across the years (respectively); 10% to 14%, 7% to 9%, 2% and 1%. Trends are described in more detail in the ma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42789" name="Picture 20" descr="This figure is a scatterplot showing the proportion of adults who cycled for leisure in Kent from 2016 to 2021. This is split into four groups based on the frequency of walking (each with a separate line on the graph); Once per month, Once per week, Three times per week and Five times per week. These groups show roughly the following proportions across the years (respectively); 10% to 14%, 7% to 9%, 2% and 1%. Trends are described in more detail in the main text abo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3297" cy="3333308"/>
                    </a:xfrm>
                    <a:prstGeom prst="rect">
                      <a:avLst/>
                    </a:prstGeom>
                    <a:noFill/>
                  </pic:spPr>
                </pic:pic>
              </a:graphicData>
            </a:graphic>
          </wp:inline>
        </w:drawing>
      </w:r>
    </w:p>
    <w:p w14:paraId="44482471" w14:textId="77777777" w:rsidR="00915411" w:rsidRDefault="00915411" w:rsidP="00915411">
      <w:pPr>
        <w:spacing w:before="0" w:after="200"/>
        <w:rPr>
          <w:rFonts w:ascii="Verdana" w:hAnsi="Verdana"/>
          <w:sz w:val="22"/>
          <w:szCs w:val="22"/>
        </w:rPr>
      </w:pPr>
      <w:r>
        <w:rPr>
          <w:rFonts w:ascii="Verdana" w:hAnsi="Verdana"/>
          <w:sz w:val="22"/>
          <w:szCs w:val="22"/>
        </w:rPr>
        <w:br w:type="page"/>
      </w:r>
    </w:p>
    <w:p w14:paraId="744979BB" w14:textId="68E09E12" w:rsidR="006E7150" w:rsidRPr="00350810" w:rsidRDefault="00040881" w:rsidP="00350810">
      <w:pPr>
        <w:rPr>
          <w:rFonts w:ascii="Verdana" w:hAnsi="Verdana"/>
          <w:sz w:val="22"/>
          <w:szCs w:val="22"/>
        </w:rPr>
      </w:pPr>
      <w:r>
        <w:rPr>
          <w:rFonts w:ascii="Verdana" w:hAnsi="Verdana"/>
          <w:sz w:val="22"/>
          <w:szCs w:val="22"/>
        </w:rPr>
        <w:lastRenderedPageBreak/>
        <w:t>Data for each district from 2016</w:t>
      </w:r>
      <w:r w:rsidR="00F070EA">
        <w:rPr>
          <w:rFonts w:ascii="Verdana" w:hAnsi="Verdana"/>
          <w:sz w:val="22"/>
          <w:szCs w:val="22"/>
        </w:rPr>
        <w:t xml:space="preserve"> to 20</w:t>
      </w:r>
      <w:r>
        <w:rPr>
          <w:rFonts w:ascii="Verdana" w:hAnsi="Verdana"/>
          <w:sz w:val="22"/>
          <w:szCs w:val="22"/>
        </w:rPr>
        <w:t xml:space="preserve">21 is given below, for those </w:t>
      </w:r>
      <w:r w:rsidR="00F71B6A">
        <w:rPr>
          <w:rFonts w:ascii="Verdana" w:hAnsi="Verdana"/>
          <w:sz w:val="22"/>
          <w:szCs w:val="22"/>
        </w:rPr>
        <w:t>cycling</w:t>
      </w:r>
      <w:r>
        <w:rPr>
          <w:rFonts w:ascii="Verdana" w:hAnsi="Verdana"/>
          <w:sz w:val="22"/>
          <w:szCs w:val="22"/>
        </w:rPr>
        <w:t xml:space="preserve"> for leisure at least once a month and at least five times a week. </w:t>
      </w:r>
      <w:r w:rsidR="00661F67">
        <w:rPr>
          <w:rFonts w:ascii="Verdana" w:hAnsi="Verdana"/>
          <w:sz w:val="22"/>
          <w:szCs w:val="22"/>
        </w:rPr>
        <w:t>The middle two</w:t>
      </w:r>
      <w:r>
        <w:rPr>
          <w:rFonts w:ascii="Verdana" w:hAnsi="Verdana"/>
          <w:sz w:val="22"/>
          <w:szCs w:val="22"/>
        </w:rPr>
        <w:t xml:space="preserve"> frequencies have been left out of this report. </w:t>
      </w:r>
      <w:r w:rsidR="00915411">
        <w:rPr>
          <w:rFonts w:ascii="Verdana" w:hAnsi="Verdana"/>
          <w:sz w:val="22"/>
          <w:szCs w:val="22"/>
        </w:rPr>
        <w:t xml:space="preserve">A yearly trend cannot be distinguished across all the districts, with several years appearing to spike sporadically, </w:t>
      </w:r>
      <w:r w:rsidR="00915411" w:rsidRPr="00E13D86">
        <w:rPr>
          <w:rFonts w:ascii="Verdana" w:hAnsi="Verdana"/>
          <w:sz w:val="22"/>
          <w:szCs w:val="22"/>
        </w:rPr>
        <w:t>particularly Dover in 2016</w:t>
      </w:r>
      <w:r w:rsidR="00915411">
        <w:rPr>
          <w:rFonts w:ascii="Verdana" w:hAnsi="Verdana"/>
          <w:sz w:val="22"/>
          <w:szCs w:val="22"/>
        </w:rPr>
        <w:t>. Overall</w:t>
      </w:r>
      <w:r w:rsidR="00915411" w:rsidRPr="00E13D86">
        <w:rPr>
          <w:rFonts w:ascii="Verdana" w:hAnsi="Verdana"/>
          <w:sz w:val="22"/>
          <w:szCs w:val="22"/>
        </w:rPr>
        <w:t>, trends are much more variable by district compared to data for walking for leisure (see Figure</w:t>
      </w:r>
      <w:r w:rsidR="00366C42">
        <w:rPr>
          <w:rFonts w:ascii="Verdana" w:hAnsi="Verdana"/>
          <w:sz w:val="22"/>
          <w:szCs w:val="22"/>
        </w:rPr>
        <w:t>s 6 and</w:t>
      </w:r>
      <w:r w:rsidR="00915411" w:rsidRPr="00E13D86">
        <w:rPr>
          <w:rFonts w:ascii="Verdana" w:hAnsi="Verdana"/>
          <w:sz w:val="22"/>
          <w:szCs w:val="22"/>
        </w:rPr>
        <w:t xml:space="preserve"> </w:t>
      </w:r>
      <w:r w:rsidR="00915411">
        <w:rPr>
          <w:rFonts w:ascii="Verdana" w:hAnsi="Verdana"/>
          <w:sz w:val="22"/>
          <w:szCs w:val="22"/>
        </w:rPr>
        <w:t>7</w:t>
      </w:r>
      <w:r w:rsidR="00915411" w:rsidRPr="00E13D86">
        <w:rPr>
          <w:rFonts w:ascii="Verdana" w:hAnsi="Verdana"/>
          <w:sz w:val="22"/>
          <w:szCs w:val="22"/>
        </w:rPr>
        <w:t>).</w:t>
      </w:r>
      <w:r w:rsidR="00814E20">
        <w:rPr>
          <w:rFonts w:ascii="Verdana" w:hAnsi="Verdana"/>
          <w:sz w:val="22"/>
          <w:szCs w:val="22"/>
        </w:rPr>
        <w:t xml:space="preserve"> </w:t>
      </w:r>
      <w:r w:rsidR="00915411" w:rsidRPr="00E13D86">
        <w:rPr>
          <w:rFonts w:ascii="Verdana" w:hAnsi="Verdana"/>
          <w:sz w:val="22"/>
          <w:szCs w:val="22"/>
        </w:rPr>
        <w:t>Ashford, Canterbury, and Dover on average have the highest rates, whilst Dartford and Gravesham rank the lowest.</w:t>
      </w:r>
    </w:p>
    <w:p w14:paraId="2DBB8B61" w14:textId="75BA874B" w:rsidR="000D785E" w:rsidRDefault="006462DA" w:rsidP="00CE5181">
      <w:pPr>
        <w:spacing w:before="0" w:after="200" w:line="240" w:lineRule="auto"/>
        <w:rPr>
          <w:rFonts w:ascii="Verdana" w:hAnsi="Verdana"/>
          <w:b/>
          <w:bCs/>
          <w:sz w:val="22"/>
          <w:szCs w:val="22"/>
        </w:rPr>
      </w:pPr>
      <w:r>
        <w:rPr>
          <w:rFonts w:ascii="Verdana" w:hAnsi="Verdana"/>
          <w:b/>
          <w:bCs/>
          <w:noProof/>
          <w:sz w:val="22"/>
          <w:szCs w:val="22"/>
        </w:rPr>
        <w:drawing>
          <wp:anchor distT="0" distB="0" distL="114300" distR="114300" simplePos="0" relativeHeight="251677696" behindDoc="1" locked="0" layoutInCell="1" allowOverlap="1" wp14:anchorId="08699376" wp14:editId="26C143C6">
            <wp:simplePos x="0" y="0"/>
            <wp:positionH relativeFrom="column">
              <wp:posOffset>-361950</wp:posOffset>
            </wp:positionH>
            <wp:positionV relativeFrom="paragraph">
              <wp:posOffset>361950</wp:posOffset>
            </wp:positionV>
            <wp:extent cx="6459220" cy="3695700"/>
            <wp:effectExtent l="0" t="0" r="0" b="0"/>
            <wp:wrapTight wrapText="bothSides">
              <wp:wrapPolygon edited="0">
                <wp:start x="0" y="0"/>
                <wp:lineTo x="0" y="21489"/>
                <wp:lineTo x="21532" y="21489"/>
                <wp:lineTo x="21532" y="0"/>
                <wp:lineTo x="0" y="0"/>
              </wp:wrapPolygon>
            </wp:wrapTight>
            <wp:docPr id="2048305617" name="Picture 10" descr="This figure is a bar chart showing the proportion of adults who cycled for leisure at least once a month in Kent from 2016 to 2021. This is split by each of the twelve Kent districts, with each district having a bar for all years between 2016 and 2021 (inclusive). Overall trends are described in the main text above. Proportions vary between districts and years, ranging between 7% an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05617" name="Picture 10" descr="This figure is a bar chart showing the proportion of adults who cycled for leisure at least once a month in Kent from 2016 to 2021. This is split by each of the twelve Kent districts, with each district having a bar for all years between 2016 and 2021 (inclusive). Overall trends are described in the main text above. Proportions vary between districts and years, ranging between 7% and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59220" cy="3695700"/>
                    </a:xfrm>
                    <a:prstGeom prst="rect">
                      <a:avLst/>
                    </a:prstGeom>
                    <a:noFill/>
                  </pic:spPr>
                </pic:pic>
              </a:graphicData>
            </a:graphic>
            <wp14:sizeRelH relativeFrom="page">
              <wp14:pctWidth>0</wp14:pctWidth>
            </wp14:sizeRelH>
            <wp14:sizeRelV relativeFrom="page">
              <wp14:pctHeight>0</wp14:pctHeight>
            </wp14:sizeRelV>
          </wp:anchor>
        </w:drawing>
      </w:r>
      <w:r w:rsidR="00366C42">
        <w:rPr>
          <w:rFonts w:ascii="Verdana" w:hAnsi="Verdana"/>
          <w:b/>
          <w:bCs/>
          <w:sz w:val="22"/>
          <w:szCs w:val="22"/>
        </w:rPr>
        <w:t>Figure 6</w:t>
      </w:r>
      <w:r w:rsidR="00350810" w:rsidRPr="00350810">
        <w:rPr>
          <w:rFonts w:ascii="Verdana" w:hAnsi="Verdana"/>
          <w:b/>
          <w:bCs/>
          <w:sz w:val="22"/>
          <w:szCs w:val="22"/>
        </w:rPr>
        <w:t xml:space="preserve">. Bar chart showing the proportion of adults who cycle for leisure at least once per month by Kent districts, </w:t>
      </w:r>
      <w:r w:rsidR="00C37FB5">
        <w:rPr>
          <w:rFonts w:ascii="Verdana" w:hAnsi="Verdana"/>
          <w:b/>
          <w:bCs/>
          <w:sz w:val="22"/>
          <w:szCs w:val="22"/>
        </w:rPr>
        <w:t xml:space="preserve">2016 to </w:t>
      </w:r>
      <w:r w:rsidR="00350810" w:rsidRPr="00350810">
        <w:rPr>
          <w:rFonts w:ascii="Verdana" w:hAnsi="Verdana"/>
          <w:b/>
          <w:bCs/>
          <w:sz w:val="22"/>
          <w:szCs w:val="22"/>
        </w:rPr>
        <w:t>2021.</w:t>
      </w:r>
    </w:p>
    <w:p w14:paraId="48235A62" w14:textId="42C5A446" w:rsidR="007A4232" w:rsidRDefault="007A4232">
      <w:pPr>
        <w:spacing w:before="0" w:after="200"/>
        <w:rPr>
          <w:rFonts w:ascii="Verdana" w:hAnsi="Verdana"/>
          <w:b/>
          <w:bCs/>
          <w:sz w:val="22"/>
          <w:szCs w:val="22"/>
        </w:rPr>
      </w:pPr>
      <w:r>
        <w:rPr>
          <w:rFonts w:ascii="Verdana" w:hAnsi="Verdana"/>
          <w:b/>
          <w:bCs/>
          <w:sz w:val="22"/>
          <w:szCs w:val="22"/>
        </w:rPr>
        <w:br w:type="page"/>
      </w:r>
    </w:p>
    <w:p w14:paraId="60F9822E" w14:textId="606D72D4" w:rsidR="00350810" w:rsidRDefault="002855F5" w:rsidP="00CE5181">
      <w:pPr>
        <w:spacing w:before="0" w:after="200" w:line="240" w:lineRule="auto"/>
        <w:rPr>
          <w:rFonts w:ascii="Verdana" w:hAnsi="Verdana"/>
          <w:b/>
          <w:bCs/>
          <w:sz w:val="22"/>
          <w:szCs w:val="22"/>
        </w:rPr>
      </w:pPr>
      <w:r>
        <w:rPr>
          <w:rFonts w:ascii="Verdana" w:hAnsi="Verdana"/>
          <w:b/>
          <w:bCs/>
          <w:noProof/>
          <w:sz w:val="22"/>
          <w:szCs w:val="22"/>
        </w:rPr>
        <w:lastRenderedPageBreak/>
        <w:drawing>
          <wp:anchor distT="0" distB="0" distL="114300" distR="114300" simplePos="0" relativeHeight="251680768" behindDoc="1" locked="0" layoutInCell="1" allowOverlap="1" wp14:anchorId="7C155F3B" wp14:editId="50F9F20C">
            <wp:simplePos x="0" y="0"/>
            <wp:positionH relativeFrom="column">
              <wp:posOffset>-361950</wp:posOffset>
            </wp:positionH>
            <wp:positionV relativeFrom="paragraph">
              <wp:posOffset>390525</wp:posOffset>
            </wp:positionV>
            <wp:extent cx="6450330" cy="3705225"/>
            <wp:effectExtent l="0" t="0" r="7620" b="9525"/>
            <wp:wrapTight wrapText="bothSides">
              <wp:wrapPolygon edited="0">
                <wp:start x="0" y="0"/>
                <wp:lineTo x="0" y="21544"/>
                <wp:lineTo x="21562" y="21544"/>
                <wp:lineTo x="21562" y="0"/>
                <wp:lineTo x="0" y="0"/>
              </wp:wrapPolygon>
            </wp:wrapTight>
            <wp:docPr id="1122526044" name="Picture 11" descr="This figure is a bar chart showing the proportion of adults who cycled for leisure at least five times a week in Kent from 2016 to 2021. This is split by each of the twelve Kent districts, with each district having a bar for all years between 2016 and 2021 (inclusive). Overall trends are described in the main text above. Proportions vary between districts and years, ranging between 0%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26044" name="Picture 11" descr="This figure is a bar chart showing the proportion of adults who cycled for leisure at least five times a week in Kent from 2016 to 2021. This is split by each of the twelve Kent districts, with each district having a bar for all years between 2016 and 2021 (inclusive). Overall trends are described in the main text above. Proportions vary between districts and years, ranging between 0% and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50330" cy="3705225"/>
                    </a:xfrm>
                    <a:prstGeom prst="rect">
                      <a:avLst/>
                    </a:prstGeom>
                    <a:noFill/>
                  </pic:spPr>
                </pic:pic>
              </a:graphicData>
            </a:graphic>
            <wp14:sizeRelH relativeFrom="page">
              <wp14:pctWidth>0</wp14:pctWidth>
            </wp14:sizeRelH>
            <wp14:sizeRelV relativeFrom="page">
              <wp14:pctHeight>0</wp14:pctHeight>
            </wp14:sizeRelV>
          </wp:anchor>
        </w:drawing>
      </w:r>
      <w:r w:rsidR="00AA77FD">
        <w:rPr>
          <w:rFonts w:ascii="Verdana" w:hAnsi="Verdana"/>
          <w:b/>
          <w:bCs/>
          <w:sz w:val="22"/>
          <w:szCs w:val="22"/>
        </w:rPr>
        <w:t>F</w:t>
      </w:r>
      <w:r w:rsidR="00350810" w:rsidRPr="00F2339F">
        <w:rPr>
          <w:rFonts w:ascii="Verdana" w:hAnsi="Verdana"/>
          <w:b/>
          <w:bCs/>
          <w:sz w:val="22"/>
          <w:szCs w:val="22"/>
        </w:rPr>
        <w:t xml:space="preserve">igure </w:t>
      </w:r>
      <w:r w:rsidR="00350810">
        <w:rPr>
          <w:rFonts w:ascii="Verdana" w:hAnsi="Verdana"/>
          <w:b/>
          <w:bCs/>
          <w:sz w:val="22"/>
          <w:szCs w:val="22"/>
        </w:rPr>
        <w:t>7</w:t>
      </w:r>
      <w:r w:rsidR="00350810" w:rsidRPr="00F2339F">
        <w:rPr>
          <w:rFonts w:ascii="Verdana" w:hAnsi="Verdana"/>
          <w:b/>
          <w:bCs/>
          <w:sz w:val="22"/>
          <w:szCs w:val="22"/>
        </w:rPr>
        <w:t xml:space="preserve">. Bar chart showing the proportion of adults who cycle for leisure at least five times per week by Kent districts, </w:t>
      </w:r>
      <w:r w:rsidR="00C37FB5">
        <w:rPr>
          <w:rFonts w:ascii="Verdana" w:hAnsi="Verdana"/>
          <w:b/>
          <w:bCs/>
          <w:sz w:val="22"/>
          <w:szCs w:val="22"/>
        </w:rPr>
        <w:t xml:space="preserve">2016 to </w:t>
      </w:r>
      <w:r w:rsidR="00350810" w:rsidRPr="00F2339F">
        <w:rPr>
          <w:rFonts w:ascii="Verdana" w:hAnsi="Verdana"/>
          <w:b/>
          <w:bCs/>
          <w:sz w:val="22"/>
          <w:szCs w:val="22"/>
        </w:rPr>
        <w:t>2021</w:t>
      </w:r>
      <w:r w:rsidR="00350810">
        <w:rPr>
          <w:rFonts w:ascii="Verdana" w:hAnsi="Verdana"/>
          <w:b/>
          <w:bCs/>
          <w:sz w:val="22"/>
          <w:szCs w:val="22"/>
        </w:rPr>
        <w:t>.</w:t>
      </w:r>
    </w:p>
    <w:p w14:paraId="722105FB" w14:textId="7D466DC5" w:rsidR="002855F5" w:rsidRDefault="002855F5">
      <w:pPr>
        <w:spacing w:before="0" w:after="200"/>
        <w:rPr>
          <w:rFonts w:ascii="Verdana" w:hAnsi="Verdana"/>
          <w:b/>
          <w:bCs/>
          <w:sz w:val="22"/>
          <w:szCs w:val="22"/>
        </w:rPr>
      </w:pPr>
      <w:r>
        <w:rPr>
          <w:rFonts w:ascii="Verdana" w:hAnsi="Verdana"/>
          <w:b/>
          <w:bCs/>
          <w:sz w:val="22"/>
          <w:szCs w:val="22"/>
        </w:rPr>
        <w:br w:type="page"/>
      </w:r>
    </w:p>
    <w:p w14:paraId="5EEA0A40" w14:textId="249B9216" w:rsidR="00524E45" w:rsidRDefault="008F39C6" w:rsidP="008F39C6">
      <w:pPr>
        <w:pStyle w:val="Heading3"/>
        <w:rPr>
          <w:rFonts w:ascii="Verdana" w:hAnsi="Verdana"/>
          <w:sz w:val="28"/>
          <w:szCs w:val="28"/>
        </w:rPr>
      </w:pPr>
      <w:bookmarkStart w:id="11" w:name="_Toc139375900"/>
      <w:r w:rsidRPr="00ED04CB">
        <w:rPr>
          <w:rFonts w:ascii="Verdana" w:hAnsi="Verdana"/>
          <w:sz w:val="28"/>
          <w:szCs w:val="28"/>
        </w:rPr>
        <w:lastRenderedPageBreak/>
        <w:t xml:space="preserve">4.4 </w:t>
      </w:r>
      <w:r w:rsidR="00120369">
        <w:rPr>
          <w:rFonts w:ascii="Verdana" w:hAnsi="Verdana"/>
          <w:sz w:val="28"/>
          <w:szCs w:val="28"/>
        </w:rPr>
        <w:t xml:space="preserve">Active </w:t>
      </w:r>
      <w:r w:rsidR="00CB3048">
        <w:rPr>
          <w:rFonts w:ascii="Verdana" w:hAnsi="Verdana"/>
          <w:sz w:val="28"/>
          <w:szCs w:val="28"/>
        </w:rPr>
        <w:t>T</w:t>
      </w:r>
      <w:r w:rsidR="00120369">
        <w:rPr>
          <w:rFonts w:ascii="Verdana" w:hAnsi="Verdana"/>
          <w:sz w:val="28"/>
          <w:szCs w:val="28"/>
        </w:rPr>
        <w:t>ravel for the purpose of travel</w:t>
      </w:r>
      <w:bookmarkEnd w:id="11"/>
    </w:p>
    <w:p w14:paraId="7A524081" w14:textId="3F1556B4" w:rsidR="007D7DA5" w:rsidRPr="005B18FC" w:rsidRDefault="004956CC" w:rsidP="005B18FC">
      <w:pPr>
        <w:pStyle w:val="Heading40"/>
        <w:rPr>
          <w:rFonts w:ascii="Verdana" w:hAnsi="Verdana"/>
          <w:b/>
          <w:bCs/>
          <w:i w:val="0"/>
          <w:iCs w:val="0"/>
          <w:color w:val="auto"/>
        </w:rPr>
      </w:pPr>
      <w:r w:rsidRPr="005B18FC">
        <w:rPr>
          <w:rFonts w:ascii="Verdana" w:hAnsi="Verdana"/>
          <w:b/>
          <w:bCs/>
          <w:i w:val="0"/>
          <w:iCs w:val="0"/>
          <w:color w:val="auto"/>
        </w:rPr>
        <w:t>4.</w:t>
      </w:r>
      <w:r w:rsidR="005B18FC" w:rsidRPr="005B18FC">
        <w:rPr>
          <w:rFonts w:ascii="Verdana" w:hAnsi="Verdana"/>
          <w:b/>
          <w:bCs/>
          <w:i w:val="0"/>
          <w:iCs w:val="0"/>
          <w:color w:val="auto"/>
        </w:rPr>
        <w:t xml:space="preserve">4.1 </w:t>
      </w:r>
      <w:r w:rsidRPr="005B18FC">
        <w:rPr>
          <w:rFonts w:ascii="Verdana" w:hAnsi="Verdana"/>
          <w:b/>
          <w:bCs/>
          <w:i w:val="0"/>
          <w:iCs w:val="0"/>
          <w:color w:val="auto"/>
        </w:rPr>
        <w:t>Walking</w:t>
      </w:r>
      <w:r w:rsidR="00120369" w:rsidRPr="005B18FC">
        <w:rPr>
          <w:rFonts w:ascii="Verdana" w:hAnsi="Verdana"/>
          <w:b/>
          <w:bCs/>
          <w:i w:val="0"/>
          <w:iCs w:val="0"/>
          <w:color w:val="auto"/>
        </w:rPr>
        <w:t xml:space="preserve"> for travel</w:t>
      </w:r>
    </w:p>
    <w:p w14:paraId="7C68FD5E" w14:textId="673C2CE3" w:rsidR="00B84E86" w:rsidRDefault="00CA710D" w:rsidP="0086404F">
      <w:pPr>
        <w:spacing w:before="0" w:after="200"/>
        <w:rPr>
          <w:rFonts w:ascii="Verdana" w:hAnsi="Verdana"/>
          <w:sz w:val="22"/>
          <w:szCs w:val="22"/>
        </w:rPr>
      </w:pPr>
      <w:r w:rsidRPr="00ED665D">
        <w:rPr>
          <w:rFonts w:ascii="Verdana" w:hAnsi="Verdana"/>
          <w:sz w:val="22"/>
          <w:szCs w:val="22"/>
        </w:rPr>
        <w:t xml:space="preserve">Walking for travel is less popular than walking for leisure </w:t>
      </w:r>
      <w:r w:rsidR="009D6942" w:rsidRPr="00ED665D">
        <w:rPr>
          <w:rFonts w:ascii="Verdana" w:hAnsi="Verdana"/>
          <w:sz w:val="22"/>
          <w:szCs w:val="22"/>
        </w:rPr>
        <w:t xml:space="preserve">in the two lowest </w:t>
      </w:r>
      <w:r w:rsidR="00894F8F" w:rsidRPr="00ED665D">
        <w:rPr>
          <w:rFonts w:ascii="Verdana" w:hAnsi="Verdana"/>
          <w:sz w:val="22"/>
          <w:szCs w:val="22"/>
        </w:rPr>
        <w:t>frequencies</w:t>
      </w:r>
      <w:r w:rsidR="009D6942" w:rsidRPr="00ED665D">
        <w:rPr>
          <w:rFonts w:ascii="Verdana" w:hAnsi="Verdana"/>
          <w:sz w:val="22"/>
          <w:szCs w:val="22"/>
        </w:rPr>
        <w:t>, however</w:t>
      </w:r>
      <w:r w:rsidR="00100BD1">
        <w:rPr>
          <w:rFonts w:ascii="Verdana" w:hAnsi="Verdana"/>
          <w:sz w:val="22"/>
          <w:szCs w:val="22"/>
        </w:rPr>
        <w:t>,</w:t>
      </w:r>
      <w:r w:rsidR="009D6942" w:rsidRPr="00ED665D">
        <w:rPr>
          <w:rFonts w:ascii="Verdana" w:hAnsi="Verdana"/>
          <w:sz w:val="22"/>
          <w:szCs w:val="22"/>
        </w:rPr>
        <w:t xml:space="preserve"> the</w:t>
      </w:r>
      <w:r w:rsidR="006374BC">
        <w:rPr>
          <w:rFonts w:ascii="Verdana" w:hAnsi="Verdana"/>
          <w:sz w:val="22"/>
          <w:szCs w:val="22"/>
        </w:rPr>
        <w:t xml:space="preserve"> two </w:t>
      </w:r>
      <w:r w:rsidR="00673417">
        <w:rPr>
          <w:rFonts w:ascii="Verdana" w:hAnsi="Verdana"/>
          <w:sz w:val="22"/>
          <w:szCs w:val="22"/>
        </w:rPr>
        <w:t>types of walking</w:t>
      </w:r>
      <w:r w:rsidR="00006C61" w:rsidRPr="00ED665D">
        <w:rPr>
          <w:rFonts w:ascii="Verdana" w:hAnsi="Verdana"/>
          <w:sz w:val="22"/>
          <w:szCs w:val="22"/>
        </w:rPr>
        <w:t xml:space="preserve"> show</w:t>
      </w:r>
      <w:r w:rsidR="00894F8F" w:rsidRPr="00ED665D">
        <w:rPr>
          <w:rFonts w:ascii="Verdana" w:hAnsi="Verdana"/>
          <w:sz w:val="22"/>
          <w:szCs w:val="22"/>
        </w:rPr>
        <w:t xml:space="preserve"> similar proportions in the two highest frequencies of activity</w:t>
      </w:r>
      <w:r w:rsidR="00F5440E">
        <w:rPr>
          <w:rFonts w:ascii="Verdana" w:hAnsi="Verdana"/>
          <w:sz w:val="22"/>
          <w:szCs w:val="22"/>
        </w:rPr>
        <w:t xml:space="preserve"> (</w:t>
      </w:r>
      <w:r w:rsidR="00F65692">
        <w:rPr>
          <w:rFonts w:ascii="Verdana" w:hAnsi="Verdana"/>
          <w:sz w:val="22"/>
          <w:szCs w:val="22"/>
        </w:rPr>
        <w:t xml:space="preserve">see Figure </w:t>
      </w:r>
      <w:r w:rsidR="00654AB1">
        <w:rPr>
          <w:rFonts w:ascii="Verdana" w:hAnsi="Verdana"/>
          <w:sz w:val="22"/>
          <w:szCs w:val="22"/>
        </w:rPr>
        <w:t>8</w:t>
      </w:r>
      <w:r w:rsidR="00F65692">
        <w:rPr>
          <w:rFonts w:ascii="Verdana" w:hAnsi="Verdana"/>
          <w:sz w:val="22"/>
          <w:szCs w:val="22"/>
        </w:rPr>
        <w:t>)</w:t>
      </w:r>
      <w:r w:rsidR="00894F8F" w:rsidRPr="00ED665D">
        <w:rPr>
          <w:rFonts w:ascii="Verdana" w:hAnsi="Verdana"/>
          <w:sz w:val="22"/>
          <w:szCs w:val="22"/>
        </w:rPr>
        <w:t xml:space="preserve">. </w:t>
      </w:r>
      <w:r w:rsidR="00B82CA8" w:rsidRPr="00ED665D">
        <w:rPr>
          <w:rFonts w:ascii="Verdana" w:hAnsi="Verdana"/>
          <w:sz w:val="22"/>
          <w:szCs w:val="22"/>
        </w:rPr>
        <w:t>A</w:t>
      </w:r>
      <w:r w:rsidR="00006C61" w:rsidRPr="00ED665D">
        <w:rPr>
          <w:rFonts w:ascii="Verdana" w:hAnsi="Verdana"/>
          <w:sz w:val="22"/>
          <w:szCs w:val="22"/>
        </w:rPr>
        <w:t xml:space="preserve"> slight </w:t>
      </w:r>
      <w:r w:rsidR="002B3843" w:rsidRPr="00ED665D">
        <w:rPr>
          <w:rFonts w:ascii="Verdana" w:hAnsi="Verdana"/>
          <w:sz w:val="22"/>
          <w:szCs w:val="22"/>
        </w:rPr>
        <w:t xml:space="preserve">increase and then decrease </w:t>
      </w:r>
      <w:r w:rsidR="00B82CA8" w:rsidRPr="00ED665D">
        <w:rPr>
          <w:rFonts w:ascii="Verdana" w:hAnsi="Verdana"/>
          <w:sz w:val="22"/>
          <w:szCs w:val="22"/>
        </w:rPr>
        <w:t>is observed</w:t>
      </w:r>
      <w:r w:rsidR="00896613" w:rsidRPr="00ED665D">
        <w:rPr>
          <w:rFonts w:ascii="Verdana" w:hAnsi="Verdana"/>
          <w:sz w:val="22"/>
          <w:szCs w:val="22"/>
        </w:rPr>
        <w:t xml:space="preserve"> from 2016</w:t>
      </w:r>
      <w:r w:rsidR="005A26F5">
        <w:rPr>
          <w:rFonts w:ascii="Verdana" w:hAnsi="Verdana"/>
          <w:sz w:val="22"/>
          <w:szCs w:val="22"/>
        </w:rPr>
        <w:t xml:space="preserve"> to 20</w:t>
      </w:r>
      <w:r w:rsidR="00896613" w:rsidRPr="00ED665D">
        <w:rPr>
          <w:rFonts w:ascii="Verdana" w:hAnsi="Verdana"/>
          <w:sz w:val="22"/>
          <w:szCs w:val="22"/>
        </w:rPr>
        <w:t>19</w:t>
      </w:r>
      <w:r w:rsidR="002B3843" w:rsidRPr="00ED665D">
        <w:rPr>
          <w:rFonts w:ascii="Verdana" w:hAnsi="Verdana"/>
          <w:sz w:val="22"/>
          <w:szCs w:val="22"/>
        </w:rPr>
        <w:t xml:space="preserve"> </w:t>
      </w:r>
      <w:r w:rsidR="00896613" w:rsidRPr="00ED665D">
        <w:rPr>
          <w:rFonts w:ascii="Verdana" w:hAnsi="Verdana"/>
          <w:sz w:val="22"/>
          <w:szCs w:val="22"/>
        </w:rPr>
        <w:t>across all frequency groups</w:t>
      </w:r>
      <w:r w:rsidR="002B3843" w:rsidRPr="00ED665D">
        <w:rPr>
          <w:rFonts w:ascii="Verdana" w:hAnsi="Verdana"/>
          <w:sz w:val="22"/>
          <w:szCs w:val="22"/>
        </w:rPr>
        <w:t>. This decrease</w:t>
      </w:r>
      <w:r w:rsidR="00896613" w:rsidRPr="00ED665D">
        <w:rPr>
          <w:rFonts w:ascii="Verdana" w:hAnsi="Verdana"/>
          <w:sz w:val="22"/>
          <w:szCs w:val="22"/>
        </w:rPr>
        <w:t xml:space="preserve"> then </w:t>
      </w:r>
      <w:r w:rsidR="00B82CA8" w:rsidRPr="00ED665D">
        <w:rPr>
          <w:rFonts w:ascii="Verdana" w:hAnsi="Verdana"/>
          <w:sz w:val="22"/>
          <w:szCs w:val="22"/>
        </w:rPr>
        <w:t xml:space="preserve">proceeds </w:t>
      </w:r>
      <w:r w:rsidR="00896613" w:rsidRPr="00ED665D">
        <w:rPr>
          <w:rFonts w:ascii="Verdana" w:hAnsi="Verdana"/>
          <w:sz w:val="22"/>
          <w:szCs w:val="22"/>
        </w:rPr>
        <w:t xml:space="preserve">more dramatically </w:t>
      </w:r>
      <w:r w:rsidR="00B82CA8" w:rsidRPr="00ED665D">
        <w:rPr>
          <w:rFonts w:ascii="Verdana" w:hAnsi="Verdana"/>
          <w:sz w:val="22"/>
          <w:szCs w:val="22"/>
        </w:rPr>
        <w:t>from 2019</w:t>
      </w:r>
      <w:r w:rsidR="0050347A">
        <w:rPr>
          <w:rFonts w:ascii="Verdana" w:hAnsi="Verdana"/>
          <w:sz w:val="22"/>
          <w:szCs w:val="22"/>
        </w:rPr>
        <w:t xml:space="preserve"> to 20</w:t>
      </w:r>
      <w:r w:rsidR="00896613" w:rsidRPr="00ED665D">
        <w:rPr>
          <w:rFonts w:ascii="Verdana" w:hAnsi="Verdana"/>
          <w:sz w:val="22"/>
          <w:szCs w:val="22"/>
        </w:rPr>
        <w:t xml:space="preserve">20. A further decrease is observed in the subsequent year, although this change is more </w:t>
      </w:r>
      <w:proofErr w:type="gramStart"/>
      <w:r w:rsidR="00896613" w:rsidRPr="00ED665D">
        <w:rPr>
          <w:rFonts w:ascii="Verdana" w:hAnsi="Verdana"/>
          <w:sz w:val="22"/>
          <w:szCs w:val="22"/>
        </w:rPr>
        <w:t>similar to</w:t>
      </w:r>
      <w:proofErr w:type="gramEnd"/>
      <w:r w:rsidR="00896613" w:rsidRPr="00ED665D">
        <w:rPr>
          <w:rFonts w:ascii="Verdana" w:hAnsi="Verdana"/>
          <w:sz w:val="22"/>
          <w:szCs w:val="22"/>
        </w:rPr>
        <w:t xml:space="preserve"> the</w:t>
      </w:r>
      <w:r w:rsidR="00B82CA8" w:rsidRPr="00ED665D">
        <w:rPr>
          <w:rFonts w:ascii="Verdana" w:hAnsi="Verdana"/>
          <w:sz w:val="22"/>
          <w:szCs w:val="22"/>
        </w:rPr>
        <w:t xml:space="preserve"> trend</w:t>
      </w:r>
      <w:r w:rsidR="00896613" w:rsidRPr="00ED665D">
        <w:rPr>
          <w:rFonts w:ascii="Verdana" w:hAnsi="Verdana"/>
          <w:sz w:val="22"/>
          <w:szCs w:val="22"/>
        </w:rPr>
        <w:t xml:space="preserve"> seen pre-</w:t>
      </w:r>
      <w:r w:rsidR="00321E8C">
        <w:rPr>
          <w:rFonts w:ascii="Verdana" w:hAnsi="Verdana"/>
          <w:sz w:val="22"/>
          <w:szCs w:val="22"/>
        </w:rPr>
        <w:t>C</w:t>
      </w:r>
      <w:r w:rsidR="00896613" w:rsidRPr="00ED665D">
        <w:rPr>
          <w:rFonts w:ascii="Verdana" w:hAnsi="Verdana"/>
          <w:sz w:val="22"/>
          <w:szCs w:val="22"/>
        </w:rPr>
        <w:t>ovid.</w:t>
      </w:r>
    </w:p>
    <w:p w14:paraId="4BABBC3F" w14:textId="7B2C0E53" w:rsidR="00785C47" w:rsidRDefault="00896613" w:rsidP="00CE5181">
      <w:pPr>
        <w:spacing w:before="0" w:after="200" w:line="240" w:lineRule="auto"/>
        <w:rPr>
          <w:rFonts w:ascii="Verdana" w:hAnsi="Verdana"/>
          <w:b/>
          <w:bCs/>
          <w:noProof/>
          <w:sz w:val="22"/>
          <w:szCs w:val="22"/>
        </w:rPr>
      </w:pPr>
      <w:r w:rsidRPr="00437556">
        <w:rPr>
          <w:rFonts w:ascii="Verdana" w:hAnsi="Verdana"/>
          <w:b/>
          <w:bCs/>
          <w:sz w:val="22"/>
          <w:szCs w:val="22"/>
        </w:rPr>
        <w:t xml:space="preserve">Figure </w:t>
      </w:r>
      <w:r w:rsidR="00654AB1">
        <w:rPr>
          <w:rFonts w:ascii="Verdana" w:hAnsi="Verdana"/>
          <w:b/>
          <w:bCs/>
          <w:sz w:val="22"/>
          <w:szCs w:val="22"/>
        </w:rPr>
        <w:t>8</w:t>
      </w:r>
      <w:r w:rsidRPr="00437556">
        <w:rPr>
          <w:rFonts w:ascii="Verdana" w:hAnsi="Verdana"/>
          <w:b/>
          <w:bCs/>
          <w:sz w:val="22"/>
          <w:szCs w:val="22"/>
        </w:rPr>
        <w:t xml:space="preserve">. </w:t>
      </w:r>
      <w:r w:rsidR="007676D0">
        <w:rPr>
          <w:rFonts w:ascii="Verdana" w:hAnsi="Verdana"/>
          <w:b/>
          <w:bCs/>
          <w:sz w:val="22"/>
          <w:szCs w:val="22"/>
        </w:rPr>
        <w:t>Trend</w:t>
      </w:r>
      <w:r w:rsidR="006F0938" w:rsidRPr="00437556">
        <w:rPr>
          <w:rFonts w:ascii="Verdana" w:hAnsi="Verdana"/>
          <w:b/>
          <w:bCs/>
          <w:sz w:val="22"/>
          <w:szCs w:val="22"/>
        </w:rPr>
        <w:t xml:space="preserve"> plot showing </w:t>
      </w:r>
      <w:r w:rsidR="003B0DCF">
        <w:rPr>
          <w:rFonts w:ascii="Verdana" w:hAnsi="Verdana"/>
          <w:b/>
          <w:bCs/>
          <w:sz w:val="22"/>
          <w:szCs w:val="22"/>
        </w:rPr>
        <w:t>the p</w:t>
      </w:r>
      <w:r w:rsidR="003B0DCF" w:rsidRPr="003B0DCF">
        <w:rPr>
          <w:rFonts w:ascii="Verdana" w:hAnsi="Verdana"/>
          <w:b/>
          <w:bCs/>
          <w:sz w:val="22"/>
          <w:szCs w:val="22"/>
        </w:rPr>
        <w:t>roportion of adults who walk for travel by frequency</w:t>
      </w:r>
      <w:r w:rsidR="003B0DCF">
        <w:rPr>
          <w:rFonts w:ascii="Verdana" w:hAnsi="Verdana"/>
          <w:b/>
          <w:bCs/>
          <w:sz w:val="22"/>
          <w:szCs w:val="22"/>
        </w:rPr>
        <w:t xml:space="preserve"> in</w:t>
      </w:r>
      <w:r w:rsidR="003B0DCF" w:rsidRPr="003B0DCF">
        <w:rPr>
          <w:rFonts w:ascii="Verdana" w:hAnsi="Verdana"/>
          <w:b/>
          <w:bCs/>
          <w:sz w:val="22"/>
          <w:szCs w:val="22"/>
        </w:rPr>
        <w:t xml:space="preserve"> Kent, </w:t>
      </w:r>
      <w:r w:rsidR="00C37FB5">
        <w:rPr>
          <w:rFonts w:ascii="Verdana" w:hAnsi="Verdana"/>
          <w:b/>
          <w:bCs/>
          <w:sz w:val="22"/>
          <w:szCs w:val="22"/>
        </w:rPr>
        <w:t>2016 to</w:t>
      </w:r>
      <w:r w:rsidR="003B0DCF" w:rsidRPr="003B0DCF">
        <w:rPr>
          <w:rFonts w:ascii="Verdana" w:hAnsi="Verdana"/>
          <w:b/>
          <w:bCs/>
          <w:sz w:val="22"/>
          <w:szCs w:val="22"/>
        </w:rPr>
        <w:t xml:space="preserve"> 2021</w:t>
      </w:r>
      <w:r w:rsidR="006532EB">
        <w:rPr>
          <w:rFonts w:ascii="Verdana" w:hAnsi="Verdana"/>
          <w:b/>
          <w:bCs/>
          <w:sz w:val="22"/>
          <w:szCs w:val="22"/>
        </w:rPr>
        <w:t>.</w:t>
      </w:r>
      <w:r w:rsidR="00384B64">
        <w:rPr>
          <w:rFonts w:ascii="Verdana" w:hAnsi="Verdana"/>
          <w:b/>
          <w:bCs/>
          <w:noProof/>
          <w:sz w:val="22"/>
          <w:szCs w:val="22"/>
        </w:rPr>
        <w:drawing>
          <wp:inline distT="0" distB="0" distL="0" distR="0" wp14:anchorId="021B0D9F" wp14:editId="6889537B">
            <wp:extent cx="5717209" cy="3339934"/>
            <wp:effectExtent l="0" t="0" r="0" b="0"/>
            <wp:docPr id="1286821587" name="Picture 21" descr="This figure is a scatterplot showing the proportion of adults who walked for travel in Kent from 2016 to 2021. This is split into four groups based on the frequency of walking (each with a separate line on the graph); Once per month, Once per week, Three times per week and Five times per week. These groups show roughly the following proportions across the years (respectively); 30% to 50%, 28% to 40%, 10% to 20% and 8% to 18%. Trends are described in more detail in the ma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21587" name="Picture 21" descr="This figure is a scatterplot showing the proportion of adults who walked for travel in Kent from 2016 to 2021. This is split into four groups based on the frequency of walking (each with a separate line on the graph); Once per month, Once per week, Three times per week and Five times per week. These groups show roughly the following proportions across the years (respectively); 30% to 50%, 28% to 40%, 10% to 20% and 8% to 18%. Trends are described in more detail in the main text abo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6216" cy="3351038"/>
                    </a:xfrm>
                    <a:prstGeom prst="rect">
                      <a:avLst/>
                    </a:prstGeom>
                    <a:noFill/>
                  </pic:spPr>
                </pic:pic>
              </a:graphicData>
            </a:graphic>
          </wp:inline>
        </w:drawing>
      </w:r>
    </w:p>
    <w:p w14:paraId="238BD244" w14:textId="60554E46" w:rsidR="00873F6F" w:rsidRPr="00E805FB" w:rsidRDefault="004A2C16" w:rsidP="0086404F">
      <w:pPr>
        <w:spacing w:before="0" w:after="200"/>
        <w:rPr>
          <w:rFonts w:ascii="Verdana" w:hAnsi="Verdana"/>
          <w:b/>
          <w:bCs/>
          <w:sz w:val="22"/>
          <w:szCs w:val="22"/>
        </w:rPr>
      </w:pPr>
      <w:r>
        <w:rPr>
          <w:rFonts w:ascii="Verdana" w:hAnsi="Verdana"/>
          <w:b/>
          <w:bCs/>
          <w:sz w:val="22"/>
          <w:szCs w:val="22"/>
        </w:rPr>
        <w:br w:type="page"/>
      </w:r>
    </w:p>
    <w:p w14:paraId="64DCBBE8" w14:textId="15277658" w:rsidR="005964D4" w:rsidRDefault="00040881" w:rsidP="0086404F">
      <w:pPr>
        <w:spacing w:before="0" w:after="200"/>
        <w:rPr>
          <w:rFonts w:ascii="Verdana" w:hAnsi="Verdana"/>
          <w:sz w:val="22"/>
          <w:szCs w:val="22"/>
        </w:rPr>
      </w:pPr>
      <w:r>
        <w:rPr>
          <w:rFonts w:ascii="Verdana" w:hAnsi="Verdana"/>
          <w:sz w:val="22"/>
          <w:szCs w:val="22"/>
        </w:rPr>
        <w:lastRenderedPageBreak/>
        <w:t>Data for each district from 2016</w:t>
      </w:r>
      <w:r w:rsidR="00FD7EB6">
        <w:rPr>
          <w:rFonts w:ascii="Verdana" w:hAnsi="Verdana"/>
          <w:sz w:val="22"/>
          <w:szCs w:val="22"/>
        </w:rPr>
        <w:t xml:space="preserve"> to 20</w:t>
      </w:r>
      <w:r>
        <w:rPr>
          <w:rFonts w:ascii="Verdana" w:hAnsi="Verdana"/>
          <w:sz w:val="22"/>
          <w:szCs w:val="22"/>
        </w:rPr>
        <w:t xml:space="preserve">21 is given below, for those walking for </w:t>
      </w:r>
      <w:r w:rsidR="00F71B6A">
        <w:rPr>
          <w:rFonts w:ascii="Verdana" w:hAnsi="Verdana"/>
          <w:sz w:val="22"/>
          <w:szCs w:val="22"/>
        </w:rPr>
        <w:t>travel</w:t>
      </w:r>
      <w:r>
        <w:rPr>
          <w:rFonts w:ascii="Verdana" w:hAnsi="Verdana"/>
          <w:sz w:val="22"/>
          <w:szCs w:val="22"/>
        </w:rPr>
        <w:t xml:space="preserve"> at least once a month and at least five times a week. The </w:t>
      </w:r>
      <w:r w:rsidR="00661F67">
        <w:rPr>
          <w:rFonts w:ascii="Verdana" w:hAnsi="Verdana"/>
          <w:sz w:val="22"/>
          <w:szCs w:val="22"/>
        </w:rPr>
        <w:t xml:space="preserve">middle two </w:t>
      </w:r>
      <w:r>
        <w:rPr>
          <w:rFonts w:ascii="Verdana" w:hAnsi="Verdana"/>
          <w:sz w:val="22"/>
          <w:szCs w:val="22"/>
        </w:rPr>
        <w:t xml:space="preserve">frequencies have been left out of this report. </w:t>
      </w:r>
      <w:r w:rsidR="00F65692" w:rsidRPr="00ED665D">
        <w:rPr>
          <w:rFonts w:ascii="Verdana" w:hAnsi="Verdana"/>
          <w:sz w:val="22"/>
          <w:szCs w:val="22"/>
        </w:rPr>
        <w:t>Similar trends are observed for most districts (see Figure</w:t>
      </w:r>
      <w:r w:rsidR="00654AB1">
        <w:rPr>
          <w:rFonts w:ascii="Verdana" w:hAnsi="Verdana"/>
          <w:sz w:val="22"/>
          <w:szCs w:val="22"/>
        </w:rPr>
        <w:t>s</w:t>
      </w:r>
      <w:r w:rsidR="00F65692" w:rsidRPr="00ED665D">
        <w:rPr>
          <w:rFonts w:ascii="Verdana" w:hAnsi="Verdana"/>
          <w:sz w:val="22"/>
          <w:szCs w:val="22"/>
        </w:rPr>
        <w:t xml:space="preserve"> </w:t>
      </w:r>
      <w:r w:rsidR="0089243C">
        <w:rPr>
          <w:rFonts w:ascii="Verdana" w:hAnsi="Verdana"/>
          <w:sz w:val="22"/>
          <w:szCs w:val="22"/>
        </w:rPr>
        <w:t>9 and 10</w:t>
      </w:r>
      <w:r w:rsidR="00F65692" w:rsidRPr="00ED665D">
        <w:rPr>
          <w:rFonts w:ascii="Verdana" w:hAnsi="Verdana"/>
          <w:sz w:val="22"/>
          <w:szCs w:val="22"/>
        </w:rPr>
        <w:t xml:space="preserve">). Although there is variation from year to year and between districts, Canterbury, Tunbridge Wells and Dartford appear to </w:t>
      </w:r>
      <w:r w:rsidR="00CC7E1A">
        <w:rPr>
          <w:rFonts w:ascii="Verdana" w:hAnsi="Verdana"/>
          <w:sz w:val="22"/>
          <w:szCs w:val="22"/>
        </w:rPr>
        <w:t>have the highest rates</w:t>
      </w:r>
      <w:r w:rsidR="00F65692" w:rsidRPr="00ED665D">
        <w:rPr>
          <w:rFonts w:ascii="Verdana" w:hAnsi="Verdana"/>
          <w:sz w:val="22"/>
          <w:szCs w:val="22"/>
        </w:rPr>
        <w:t>, with this being much clearer in the higher frequency groups. Maidstone and Ashford rank lowest of the districts</w:t>
      </w:r>
      <w:r w:rsidR="00CC7E1A">
        <w:rPr>
          <w:rFonts w:ascii="Verdana" w:hAnsi="Verdana"/>
          <w:sz w:val="22"/>
          <w:szCs w:val="22"/>
        </w:rPr>
        <w:t xml:space="preserve"> in walking for travel rates.</w:t>
      </w:r>
    </w:p>
    <w:p w14:paraId="18820C1E" w14:textId="35A35B2C" w:rsidR="00350810" w:rsidRPr="00CE5181" w:rsidRDefault="00B33500" w:rsidP="00CE5181">
      <w:pPr>
        <w:spacing w:line="240" w:lineRule="auto"/>
        <w:rPr>
          <w:rFonts w:ascii="Verdana" w:hAnsi="Verdana"/>
          <w:b/>
          <w:bCs/>
          <w:sz w:val="22"/>
          <w:szCs w:val="22"/>
        </w:rPr>
      </w:pPr>
      <w:r>
        <w:rPr>
          <w:noProof/>
        </w:rPr>
        <w:drawing>
          <wp:anchor distT="0" distB="0" distL="114300" distR="114300" simplePos="0" relativeHeight="251683840" behindDoc="1" locked="0" layoutInCell="1" allowOverlap="1" wp14:anchorId="4A6AE0DD" wp14:editId="2B67E913">
            <wp:simplePos x="0" y="0"/>
            <wp:positionH relativeFrom="column">
              <wp:posOffset>-352425</wp:posOffset>
            </wp:positionH>
            <wp:positionV relativeFrom="paragraph">
              <wp:posOffset>377190</wp:posOffset>
            </wp:positionV>
            <wp:extent cx="6457315" cy="3702050"/>
            <wp:effectExtent l="0" t="0" r="635" b="0"/>
            <wp:wrapTight wrapText="bothSides">
              <wp:wrapPolygon edited="0">
                <wp:start x="0" y="0"/>
                <wp:lineTo x="0" y="21452"/>
                <wp:lineTo x="21538" y="21452"/>
                <wp:lineTo x="21538" y="0"/>
                <wp:lineTo x="0" y="0"/>
              </wp:wrapPolygon>
            </wp:wrapTight>
            <wp:docPr id="758660285" name="Picture 12" descr="This figure is a bar chart showing the proportion of adults who walked for travel at least once a month in Kent from 2016 to 2021. This is split by each of the twelve Kent districts, with each district having a bar for all years between 2016 and 2021 (inclusive). Overall trends are described in the main text above. Proportions vary between districts and years, ranging between 27% an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60285" name="Picture 12" descr="This figure is a bar chart showing the proportion of adults who walked for travel at least once a month in Kent from 2016 to 2021. This is split by each of the twelve Kent districts, with each district having a bar for all years between 2016 and 2021 (inclusive). Overall trends are described in the main text above. Proportions vary between districts and years, ranging between 27% and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57315" cy="3702050"/>
                    </a:xfrm>
                    <a:prstGeom prst="rect">
                      <a:avLst/>
                    </a:prstGeom>
                    <a:noFill/>
                  </pic:spPr>
                </pic:pic>
              </a:graphicData>
            </a:graphic>
            <wp14:sizeRelH relativeFrom="page">
              <wp14:pctWidth>0</wp14:pctWidth>
            </wp14:sizeRelH>
            <wp14:sizeRelV relativeFrom="page">
              <wp14:pctHeight>0</wp14:pctHeight>
            </wp14:sizeRelV>
          </wp:anchor>
        </w:drawing>
      </w:r>
      <w:r w:rsidR="0089243C" w:rsidRPr="00CE5181">
        <w:rPr>
          <w:rFonts w:ascii="Verdana" w:hAnsi="Verdana"/>
          <w:b/>
          <w:bCs/>
          <w:sz w:val="22"/>
          <w:szCs w:val="22"/>
        </w:rPr>
        <w:t xml:space="preserve">Figure 9. </w:t>
      </w:r>
      <w:r w:rsidR="00350810" w:rsidRPr="00CE5181">
        <w:rPr>
          <w:rFonts w:ascii="Verdana" w:hAnsi="Verdana"/>
          <w:b/>
          <w:bCs/>
          <w:sz w:val="22"/>
          <w:szCs w:val="22"/>
        </w:rPr>
        <w:t xml:space="preserve">Bar chart showing the proportion of adults who walk for travel at least once per month by Kent districts, </w:t>
      </w:r>
      <w:r w:rsidR="00C37FB5">
        <w:rPr>
          <w:rFonts w:ascii="Verdana" w:hAnsi="Verdana"/>
          <w:b/>
          <w:bCs/>
          <w:sz w:val="22"/>
          <w:szCs w:val="22"/>
        </w:rPr>
        <w:t>2016 to 2021.</w:t>
      </w:r>
    </w:p>
    <w:p w14:paraId="19CF677F" w14:textId="7FF70BBD" w:rsidR="00A2661E" w:rsidRDefault="00A2661E">
      <w:pPr>
        <w:spacing w:before="0" w:after="200"/>
      </w:pPr>
      <w:r>
        <w:br w:type="page"/>
      </w:r>
    </w:p>
    <w:p w14:paraId="0EF06E17" w14:textId="6E8A4292" w:rsidR="00AC7C1B" w:rsidRDefault="00A2661E" w:rsidP="00D82FE4">
      <w:pPr>
        <w:spacing w:after="200" w:line="240" w:lineRule="auto"/>
        <w:rPr>
          <w:rFonts w:ascii="Verdana" w:hAnsi="Verdana"/>
          <w:b/>
          <w:bCs/>
          <w:sz w:val="22"/>
          <w:szCs w:val="22"/>
        </w:rPr>
      </w:pPr>
      <w:r>
        <w:rPr>
          <w:rFonts w:ascii="Verdana" w:hAnsi="Verdana"/>
          <w:b/>
          <w:bCs/>
          <w:noProof/>
          <w:sz w:val="22"/>
          <w:szCs w:val="22"/>
        </w:rPr>
        <w:lastRenderedPageBreak/>
        <w:drawing>
          <wp:anchor distT="0" distB="0" distL="114300" distR="114300" simplePos="0" relativeHeight="251686912" behindDoc="1" locked="0" layoutInCell="1" allowOverlap="1" wp14:anchorId="4951639B" wp14:editId="20AC8650">
            <wp:simplePos x="0" y="0"/>
            <wp:positionH relativeFrom="column">
              <wp:posOffset>-371475</wp:posOffset>
            </wp:positionH>
            <wp:positionV relativeFrom="paragraph">
              <wp:posOffset>381000</wp:posOffset>
            </wp:positionV>
            <wp:extent cx="6477000" cy="3720465"/>
            <wp:effectExtent l="0" t="0" r="0" b="0"/>
            <wp:wrapTight wrapText="bothSides">
              <wp:wrapPolygon edited="0">
                <wp:start x="0" y="0"/>
                <wp:lineTo x="0" y="21456"/>
                <wp:lineTo x="21536" y="21456"/>
                <wp:lineTo x="21536" y="0"/>
                <wp:lineTo x="0" y="0"/>
              </wp:wrapPolygon>
            </wp:wrapTight>
            <wp:docPr id="423880588" name="Picture 13" descr="This figure is a bar chart showing the proportion of adults who walked for travel at least five times a week in Kent from 2016 to 2021. This is split by each of the twelve Kent districts, with each district having a bar for all years between 2016 and 2021 (inclusive). Overall trends are described in the main text above. Proportions vary between districts and years, ranging between 5% an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80588" name="Picture 13" descr="This figure is a bar chart showing the proportion of adults who walked for travel at least five times a week in Kent from 2016 to 2021. This is split by each of the twelve Kent districts, with each district having a bar for all years between 2016 and 2021 (inclusive). Overall trends are described in the main text above. Proportions vary between districts and years, ranging between 5% and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0" cy="3720465"/>
                    </a:xfrm>
                    <a:prstGeom prst="rect">
                      <a:avLst/>
                    </a:prstGeom>
                    <a:noFill/>
                  </pic:spPr>
                </pic:pic>
              </a:graphicData>
            </a:graphic>
            <wp14:sizeRelH relativeFrom="page">
              <wp14:pctWidth>0</wp14:pctWidth>
            </wp14:sizeRelH>
            <wp14:sizeRelV relativeFrom="page">
              <wp14:pctHeight>0</wp14:pctHeight>
            </wp14:sizeRelV>
          </wp:anchor>
        </w:drawing>
      </w:r>
      <w:r w:rsidR="00896613" w:rsidRPr="009B3BFE">
        <w:rPr>
          <w:rFonts w:ascii="Verdana" w:hAnsi="Verdana"/>
          <w:b/>
          <w:bCs/>
          <w:sz w:val="22"/>
          <w:szCs w:val="22"/>
        </w:rPr>
        <w:t xml:space="preserve">Figure </w:t>
      </w:r>
      <w:r w:rsidR="0089243C">
        <w:rPr>
          <w:rFonts w:ascii="Verdana" w:hAnsi="Verdana"/>
          <w:b/>
          <w:bCs/>
          <w:sz w:val="22"/>
          <w:szCs w:val="22"/>
        </w:rPr>
        <w:t>10</w:t>
      </w:r>
      <w:r w:rsidR="00896613" w:rsidRPr="009B3BFE">
        <w:rPr>
          <w:rFonts w:ascii="Verdana" w:hAnsi="Verdana"/>
          <w:b/>
          <w:bCs/>
          <w:sz w:val="22"/>
          <w:szCs w:val="22"/>
        </w:rPr>
        <w:t xml:space="preserve">. </w:t>
      </w:r>
      <w:r w:rsidR="00CD78B1" w:rsidRPr="00CD78B1">
        <w:rPr>
          <w:rFonts w:ascii="Verdana" w:hAnsi="Verdana"/>
          <w:b/>
          <w:bCs/>
          <w:sz w:val="22"/>
          <w:szCs w:val="22"/>
        </w:rPr>
        <w:t>Bar chart showing the proportion of adults who walk for travel at least five times per week by Kent districts</w:t>
      </w:r>
      <w:r w:rsidR="00C37FB5">
        <w:rPr>
          <w:rFonts w:ascii="Verdana" w:hAnsi="Verdana"/>
          <w:b/>
          <w:bCs/>
          <w:sz w:val="22"/>
          <w:szCs w:val="22"/>
        </w:rPr>
        <w:t>, 2016 to 2021</w:t>
      </w:r>
      <w:r w:rsidR="00CC4F6E">
        <w:rPr>
          <w:rFonts w:ascii="Verdana" w:hAnsi="Verdana"/>
          <w:b/>
          <w:bCs/>
          <w:sz w:val="22"/>
          <w:szCs w:val="22"/>
        </w:rPr>
        <w:t>.</w:t>
      </w:r>
    </w:p>
    <w:p w14:paraId="6907FA53" w14:textId="687F5DC4" w:rsidR="0054748D" w:rsidRDefault="00A2661E" w:rsidP="0054748D">
      <w:pPr>
        <w:spacing w:before="0" w:after="200"/>
        <w:rPr>
          <w:rFonts w:ascii="Verdana" w:hAnsi="Verdana"/>
          <w:b/>
          <w:bCs/>
          <w:sz w:val="22"/>
          <w:szCs w:val="22"/>
        </w:rPr>
      </w:pPr>
      <w:r>
        <w:rPr>
          <w:rFonts w:ascii="Verdana" w:hAnsi="Verdana"/>
          <w:b/>
          <w:bCs/>
          <w:sz w:val="22"/>
          <w:szCs w:val="22"/>
        </w:rPr>
        <w:br w:type="page"/>
      </w:r>
    </w:p>
    <w:p w14:paraId="668BC9C8" w14:textId="29509CD6" w:rsidR="005B18FC" w:rsidRPr="005B18FC" w:rsidRDefault="005B18FC" w:rsidP="005B18FC">
      <w:pPr>
        <w:pStyle w:val="Heading40"/>
        <w:rPr>
          <w:rFonts w:ascii="Verdana" w:hAnsi="Verdana"/>
          <w:b/>
          <w:bCs/>
          <w:i w:val="0"/>
          <w:iCs w:val="0"/>
          <w:color w:val="auto"/>
        </w:rPr>
      </w:pPr>
      <w:r w:rsidRPr="005B18FC">
        <w:rPr>
          <w:rFonts w:ascii="Verdana" w:hAnsi="Verdana"/>
          <w:b/>
          <w:bCs/>
          <w:i w:val="0"/>
          <w:iCs w:val="0"/>
          <w:color w:val="auto"/>
        </w:rPr>
        <w:lastRenderedPageBreak/>
        <w:t>4.4.2 Cycling for travel</w:t>
      </w:r>
    </w:p>
    <w:p w14:paraId="5343EE58" w14:textId="1BE6E8AD" w:rsidR="00DF0642" w:rsidRPr="005B18FC" w:rsidRDefault="00DD6688" w:rsidP="0086404F">
      <w:pPr>
        <w:spacing w:before="0" w:after="200"/>
        <w:rPr>
          <w:rFonts w:ascii="Verdana" w:hAnsi="Verdana"/>
          <w:b/>
          <w:bCs/>
          <w:sz w:val="22"/>
          <w:szCs w:val="22"/>
        </w:rPr>
      </w:pPr>
      <w:r w:rsidRPr="008403AD">
        <w:rPr>
          <w:rFonts w:ascii="Verdana" w:hAnsi="Verdana"/>
          <w:sz w:val="22"/>
          <w:szCs w:val="22"/>
        </w:rPr>
        <w:t xml:space="preserve">Cycling for travel is on average, less popular than cycling for leisure </w:t>
      </w:r>
      <w:r w:rsidR="00011D25" w:rsidRPr="008403AD">
        <w:rPr>
          <w:rFonts w:ascii="Verdana" w:hAnsi="Verdana"/>
          <w:sz w:val="22"/>
          <w:szCs w:val="22"/>
        </w:rPr>
        <w:t xml:space="preserve">in Kent. </w:t>
      </w:r>
      <w:r w:rsidR="000626EB" w:rsidRPr="008403AD">
        <w:rPr>
          <w:rFonts w:ascii="Verdana" w:hAnsi="Verdana"/>
          <w:sz w:val="22"/>
          <w:szCs w:val="22"/>
        </w:rPr>
        <w:t xml:space="preserve">An overall increase is observed </w:t>
      </w:r>
      <w:r w:rsidR="00C61F92" w:rsidRPr="008403AD">
        <w:rPr>
          <w:rFonts w:ascii="Verdana" w:hAnsi="Verdana"/>
          <w:sz w:val="22"/>
          <w:szCs w:val="22"/>
        </w:rPr>
        <w:t xml:space="preserve">from </w:t>
      </w:r>
      <w:r w:rsidR="000626EB" w:rsidRPr="008403AD">
        <w:rPr>
          <w:rFonts w:ascii="Verdana" w:hAnsi="Verdana"/>
          <w:sz w:val="22"/>
          <w:szCs w:val="22"/>
        </w:rPr>
        <w:t>2016</w:t>
      </w:r>
      <w:r w:rsidR="000327F7">
        <w:rPr>
          <w:rFonts w:ascii="Verdana" w:hAnsi="Verdana"/>
          <w:sz w:val="22"/>
          <w:szCs w:val="22"/>
        </w:rPr>
        <w:t xml:space="preserve"> to 20</w:t>
      </w:r>
      <w:r w:rsidR="000626EB" w:rsidRPr="008403AD">
        <w:rPr>
          <w:rFonts w:ascii="Verdana" w:hAnsi="Verdana"/>
          <w:sz w:val="22"/>
          <w:szCs w:val="22"/>
        </w:rPr>
        <w:t>18</w:t>
      </w:r>
      <w:r w:rsidR="00654C65" w:rsidRPr="008403AD">
        <w:rPr>
          <w:rFonts w:ascii="Verdana" w:hAnsi="Verdana"/>
          <w:sz w:val="22"/>
          <w:szCs w:val="22"/>
        </w:rPr>
        <w:t xml:space="preserve"> across all districts</w:t>
      </w:r>
      <w:r w:rsidR="000626EB" w:rsidRPr="008403AD">
        <w:rPr>
          <w:rFonts w:ascii="Verdana" w:hAnsi="Verdana"/>
          <w:sz w:val="22"/>
          <w:szCs w:val="22"/>
        </w:rPr>
        <w:t xml:space="preserve">, followed by a decrease </w:t>
      </w:r>
      <w:r w:rsidR="004F7A17" w:rsidRPr="008403AD">
        <w:rPr>
          <w:rFonts w:ascii="Verdana" w:hAnsi="Verdana"/>
          <w:sz w:val="22"/>
          <w:szCs w:val="22"/>
        </w:rPr>
        <w:t>from 2018</w:t>
      </w:r>
      <w:r w:rsidR="0050347A">
        <w:rPr>
          <w:rFonts w:ascii="Verdana" w:hAnsi="Verdana"/>
          <w:sz w:val="22"/>
          <w:szCs w:val="22"/>
        </w:rPr>
        <w:t xml:space="preserve"> to 20</w:t>
      </w:r>
      <w:r w:rsidR="004F7A17" w:rsidRPr="008403AD">
        <w:rPr>
          <w:rFonts w:ascii="Verdana" w:hAnsi="Verdana"/>
          <w:sz w:val="22"/>
          <w:szCs w:val="22"/>
        </w:rPr>
        <w:t xml:space="preserve">21, which </w:t>
      </w:r>
      <w:r w:rsidR="00742C92" w:rsidRPr="008403AD">
        <w:rPr>
          <w:rFonts w:ascii="Verdana" w:hAnsi="Verdana"/>
          <w:sz w:val="22"/>
          <w:szCs w:val="22"/>
        </w:rPr>
        <w:t xml:space="preserve">is </w:t>
      </w:r>
      <w:r w:rsidR="001F10E0" w:rsidRPr="008403AD">
        <w:rPr>
          <w:rFonts w:ascii="Verdana" w:hAnsi="Verdana"/>
          <w:sz w:val="22"/>
          <w:szCs w:val="22"/>
        </w:rPr>
        <w:t>largest</w:t>
      </w:r>
      <w:r w:rsidR="00994D12" w:rsidRPr="008403AD">
        <w:rPr>
          <w:rFonts w:ascii="Verdana" w:hAnsi="Verdana"/>
          <w:sz w:val="22"/>
          <w:szCs w:val="22"/>
        </w:rPr>
        <w:t xml:space="preserve"> between 2019</w:t>
      </w:r>
      <w:r w:rsidR="00BC1B96">
        <w:rPr>
          <w:rFonts w:ascii="Verdana" w:hAnsi="Verdana"/>
          <w:sz w:val="22"/>
          <w:szCs w:val="22"/>
        </w:rPr>
        <w:t xml:space="preserve"> and 20</w:t>
      </w:r>
      <w:r w:rsidR="00994D12" w:rsidRPr="008403AD">
        <w:rPr>
          <w:rFonts w:ascii="Verdana" w:hAnsi="Verdana"/>
          <w:sz w:val="22"/>
          <w:szCs w:val="22"/>
        </w:rPr>
        <w:t>20</w:t>
      </w:r>
      <w:r w:rsidR="007262F1" w:rsidRPr="008403AD">
        <w:rPr>
          <w:rFonts w:ascii="Verdana" w:hAnsi="Verdana"/>
          <w:sz w:val="22"/>
          <w:szCs w:val="22"/>
        </w:rPr>
        <w:t xml:space="preserve"> (see Figure </w:t>
      </w:r>
      <w:r w:rsidR="0089243C">
        <w:rPr>
          <w:rFonts w:ascii="Verdana" w:hAnsi="Verdana"/>
          <w:sz w:val="22"/>
          <w:szCs w:val="22"/>
        </w:rPr>
        <w:t>11</w:t>
      </w:r>
      <w:r w:rsidR="007262F1" w:rsidRPr="008403AD">
        <w:rPr>
          <w:rFonts w:ascii="Verdana" w:hAnsi="Verdana"/>
          <w:sz w:val="22"/>
          <w:szCs w:val="22"/>
        </w:rPr>
        <w:t>)</w:t>
      </w:r>
      <w:r w:rsidR="004F7A17" w:rsidRPr="008403AD">
        <w:rPr>
          <w:rFonts w:ascii="Verdana" w:hAnsi="Verdana"/>
          <w:sz w:val="22"/>
          <w:szCs w:val="22"/>
        </w:rPr>
        <w:t>.</w:t>
      </w:r>
      <w:r w:rsidR="00D2745D">
        <w:rPr>
          <w:rFonts w:ascii="Verdana" w:hAnsi="Verdana"/>
          <w:sz w:val="22"/>
          <w:szCs w:val="22"/>
        </w:rPr>
        <w:t xml:space="preserve"> </w:t>
      </w:r>
      <w:r w:rsidR="008403AD">
        <w:rPr>
          <w:rFonts w:ascii="Verdana" w:hAnsi="Verdana"/>
          <w:sz w:val="22"/>
          <w:szCs w:val="22"/>
        </w:rPr>
        <w:t xml:space="preserve">Whilst </w:t>
      </w:r>
      <w:r w:rsidR="00D2745D">
        <w:rPr>
          <w:rFonts w:ascii="Verdana" w:hAnsi="Verdana"/>
          <w:sz w:val="22"/>
          <w:szCs w:val="22"/>
        </w:rPr>
        <w:t>t</w:t>
      </w:r>
      <w:r w:rsidR="008403AD">
        <w:rPr>
          <w:rFonts w:ascii="Verdana" w:hAnsi="Verdana"/>
          <w:sz w:val="22"/>
          <w:szCs w:val="22"/>
        </w:rPr>
        <w:t xml:space="preserve">here is </w:t>
      </w:r>
      <w:r w:rsidR="00AC7896">
        <w:rPr>
          <w:rFonts w:ascii="Verdana" w:hAnsi="Verdana"/>
          <w:sz w:val="22"/>
          <w:szCs w:val="22"/>
        </w:rPr>
        <w:t xml:space="preserve">a </w:t>
      </w:r>
      <w:r w:rsidR="008403AD">
        <w:rPr>
          <w:rFonts w:ascii="Verdana" w:hAnsi="Verdana"/>
          <w:sz w:val="22"/>
          <w:szCs w:val="22"/>
        </w:rPr>
        <w:t>noticeable trend,</w:t>
      </w:r>
      <w:r w:rsidR="005B18FC">
        <w:rPr>
          <w:rFonts w:ascii="Verdana" w:hAnsi="Verdana"/>
          <w:sz w:val="22"/>
          <w:szCs w:val="22"/>
        </w:rPr>
        <w:t xml:space="preserve"> </w:t>
      </w:r>
      <w:r w:rsidR="008403AD">
        <w:rPr>
          <w:rFonts w:ascii="Verdana" w:hAnsi="Verdana"/>
          <w:sz w:val="22"/>
          <w:szCs w:val="22"/>
        </w:rPr>
        <w:t xml:space="preserve">it </w:t>
      </w:r>
      <w:r w:rsidR="00D2745D">
        <w:rPr>
          <w:rFonts w:ascii="Verdana" w:hAnsi="Verdana"/>
          <w:sz w:val="22"/>
          <w:szCs w:val="22"/>
        </w:rPr>
        <w:t xml:space="preserve">seems that cycling </w:t>
      </w:r>
      <w:r w:rsidR="007B2F30">
        <w:rPr>
          <w:rFonts w:ascii="Verdana" w:hAnsi="Verdana"/>
          <w:sz w:val="22"/>
          <w:szCs w:val="22"/>
        </w:rPr>
        <w:t xml:space="preserve">for </w:t>
      </w:r>
      <w:r w:rsidR="00D2745D">
        <w:rPr>
          <w:rFonts w:ascii="Verdana" w:hAnsi="Verdana"/>
          <w:sz w:val="22"/>
          <w:szCs w:val="22"/>
        </w:rPr>
        <w:t xml:space="preserve">travel was less affected by </w:t>
      </w:r>
      <w:r w:rsidR="009D2010">
        <w:rPr>
          <w:rFonts w:ascii="Verdana" w:hAnsi="Verdana"/>
          <w:sz w:val="22"/>
          <w:szCs w:val="22"/>
        </w:rPr>
        <w:t xml:space="preserve">Covid-19 </w:t>
      </w:r>
      <w:r w:rsidR="00137E25">
        <w:rPr>
          <w:rFonts w:ascii="Verdana" w:hAnsi="Verdana"/>
          <w:sz w:val="22"/>
          <w:szCs w:val="22"/>
        </w:rPr>
        <w:t xml:space="preserve">than other forms of </w:t>
      </w:r>
      <w:r w:rsidR="008403AD">
        <w:rPr>
          <w:rFonts w:ascii="Verdana" w:hAnsi="Verdana"/>
          <w:sz w:val="22"/>
          <w:szCs w:val="22"/>
        </w:rPr>
        <w:t>activity.</w:t>
      </w:r>
    </w:p>
    <w:p w14:paraId="1C316540" w14:textId="5546369A" w:rsidR="00D05FEF" w:rsidRPr="00CE3E6F" w:rsidRDefault="00DB739E" w:rsidP="00CE5181">
      <w:pPr>
        <w:spacing w:before="0" w:after="200" w:line="240" w:lineRule="auto"/>
        <w:rPr>
          <w:rFonts w:ascii="Verdana" w:hAnsi="Verdana"/>
          <w:b/>
          <w:bCs/>
          <w:sz w:val="22"/>
          <w:szCs w:val="22"/>
        </w:rPr>
      </w:pPr>
      <w:r w:rsidRPr="00AE1E26">
        <w:rPr>
          <w:rFonts w:ascii="Verdana" w:hAnsi="Verdana"/>
          <w:b/>
          <w:bCs/>
          <w:sz w:val="22"/>
          <w:szCs w:val="22"/>
        </w:rPr>
        <w:t xml:space="preserve">Figure </w:t>
      </w:r>
      <w:r w:rsidR="0089243C">
        <w:rPr>
          <w:rFonts w:ascii="Verdana" w:hAnsi="Verdana"/>
          <w:b/>
          <w:bCs/>
          <w:sz w:val="22"/>
          <w:szCs w:val="22"/>
        </w:rPr>
        <w:t>11</w:t>
      </w:r>
      <w:r w:rsidRPr="00AE1E26">
        <w:rPr>
          <w:rFonts w:ascii="Verdana" w:hAnsi="Verdana"/>
          <w:b/>
          <w:bCs/>
          <w:sz w:val="22"/>
          <w:szCs w:val="22"/>
        </w:rPr>
        <w:t xml:space="preserve">. </w:t>
      </w:r>
      <w:r w:rsidR="007676D0">
        <w:rPr>
          <w:rFonts w:ascii="Verdana" w:hAnsi="Verdana"/>
          <w:b/>
          <w:bCs/>
          <w:sz w:val="22"/>
          <w:szCs w:val="22"/>
        </w:rPr>
        <w:t>Trend</w:t>
      </w:r>
      <w:r w:rsidR="00D835AC" w:rsidRPr="00AE1E26">
        <w:rPr>
          <w:rFonts w:ascii="Verdana" w:hAnsi="Verdana"/>
          <w:b/>
          <w:bCs/>
          <w:sz w:val="22"/>
          <w:szCs w:val="22"/>
        </w:rPr>
        <w:t xml:space="preserve"> plot showing </w:t>
      </w:r>
      <w:r w:rsidR="00667202" w:rsidRPr="00AE1E26">
        <w:rPr>
          <w:rFonts w:ascii="Verdana" w:hAnsi="Verdana"/>
          <w:b/>
          <w:bCs/>
          <w:sz w:val="22"/>
          <w:szCs w:val="22"/>
        </w:rPr>
        <w:t xml:space="preserve">the proportion of adults who cycle for travel by frequency, Kent, </w:t>
      </w:r>
      <w:r w:rsidR="00C37FB5">
        <w:rPr>
          <w:rFonts w:ascii="Verdana" w:hAnsi="Verdana"/>
          <w:b/>
          <w:bCs/>
          <w:sz w:val="22"/>
          <w:szCs w:val="22"/>
        </w:rPr>
        <w:t xml:space="preserve">2016 to </w:t>
      </w:r>
      <w:r w:rsidR="00667202" w:rsidRPr="00AE1E26">
        <w:rPr>
          <w:rFonts w:ascii="Verdana" w:hAnsi="Verdana"/>
          <w:b/>
          <w:bCs/>
          <w:sz w:val="22"/>
          <w:szCs w:val="22"/>
        </w:rPr>
        <w:t>2021</w:t>
      </w:r>
      <w:r w:rsidR="006532EB">
        <w:rPr>
          <w:rFonts w:ascii="Verdana" w:hAnsi="Verdana"/>
          <w:b/>
          <w:bCs/>
          <w:sz w:val="22"/>
          <w:szCs w:val="22"/>
        </w:rPr>
        <w:t>.</w:t>
      </w:r>
      <w:r w:rsidR="00D05FEF">
        <w:rPr>
          <w:rFonts w:ascii="Verdana" w:hAnsi="Verdana"/>
          <w:b/>
          <w:bCs/>
          <w:noProof/>
        </w:rPr>
        <w:drawing>
          <wp:inline distT="0" distB="0" distL="0" distR="0" wp14:anchorId="49362B9B" wp14:editId="3B7DEA11">
            <wp:extent cx="5718810" cy="3335342"/>
            <wp:effectExtent l="0" t="0" r="0" b="0"/>
            <wp:docPr id="1597127399" name="Picture 22" descr="This figure is a scatterplot showing the proportion of adults who cycled for travel in Kent from 2016 to 2021. This is split into four groups based on the frequency of walking (each with a separate line on the graph); Once per month, Once per week, Three times per week and Five times per week. These groups show roughly the following proportions across the years (respectively); 4% to 6%, 3% to 4.5%, 1% to 2% and 0.5% to 1%. Trends are described in more detail in the ma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27399" name="Picture 22" descr="This figure is a scatterplot showing the proportion of adults who cycled for travel in Kent from 2016 to 2021. This is split into four groups based on the frequency of walking (each with a separate line on the graph); Once per month, Once per week, Three times per week and Five times per week. These groups show roughly the following proportions across the years (respectively); 4% to 6%, 3% to 4.5%, 1% to 2% and 0.5% to 1%. Trends are described in more detail in the main text abo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8564" cy="3341031"/>
                    </a:xfrm>
                    <a:prstGeom prst="rect">
                      <a:avLst/>
                    </a:prstGeom>
                    <a:noFill/>
                  </pic:spPr>
                </pic:pic>
              </a:graphicData>
            </a:graphic>
          </wp:inline>
        </w:drawing>
      </w:r>
    </w:p>
    <w:p w14:paraId="03C1DF7C" w14:textId="7537BDC5" w:rsidR="00873F6F" w:rsidRDefault="00F47BCA" w:rsidP="0086404F">
      <w:pPr>
        <w:spacing w:before="0" w:after="200"/>
        <w:rPr>
          <w:rFonts w:ascii="Verdana" w:hAnsi="Verdana"/>
          <w:sz w:val="22"/>
          <w:szCs w:val="22"/>
        </w:rPr>
      </w:pPr>
      <w:r>
        <w:rPr>
          <w:rFonts w:ascii="Verdana" w:hAnsi="Verdana"/>
          <w:sz w:val="22"/>
          <w:szCs w:val="22"/>
        </w:rPr>
        <w:br w:type="page"/>
      </w:r>
    </w:p>
    <w:p w14:paraId="658D1268" w14:textId="32688D4A" w:rsidR="00973359" w:rsidRDefault="00040881" w:rsidP="0086404F">
      <w:pPr>
        <w:spacing w:before="0" w:after="200"/>
        <w:rPr>
          <w:rFonts w:ascii="Verdana" w:hAnsi="Verdana"/>
          <w:sz w:val="22"/>
          <w:szCs w:val="22"/>
        </w:rPr>
      </w:pPr>
      <w:r>
        <w:rPr>
          <w:rFonts w:ascii="Verdana" w:hAnsi="Verdana"/>
          <w:sz w:val="22"/>
          <w:szCs w:val="22"/>
        </w:rPr>
        <w:lastRenderedPageBreak/>
        <w:t>Data for each district from 2016</w:t>
      </w:r>
      <w:r w:rsidR="000327F7">
        <w:rPr>
          <w:rFonts w:ascii="Verdana" w:hAnsi="Verdana"/>
          <w:sz w:val="22"/>
          <w:szCs w:val="22"/>
        </w:rPr>
        <w:t xml:space="preserve"> to 20</w:t>
      </w:r>
      <w:r>
        <w:rPr>
          <w:rFonts w:ascii="Verdana" w:hAnsi="Verdana"/>
          <w:sz w:val="22"/>
          <w:szCs w:val="22"/>
        </w:rPr>
        <w:t xml:space="preserve">21 is given below, for those </w:t>
      </w:r>
      <w:r w:rsidR="00F71B6A">
        <w:rPr>
          <w:rFonts w:ascii="Verdana" w:hAnsi="Verdana"/>
          <w:sz w:val="22"/>
          <w:szCs w:val="22"/>
        </w:rPr>
        <w:t>cycling for travel</w:t>
      </w:r>
      <w:r>
        <w:rPr>
          <w:rFonts w:ascii="Verdana" w:hAnsi="Verdana"/>
          <w:sz w:val="22"/>
          <w:szCs w:val="22"/>
        </w:rPr>
        <w:t xml:space="preserve"> at least once a month and at least five times a week. The </w:t>
      </w:r>
      <w:r w:rsidR="00661F67">
        <w:rPr>
          <w:rFonts w:ascii="Verdana" w:hAnsi="Verdana"/>
          <w:sz w:val="22"/>
          <w:szCs w:val="22"/>
        </w:rPr>
        <w:t>middle two</w:t>
      </w:r>
      <w:r>
        <w:rPr>
          <w:rFonts w:ascii="Verdana" w:hAnsi="Verdana"/>
          <w:sz w:val="22"/>
          <w:szCs w:val="22"/>
        </w:rPr>
        <w:t xml:space="preserve"> frequencies have been left out of this report. </w:t>
      </w:r>
      <w:r w:rsidR="005C1C14" w:rsidRPr="00F422BA">
        <w:rPr>
          <w:rFonts w:ascii="Verdana" w:hAnsi="Verdana"/>
          <w:sz w:val="22"/>
          <w:szCs w:val="22"/>
        </w:rPr>
        <w:t xml:space="preserve">Canterbury is a clear frontrunner across all frequencies, with Ashford and Thanet also </w:t>
      </w:r>
      <w:r w:rsidR="00E033A3">
        <w:rPr>
          <w:rFonts w:ascii="Verdana" w:hAnsi="Verdana"/>
          <w:sz w:val="22"/>
          <w:szCs w:val="22"/>
        </w:rPr>
        <w:t>showing high rates</w:t>
      </w:r>
      <w:r w:rsidR="005C1C14">
        <w:rPr>
          <w:rFonts w:ascii="Verdana" w:hAnsi="Verdana"/>
          <w:sz w:val="22"/>
          <w:szCs w:val="22"/>
        </w:rPr>
        <w:t xml:space="preserve"> (see Figur</w:t>
      </w:r>
      <w:r w:rsidR="0089243C">
        <w:rPr>
          <w:rFonts w:ascii="Verdana" w:hAnsi="Verdana"/>
          <w:sz w:val="22"/>
          <w:szCs w:val="22"/>
        </w:rPr>
        <w:t>es 12 and 13</w:t>
      </w:r>
      <w:r w:rsidR="005C1C14">
        <w:rPr>
          <w:rFonts w:ascii="Verdana" w:hAnsi="Verdana"/>
          <w:sz w:val="22"/>
          <w:szCs w:val="22"/>
        </w:rPr>
        <w:t>)</w:t>
      </w:r>
      <w:r w:rsidR="005C1C14" w:rsidRPr="00F422BA">
        <w:rPr>
          <w:rFonts w:ascii="Verdana" w:hAnsi="Verdana"/>
          <w:sz w:val="22"/>
          <w:szCs w:val="22"/>
        </w:rPr>
        <w:t xml:space="preserve">. Gravesham and Dartford again rank lowest overall. </w:t>
      </w:r>
      <w:r w:rsidR="005C1C14">
        <w:rPr>
          <w:rFonts w:ascii="Verdana" w:hAnsi="Verdana"/>
          <w:sz w:val="22"/>
          <w:szCs w:val="22"/>
        </w:rPr>
        <w:t xml:space="preserve">Interestingly, </w:t>
      </w:r>
      <w:r w:rsidR="005C1C14" w:rsidRPr="00F422BA">
        <w:rPr>
          <w:rFonts w:ascii="Verdana" w:hAnsi="Verdana"/>
          <w:sz w:val="22"/>
          <w:szCs w:val="22"/>
        </w:rPr>
        <w:t>Folkestone</w:t>
      </w:r>
      <w:r w:rsidR="005C1C14" w:rsidRPr="00994D12">
        <w:rPr>
          <w:rFonts w:ascii="Verdana" w:hAnsi="Verdana"/>
          <w:sz w:val="22"/>
          <w:szCs w:val="22"/>
        </w:rPr>
        <w:t xml:space="preserve"> </w:t>
      </w:r>
      <w:r w:rsidR="00B219CE">
        <w:rPr>
          <w:rFonts w:ascii="Verdana" w:hAnsi="Verdana"/>
          <w:sz w:val="22"/>
          <w:szCs w:val="22"/>
        </w:rPr>
        <w:t xml:space="preserve">and </w:t>
      </w:r>
      <w:r w:rsidR="005C1C14" w:rsidRPr="00994D12">
        <w:rPr>
          <w:rFonts w:ascii="Verdana" w:hAnsi="Verdana"/>
          <w:sz w:val="22"/>
          <w:szCs w:val="22"/>
        </w:rPr>
        <w:t xml:space="preserve">Hythe </w:t>
      </w:r>
      <w:proofErr w:type="gramStart"/>
      <w:r w:rsidR="005C1C14" w:rsidRPr="00994D12">
        <w:rPr>
          <w:rFonts w:ascii="Verdana" w:hAnsi="Verdana"/>
          <w:sz w:val="22"/>
          <w:szCs w:val="22"/>
        </w:rPr>
        <w:t>has</w:t>
      </w:r>
      <w:proofErr w:type="gramEnd"/>
      <w:r w:rsidR="005C1C14" w:rsidRPr="00994D12">
        <w:rPr>
          <w:rFonts w:ascii="Verdana" w:hAnsi="Verdana"/>
          <w:sz w:val="22"/>
          <w:szCs w:val="22"/>
        </w:rPr>
        <w:t xml:space="preserve"> a sudden peak in 2018, which then greatly reduc</w:t>
      </w:r>
      <w:r w:rsidR="005C1C14">
        <w:rPr>
          <w:rFonts w:ascii="Verdana" w:hAnsi="Verdana"/>
          <w:sz w:val="22"/>
          <w:szCs w:val="22"/>
        </w:rPr>
        <w:t>es</w:t>
      </w:r>
      <w:r w:rsidR="005C1C14" w:rsidRPr="00994D12">
        <w:rPr>
          <w:rFonts w:ascii="Verdana" w:hAnsi="Verdana"/>
          <w:sz w:val="22"/>
          <w:szCs w:val="22"/>
        </w:rPr>
        <w:t xml:space="preserve"> </w:t>
      </w:r>
      <w:r w:rsidR="005C1C14">
        <w:rPr>
          <w:rFonts w:ascii="Verdana" w:hAnsi="Verdana"/>
          <w:sz w:val="22"/>
          <w:szCs w:val="22"/>
        </w:rPr>
        <w:t>in the following year</w:t>
      </w:r>
      <w:r w:rsidR="005C1C14" w:rsidRPr="00994D12">
        <w:rPr>
          <w:rFonts w:ascii="Verdana" w:hAnsi="Verdana"/>
          <w:sz w:val="22"/>
          <w:szCs w:val="22"/>
        </w:rPr>
        <w:t>. The post C</w:t>
      </w:r>
      <w:r w:rsidR="005C1C14">
        <w:rPr>
          <w:rFonts w:ascii="Verdana" w:hAnsi="Verdana"/>
          <w:sz w:val="22"/>
          <w:szCs w:val="22"/>
        </w:rPr>
        <w:t>ovid-19 pandemic</w:t>
      </w:r>
      <w:r w:rsidR="005C1C14" w:rsidRPr="00994D12">
        <w:rPr>
          <w:rFonts w:ascii="Verdana" w:hAnsi="Verdana"/>
          <w:sz w:val="22"/>
          <w:szCs w:val="22"/>
        </w:rPr>
        <w:t xml:space="preserve"> </w:t>
      </w:r>
      <w:r w:rsidR="005C1C14">
        <w:rPr>
          <w:rFonts w:ascii="Verdana" w:hAnsi="Verdana"/>
          <w:sz w:val="22"/>
          <w:szCs w:val="22"/>
        </w:rPr>
        <w:t>trend</w:t>
      </w:r>
      <w:r w:rsidR="005C1C14" w:rsidRPr="00994D12">
        <w:rPr>
          <w:rFonts w:ascii="Verdana" w:hAnsi="Verdana"/>
          <w:sz w:val="22"/>
          <w:szCs w:val="22"/>
        </w:rPr>
        <w:t xml:space="preserve"> varies a lot between districts with some seeing dramatic increases</w:t>
      </w:r>
      <w:r w:rsidR="005C1C14">
        <w:rPr>
          <w:rFonts w:ascii="Verdana" w:hAnsi="Verdana"/>
          <w:sz w:val="22"/>
          <w:szCs w:val="22"/>
        </w:rPr>
        <w:t xml:space="preserve"> or </w:t>
      </w:r>
      <w:r w:rsidR="005C1C14" w:rsidRPr="00994D12">
        <w:rPr>
          <w:rFonts w:ascii="Verdana" w:hAnsi="Verdana"/>
          <w:sz w:val="22"/>
          <w:szCs w:val="22"/>
        </w:rPr>
        <w:t>decreases.</w:t>
      </w:r>
    </w:p>
    <w:p w14:paraId="5B26C00D" w14:textId="48B3CD67" w:rsidR="00795691" w:rsidRPr="00CE5181" w:rsidRDefault="00795691" w:rsidP="00CE5181">
      <w:pPr>
        <w:spacing w:line="240" w:lineRule="auto"/>
        <w:rPr>
          <w:rFonts w:ascii="Verdana" w:hAnsi="Verdana"/>
          <w:b/>
          <w:bCs/>
          <w:sz w:val="22"/>
          <w:szCs w:val="22"/>
        </w:rPr>
      </w:pPr>
      <w:r>
        <w:rPr>
          <w:rFonts w:ascii="Verdana" w:hAnsi="Verdana"/>
          <w:b/>
          <w:bCs/>
          <w:noProof/>
          <w:sz w:val="22"/>
          <w:szCs w:val="22"/>
        </w:rPr>
        <w:drawing>
          <wp:anchor distT="0" distB="0" distL="114300" distR="114300" simplePos="0" relativeHeight="251689984" behindDoc="1" locked="0" layoutInCell="1" allowOverlap="1" wp14:anchorId="2EDAA0C1" wp14:editId="71CB55B3">
            <wp:simplePos x="0" y="0"/>
            <wp:positionH relativeFrom="column">
              <wp:posOffset>-361950</wp:posOffset>
            </wp:positionH>
            <wp:positionV relativeFrom="paragraph">
              <wp:posOffset>368300</wp:posOffset>
            </wp:positionV>
            <wp:extent cx="6457950" cy="3692525"/>
            <wp:effectExtent l="0" t="0" r="0" b="3175"/>
            <wp:wrapTight wrapText="bothSides">
              <wp:wrapPolygon edited="0">
                <wp:start x="0" y="0"/>
                <wp:lineTo x="0" y="21507"/>
                <wp:lineTo x="21536" y="21507"/>
                <wp:lineTo x="21536" y="0"/>
                <wp:lineTo x="0" y="0"/>
              </wp:wrapPolygon>
            </wp:wrapTight>
            <wp:docPr id="1403870649" name="Picture 14" descr="This figure is a bar chart showing the proportion of adults who cycled for travel at least once a month in Kent from 2016 to 2021. This is split by each of the twelve Kent districts, with each district having a bar for all years between 2016 and 2021 (inclusive). Overall trends are described in the main text above. Proportions vary between districts and years, ranging between 0.1% an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70649" name="Picture 14" descr="This figure is a bar chart showing the proportion of adults who cycled for travel at least once a month in Kent from 2016 to 2021. This is split by each of the twelve Kent districts, with each district having a bar for all years between 2016 and 2021 (inclusive). Overall trends are described in the main text above. Proportions vary between districts and years, ranging between 0.1% and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57950" cy="3692525"/>
                    </a:xfrm>
                    <a:prstGeom prst="rect">
                      <a:avLst/>
                    </a:prstGeom>
                    <a:noFill/>
                  </pic:spPr>
                </pic:pic>
              </a:graphicData>
            </a:graphic>
            <wp14:sizeRelH relativeFrom="page">
              <wp14:pctWidth>0</wp14:pctWidth>
            </wp14:sizeRelH>
            <wp14:sizeRelV relativeFrom="page">
              <wp14:pctHeight>0</wp14:pctHeight>
            </wp14:sizeRelV>
          </wp:anchor>
        </w:drawing>
      </w:r>
      <w:r w:rsidR="0089243C" w:rsidRPr="00CE5181">
        <w:rPr>
          <w:rFonts w:ascii="Verdana" w:hAnsi="Verdana"/>
          <w:b/>
          <w:bCs/>
          <w:sz w:val="22"/>
          <w:szCs w:val="22"/>
        </w:rPr>
        <w:t>Figure 12.</w:t>
      </w:r>
      <w:r w:rsidR="002C0EE9" w:rsidRPr="00CE5181">
        <w:rPr>
          <w:rFonts w:ascii="Verdana" w:hAnsi="Verdana"/>
          <w:b/>
          <w:bCs/>
          <w:sz w:val="22"/>
          <w:szCs w:val="22"/>
        </w:rPr>
        <w:t xml:space="preserve"> Bar chart showing the proportion of adults who cycle for travel at least once per month by Kent districts, </w:t>
      </w:r>
      <w:r w:rsidR="00C37FB5">
        <w:rPr>
          <w:rFonts w:ascii="Verdana" w:hAnsi="Verdana"/>
          <w:b/>
          <w:bCs/>
          <w:sz w:val="22"/>
          <w:szCs w:val="22"/>
        </w:rPr>
        <w:t xml:space="preserve">2016 to </w:t>
      </w:r>
      <w:r w:rsidR="002C0EE9" w:rsidRPr="00CE5181">
        <w:rPr>
          <w:rFonts w:ascii="Verdana" w:hAnsi="Verdana"/>
          <w:b/>
          <w:bCs/>
          <w:sz w:val="22"/>
          <w:szCs w:val="22"/>
        </w:rPr>
        <w:t>2021.</w:t>
      </w:r>
    </w:p>
    <w:p w14:paraId="102BB485" w14:textId="2791E6B7" w:rsidR="003318C1" w:rsidRDefault="009B5153" w:rsidP="00D82FE4">
      <w:pPr>
        <w:spacing w:before="0" w:after="200" w:line="240" w:lineRule="auto"/>
        <w:rPr>
          <w:rFonts w:ascii="Verdana" w:hAnsi="Verdana"/>
          <w:b/>
          <w:bCs/>
          <w:sz w:val="22"/>
          <w:szCs w:val="22"/>
        </w:rPr>
      </w:pPr>
      <w:r>
        <w:br w:type="page"/>
      </w:r>
      <w:r w:rsidRPr="00CE5181">
        <w:rPr>
          <w:rFonts w:ascii="Verdana" w:hAnsi="Verdana"/>
          <w:b/>
          <w:bCs/>
          <w:sz w:val="22"/>
          <w:szCs w:val="22"/>
        </w:rPr>
        <w:lastRenderedPageBreak/>
        <w:t>F</w:t>
      </w:r>
      <w:r w:rsidR="001330C8" w:rsidRPr="00CE5181">
        <w:rPr>
          <w:rFonts w:ascii="Verdana" w:hAnsi="Verdana"/>
          <w:b/>
          <w:bCs/>
          <w:sz w:val="22"/>
          <w:szCs w:val="22"/>
        </w:rPr>
        <w:t xml:space="preserve">igure </w:t>
      </w:r>
      <w:r w:rsidR="001767CD" w:rsidRPr="00CE5181">
        <w:rPr>
          <w:rFonts w:ascii="Verdana" w:hAnsi="Verdana"/>
          <w:b/>
          <w:bCs/>
          <w:sz w:val="22"/>
          <w:szCs w:val="22"/>
        </w:rPr>
        <w:t>13</w:t>
      </w:r>
      <w:r w:rsidR="001330C8" w:rsidRPr="00CE5181">
        <w:rPr>
          <w:rFonts w:ascii="Verdana" w:hAnsi="Verdana"/>
          <w:b/>
          <w:bCs/>
          <w:sz w:val="22"/>
          <w:szCs w:val="22"/>
        </w:rPr>
        <w:t>.</w:t>
      </w:r>
      <w:r w:rsidR="00D835AC" w:rsidRPr="00CE5181">
        <w:rPr>
          <w:rFonts w:ascii="Verdana" w:hAnsi="Verdana"/>
          <w:b/>
          <w:bCs/>
          <w:sz w:val="22"/>
          <w:szCs w:val="22"/>
        </w:rPr>
        <w:t xml:space="preserve"> </w:t>
      </w:r>
      <w:r w:rsidR="00647179" w:rsidRPr="00CE5181">
        <w:rPr>
          <w:rFonts w:ascii="Verdana" w:hAnsi="Verdana"/>
          <w:b/>
          <w:bCs/>
          <w:sz w:val="22"/>
          <w:szCs w:val="22"/>
        </w:rPr>
        <w:t xml:space="preserve">Bar chart showing the proportion of adults who cycle for </w:t>
      </w:r>
      <w:r w:rsidR="00997FE0">
        <w:rPr>
          <w:rFonts w:ascii="Verdana" w:hAnsi="Verdana"/>
          <w:b/>
          <w:bCs/>
          <w:noProof/>
          <w:sz w:val="22"/>
          <w:szCs w:val="22"/>
        </w:rPr>
        <w:drawing>
          <wp:anchor distT="0" distB="0" distL="114300" distR="114300" simplePos="0" relativeHeight="251693056" behindDoc="1" locked="0" layoutInCell="1" allowOverlap="1" wp14:anchorId="561803DC" wp14:editId="0F244DC3">
            <wp:simplePos x="0" y="0"/>
            <wp:positionH relativeFrom="column">
              <wp:posOffset>-352425</wp:posOffset>
            </wp:positionH>
            <wp:positionV relativeFrom="paragraph">
              <wp:posOffset>389890</wp:posOffset>
            </wp:positionV>
            <wp:extent cx="6468745" cy="3706495"/>
            <wp:effectExtent l="0" t="0" r="8255" b="8255"/>
            <wp:wrapTight wrapText="bothSides">
              <wp:wrapPolygon edited="0">
                <wp:start x="0" y="0"/>
                <wp:lineTo x="0" y="21537"/>
                <wp:lineTo x="21564" y="21537"/>
                <wp:lineTo x="21564" y="0"/>
                <wp:lineTo x="0" y="0"/>
              </wp:wrapPolygon>
            </wp:wrapTight>
            <wp:docPr id="888979983" name="Picture 15" descr="This figure is a bar chart showing the proportion of adults who cycled for travel at least five times a week in Kent from 2016 to 2021. This is split by each of the twelve Kent districts, with each district having a bar for all years between 2016 and 2021 (inclusive). Overall trends are described in the main text above. Proportions vary between districts and years, ranging between 0% an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79983" name="Picture 15" descr="This figure is a bar chart showing the proportion of adults who cycled for travel at least five times a week in Kent from 2016 to 2021. This is split by each of the twelve Kent districts, with each district having a bar for all years between 2016 and 2021 (inclusive). Overall trends are described in the main text above. Proportions vary between districts and years, ranging between 0% and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8745" cy="3706495"/>
                    </a:xfrm>
                    <a:prstGeom prst="rect">
                      <a:avLst/>
                    </a:prstGeom>
                    <a:noFill/>
                  </pic:spPr>
                </pic:pic>
              </a:graphicData>
            </a:graphic>
            <wp14:sizeRelH relativeFrom="page">
              <wp14:pctWidth>0</wp14:pctWidth>
            </wp14:sizeRelH>
            <wp14:sizeRelV relativeFrom="page">
              <wp14:pctHeight>0</wp14:pctHeight>
            </wp14:sizeRelV>
          </wp:anchor>
        </w:drawing>
      </w:r>
      <w:r w:rsidR="00647179" w:rsidRPr="00CE5181">
        <w:rPr>
          <w:rFonts w:ascii="Verdana" w:hAnsi="Verdana"/>
          <w:b/>
          <w:bCs/>
          <w:sz w:val="22"/>
          <w:szCs w:val="22"/>
        </w:rPr>
        <w:t xml:space="preserve">travel at least five times per week by Kent districts, </w:t>
      </w:r>
      <w:r w:rsidR="00F03C4B">
        <w:rPr>
          <w:rFonts w:ascii="Verdana" w:hAnsi="Verdana"/>
          <w:b/>
          <w:bCs/>
          <w:sz w:val="22"/>
          <w:szCs w:val="22"/>
        </w:rPr>
        <w:t xml:space="preserve">2016 to </w:t>
      </w:r>
      <w:r w:rsidR="00647179" w:rsidRPr="00CE5181">
        <w:rPr>
          <w:rFonts w:ascii="Verdana" w:hAnsi="Verdana"/>
          <w:b/>
          <w:bCs/>
          <w:sz w:val="22"/>
          <w:szCs w:val="22"/>
        </w:rPr>
        <w:t>2021</w:t>
      </w:r>
      <w:r w:rsidR="009603DA" w:rsidRPr="00CE5181">
        <w:rPr>
          <w:rFonts w:ascii="Verdana" w:hAnsi="Verdana"/>
          <w:b/>
          <w:bCs/>
          <w:sz w:val="22"/>
          <w:szCs w:val="22"/>
        </w:rPr>
        <w:t>.</w:t>
      </w:r>
    </w:p>
    <w:p w14:paraId="16E4AFFB" w14:textId="5DBA425B" w:rsidR="009B5153" w:rsidRDefault="009B5153">
      <w:pPr>
        <w:spacing w:before="0" w:after="200"/>
        <w:rPr>
          <w:rFonts w:ascii="Verdana" w:hAnsi="Verdana"/>
          <w:b/>
          <w:bCs/>
          <w:sz w:val="22"/>
          <w:szCs w:val="22"/>
        </w:rPr>
      </w:pPr>
      <w:r>
        <w:rPr>
          <w:rFonts w:ascii="Verdana" w:hAnsi="Verdana"/>
          <w:b/>
          <w:bCs/>
          <w:sz w:val="22"/>
          <w:szCs w:val="22"/>
        </w:rPr>
        <w:br w:type="page"/>
      </w:r>
    </w:p>
    <w:p w14:paraId="770D0C15" w14:textId="09E3AA63" w:rsidR="00236E58" w:rsidRPr="009107E3" w:rsidRDefault="00236E58" w:rsidP="00D76E32">
      <w:pPr>
        <w:pStyle w:val="Heading3"/>
        <w:rPr>
          <w:rFonts w:ascii="Verdana" w:hAnsi="Verdana"/>
          <w:sz w:val="28"/>
          <w:szCs w:val="28"/>
        </w:rPr>
      </w:pPr>
      <w:bookmarkStart w:id="12" w:name="_Toc139375901"/>
      <w:r w:rsidRPr="009107E3">
        <w:rPr>
          <w:rFonts w:ascii="Verdana" w:hAnsi="Verdana"/>
          <w:sz w:val="28"/>
          <w:szCs w:val="28"/>
        </w:rPr>
        <w:lastRenderedPageBreak/>
        <w:t>4.</w:t>
      </w:r>
      <w:r w:rsidR="00B77C70">
        <w:rPr>
          <w:rFonts w:ascii="Verdana" w:hAnsi="Verdana"/>
          <w:sz w:val="28"/>
          <w:szCs w:val="28"/>
        </w:rPr>
        <w:t>5</w:t>
      </w:r>
      <w:r w:rsidRPr="009107E3">
        <w:rPr>
          <w:rFonts w:ascii="Verdana" w:hAnsi="Verdana"/>
          <w:sz w:val="28"/>
          <w:szCs w:val="28"/>
        </w:rPr>
        <w:t xml:space="preserve"> Compari</w:t>
      </w:r>
      <w:r w:rsidR="00D835AC" w:rsidRPr="009107E3">
        <w:rPr>
          <w:rFonts w:ascii="Verdana" w:hAnsi="Verdana"/>
          <w:sz w:val="28"/>
          <w:szCs w:val="28"/>
        </w:rPr>
        <w:t xml:space="preserve">ng Kent </w:t>
      </w:r>
      <w:r w:rsidRPr="009107E3">
        <w:rPr>
          <w:rFonts w:ascii="Verdana" w:hAnsi="Verdana"/>
          <w:sz w:val="28"/>
          <w:szCs w:val="28"/>
        </w:rPr>
        <w:t xml:space="preserve">with CIPFA </w:t>
      </w:r>
      <w:r w:rsidR="00C61F92">
        <w:rPr>
          <w:rFonts w:ascii="Verdana" w:hAnsi="Verdana"/>
          <w:sz w:val="28"/>
          <w:szCs w:val="28"/>
        </w:rPr>
        <w:t>Neighbours</w:t>
      </w:r>
      <w:bookmarkEnd w:id="12"/>
    </w:p>
    <w:p w14:paraId="2652440C" w14:textId="5BC0E35D" w:rsidR="004D2E79" w:rsidRDefault="004D2E79" w:rsidP="0086404F">
      <w:pPr>
        <w:rPr>
          <w:rFonts w:ascii="Verdana" w:hAnsi="Verdana"/>
          <w:sz w:val="22"/>
          <w:szCs w:val="22"/>
        </w:rPr>
      </w:pPr>
      <w:r w:rsidRPr="00C83390">
        <w:rPr>
          <w:rFonts w:ascii="Verdana" w:hAnsi="Verdana"/>
          <w:sz w:val="22"/>
          <w:szCs w:val="22"/>
        </w:rPr>
        <w:t xml:space="preserve">To </w:t>
      </w:r>
      <w:r w:rsidR="00D835AC" w:rsidRPr="00C83390">
        <w:rPr>
          <w:rFonts w:ascii="Verdana" w:hAnsi="Verdana"/>
          <w:sz w:val="22"/>
          <w:szCs w:val="22"/>
        </w:rPr>
        <w:t>allow</w:t>
      </w:r>
      <w:r w:rsidRPr="00C83390">
        <w:rPr>
          <w:rFonts w:ascii="Verdana" w:hAnsi="Verdana"/>
          <w:sz w:val="22"/>
          <w:szCs w:val="22"/>
        </w:rPr>
        <w:t xml:space="preserve"> </w:t>
      </w:r>
      <w:r w:rsidR="00D835AC" w:rsidRPr="00C83390">
        <w:rPr>
          <w:rFonts w:ascii="Verdana" w:hAnsi="Verdana"/>
          <w:sz w:val="22"/>
          <w:szCs w:val="22"/>
        </w:rPr>
        <w:t xml:space="preserve">for </w:t>
      </w:r>
      <w:r w:rsidR="00A82ED3" w:rsidRPr="00C83390">
        <w:rPr>
          <w:rFonts w:ascii="Verdana" w:hAnsi="Verdana"/>
          <w:sz w:val="22"/>
          <w:szCs w:val="22"/>
        </w:rPr>
        <w:t xml:space="preserve">equitable </w:t>
      </w:r>
      <w:r w:rsidR="00F41E6F" w:rsidRPr="00C83390">
        <w:rPr>
          <w:rFonts w:ascii="Verdana" w:hAnsi="Verdana"/>
          <w:sz w:val="22"/>
          <w:szCs w:val="22"/>
        </w:rPr>
        <w:t>comparisons</w:t>
      </w:r>
      <w:r w:rsidR="00D835AC" w:rsidRPr="00C83390">
        <w:rPr>
          <w:rFonts w:ascii="Verdana" w:hAnsi="Verdana"/>
          <w:sz w:val="22"/>
          <w:szCs w:val="22"/>
        </w:rPr>
        <w:t>,</w:t>
      </w:r>
      <w:r w:rsidR="00555424" w:rsidRPr="00C83390">
        <w:rPr>
          <w:rFonts w:ascii="Verdana" w:hAnsi="Verdana"/>
          <w:sz w:val="22"/>
          <w:szCs w:val="22"/>
        </w:rPr>
        <w:t xml:space="preserve"> data from CIPFA was used to compare Kent to five of its closest economic neighbours</w:t>
      </w:r>
      <w:r w:rsidR="00D835AC" w:rsidRPr="00C83390">
        <w:rPr>
          <w:rFonts w:ascii="Verdana" w:hAnsi="Verdana"/>
          <w:sz w:val="22"/>
          <w:szCs w:val="22"/>
        </w:rPr>
        <w:t xml:space="preserve">. </w:t>
      </w:r>
      <w:r w:rsidR="002F1A86" w:rsidRPr="00C83390">
        <w:rPr>
          <w:rFonts w:ascii="Verdana" w:hAnsi="Verdana"/>
          <w:sz w:val="22"/>
          <w:szCs w:val="22"/>
        </w:rPr>
        <w:t xml:space="preserve">England </w:t>
      </w:r>
      <w:r w:rsidR="00D835AC" w:rsidRPr="00C83390">
        <w:rPr>
          <w:rFonts w:ascii="Verdana" w:hAnsi="Verdana"/>
          <w:sz w:val="22"/>
          <w:szCs w:val="22"/>
        </w:rPr>
        <w:t>was also included in this comparison</w:t>
      </w:r>
      <w:r w:rsidR="00780535" w:rsidRPr="00C83390">
        <w:rPr>
          <w:rFonts w:ascii="Verdana" w:hAnsi="Verdana"/>
          <w:sz w:val="22"/>
          <w:szCs w:val="22"/>
        </w:rPr>
        <w:t xml:space="preserve">. </w:t>
      </w:r>
      <w:r w:rsidR="00D835AC" w:rsidRPr="00C83390">
        <w:rPr>
          <w:rFonts w:ascii="Verdana" w:hAnsi="Verdana"/>
          <w:sz w:val="22"/>
          <w:szCs w:val="22"/>
        </w:rPr>
        <w:t>I</w:t>
      </w:r>
      <w:r w:rsidR="00780535" w:rsidRPr="00C83390">
        <w:rPr>
          <w:rFonts w:ascii="Verdana" w:hAnsi="Verdana"/>
          <w:sz w:val="22"/>
          <w:szCs w:val="22"/>
        </w:rPr>
        <w:t>n no</w:t>
      </w:r>
      <w:r w:rsidR="00D835AC" w:rsidRPr="00C83390">
        <w:rPr>
          <w:rFonts w:ascii="Verdana" w:hAnsi="Verdana"/>
          <w:sz w:val="22"/>
          <w:szCs w:val="22"/>
        </w:rPr>
        <w:t xml:space="preserve"> order, these neighbours were</w:t>
      </w:r>
      <w:r w:rsidR="00780535" w:rsidRPr="00C83390">
        <w:rPr>
          <w:rFonts w:ascii="Verdana" w:hAnsi="Verdana"/>
          <w:sz w:val="22"/>
          <w:szCs w:val="22"/>
        </w:rPr>
        <w:t xml:space="preserve"> Hampshire, East Sussex, Essex, </w:t>
      </w:r>
      <w:r w:rsidR="00D835AC" w:rsidRPr="00C83390">
        <w:rPr>
          <w:rFonts w:ascii="Verdana" w:hAnsi="Verdana"/>
          <w:sz w:val="22"/>
          <w:szCs w:val="22"/>
        </w:rPr>
        <w:t>Lancashire,</w:t>
      </w:r>
      <w:r w:rsidR="00780535" w:rsidRPr="00C83390">
        <w:rPr>
          <w:rFonts w:ascii="Verdana" w:hAnsi="Verdana"/>
          <w:sz w:val="22"/>
          <w:szCs w:val="22"/>
        </w:rPr>
        <w:t xml:space="preserve"> and West Sussex.</w:t>
      </w:r>
      <w:r w:rsidR="00D835AC" w:rsidRPr="00C83390">
        <w:rPr>
          <w:rFonts w:ascii="Verdana" w:hAnsi="Verdana"/>
          <w:sz w:val="22"/>
          <w:szCs w:val="22"/>
        </w:rPr>
        <w:t xml:space="preserve"> The results of this are shown in Figure </w:t>
      </w:r>
      <w:r w:rsidR="001767CD">
        <w:rPr>
          <w:rFonts w:ascii="Verdana" w:hAnsi="Verdana"/>
          <w:sz w:val="22"/>
          <w:szCs w:val="22"/>
        </w:rPr>
        <w:t>15</w:t>
      </w:r>
      <w:r w:rsidR="00D835AC" w:rsidRPr="00C83390">
        <w:rPr>
          <w:rFonts w:ascii="Verdana" w:hAnsi="Verdana"/>
          <w:sz w:val="22"/>
          <w:szCs w:val="22"/>
        </w:rPr>
        <w:t>.</w:t>
      </w:r>
    </w:p>
    <w:p w14:paraId="2F6CC1AF" w14:textId="4BF78045" w:rsidR="00BB654D" w:rsidRPr="00C83390" w:rsidRDefault="00BB654D" w:rsidP="00BB654D">
      <w:pPr>
        <w:spacing w:before="0" w:after="200"/>
        <w:rPr>
          <w:rFonts w:ascii="Verdana" w:hAnsi="Verdana"/>
          <w:sz w:val="22"/>
          <w:szCs w:val="22"/>
        </w:rPr>
      </w:pPr>
      <w:r w:rsidRPr="00812010">
        <w:rPr>
          <w:rFonts w:ascii="Verdana" w:hAnsi="Verdana"/>
          <w:sz w:val="22"/>
          <w:szCs w:val="22"/>
        </w:rPr>
        <w:t xml:space="preserve">Figure </w:t>
      </w:r>
      <w:r w:rsidR="001767CD">
        <w:rPr>
          <w:rFonts w:ascii="Verdana" w:hAnsi="Verdana"/>
          <w:sz w:val="22"/>
          <w:szCs w:val="22"/>
        </w:rPr>
        <w:t>15</w:t>
      </w:r>
      <w:r w:rsidRPr="00812010">
        <w:rPr>
          <w:rFonts w:ascii="Verdana" w:hAnsi="Verdana"/>
          <w:sz w:val="22"/>
          <w:szCs w:val="22"/>
        </w:rPr>
        <w:t xml:space="preserve"> shows each activity type to be relatively similar between counties, although once this is broken down to frequency level year by year, more variation can be seen. None of the listed counties display any major differences and generally follow the same trends but to differing extents. This detail is too extensive to explore in the present report, however. Kent ranks; 5</w:t>
      </w:r>
      <w:r>
        <w:rPr>
          <w:rFonts w:ascii="Verdana" w:hAnsi="Verdana"/>
          <w:sz w:val="22"/>
          <w:szCs w:val="22"/>
        </w:rPr>
        <w:t xml:space="preserve"> of </w:t>
      </w:r>
      <w:r w:rsidRPr="00812010">
        <w:rPr>
          <w:rFonts w:ascii="Verdana" w:hAnsi="Verdana"/>
          <w:sz w:val="22"/>
          <w:szCs w:val="22"/>
        </w:rPr>
        <w:t>6 in walking for leisure, 2</w:t>
      </w:r>
      <w:r>
        <w:rPr>
          <w:rFonts w:ascii="Verdana" w:hAnsi="Verdana"/>
          <w:sz w:val="22"/>
          <w:szCs w:val="22"/>
        </w:rPr>
        <w:t xml:space="preserve"> of </w:t>
      </w:r>
      <w:r w:rsidRPr="00812010">
        <w:rPr>
          <w:rFonts w:ascii="Verdana" w:hAnsi="Verdana"/>
          <w:sz w:val="22"/>
          <w:szCs w:val="22"/>
        </w:rPr>
        <w:t>6 in walking for travel, 3</w:t>
      </w:r>
      <w:r>
        <w:rPr>
          <w:rFonts w:ascii="Verdana" w:hAnsi="Verdana"/>
          <w:sz w:val="22"/>
          <w:szCs w:val="22"/>
        </w:rPr>
        <w:t xml:space="preserve"> of </w:t>
      </w:r>
      <w:r w:rsidRPr="00812010">
        <w:rPr>
          <w:rFonts w:ascii="Verdana" w:hAnsi="Verdana"/>
          <w:sz w:val="22"/>
          <w:szCs w:val="22"/>
        </w:rPr>
        <w:t>6 in cycling for leisure and 5</w:t>
      </w:r>
      <w:r>
        <w:rPr>
          <w:rFonts w:ascii="Verdana" w:hAnsi="Verdana"/>
          <w:sz w:val="22"/>
          <w:szCs w:val="22"/>
        </w:rPr>
        <w:t xml:space="preserve"> of </w:t>
      </w:r>
      <w:r w:rsidRPr="00812010">
        <w:rPr>
          <w:rFonts w:ascii="Verdana" w:hAnsi="Verdana"/>
          <w:sz w:val="22"/>
          <w:szCs w:val="22"/>
        </w:rPr>
        <w:t>6 in cycling for travel. West Sussex, Hampshire and East Sussex</w:t>
      </w:r>
      <w:r w:rsidR="00E033A3">
        <w:rPr>
          <w:rFonts w:ascii="Verdana" w:hAnsi="Verdana"/>
          <w:sz w:val="22"/>
          <w:szCs w:val="22"/>
        </w:rPr>
        <w:t xml:space="preserve"> had the highest average rates</w:t>
      </w:r>
      <w:r w:rsidRPr="00812010">
        <w:rPr>
          <w:rFonts w:ascii="Verdana" w:hAnsi="Verdana"/>
          <w:sz w:val="22"/>
          <w:szCs w:val="22"/>
        </w:rPr>
        <w:t xml:space="preserve">. Essex, Lancashire, and Kent </w:t>
      </w:r>
      <w:r w:rsidR="00E033A3">
        <w:rPr>
          <w:rFonts w:ascii="Verdana" w:hAnsi="Verdana"/>
          <w:sz w:val="22"/>
          <w:szCs w:val="22"/>
        </w:rPr>
        <w:t>ha</w:t>
      </w:r>
      <w:r w:rsidR="00E341B9">
        <w:rPr>
          <w:rFonts w:ascii="Verdana" w:hAnsi="Verdana"/>
          <w:sz w:val="22"/>
          <w:szCs w:val="22"/>
        </w:rPr>
        <w:t>d the</w:t>
      </w:r>
      <w:r w:rsidR="002B62E3">
        <w:rPr>
          <w:rFonts w:ascii="Verdana" w:hAnsi="Verdana"/>
          <w:sz w:val="22"/>
          <w:szCs w:val="22"/>
        </w:rPr>
        <w:t xml:space="preserve"> </w:t>
      </w:r>
      <w:r w:rsidR="00E341B9">
        <w:rPr>
          <w:rFonts w:ascii="Verdana" w:hAnsi="Verdana"/>
          <w:sz w:val="22"/>
          <w:szCs w:val="22"/>
        </w:rPr>
        <w:t>lowest average rates</w:t>
      </w:r>
      <w:r w:rsidRPr="00812010">
        <w:rPr>
          <w:rFonts w:ascii="Verdana" w:hAnsi="Verdana"/>
          <w:sz w:val="22"/>
          <w:szCs w:val="22"/>
        </w:rPr>
        <w:t>.</w:t>
      </w:r>
    </w:p>
    <w:p w14:paraId="08982765" w14:textId="44FC94FF" w:rsidR="00FA3B85" w:rsidRPr="00F47BCA" w:rsidRDefault="00780535" w:rsidP="00CE5181">
      <w:pPr>
        <w:spacing w:before="0" w:after="200" w:line="240" w:lineRule="auto"/>
        <w:rPr>
          <w:rFonts w:ascii="Verdana" w:hAnsi="Verdana"/>
          <w:b/>
          <w:bCs/>
        </w:rPr>
      </w:pPr>
      <w:r w:rsidRPr="00AE1E26">
        <w:rPr>
          <w:rFonts w:ascii="Verdana" w:hAnsi="Verdana"/>
          <w:b/>
          <w:bCs/>
          <w:sz w:val="22"/>
          <w:szCs w:val="22"/>
        </w:rPr>
        <w:t xml:space="preserve">Figure </w:t>
      </w:r>
      <w:r w:rsidR="001767CD">
        <w:rPr>
          <w:rFonts w:ascii="Verdana" w:hAnsi="Verdana"/>
          <w:b/>
          <w:bCs/>
          <w:sz w:val="22"/>
          <w:szCs w:val="22"/>
        </w:rPr>
        <w:t>15</w:t>
      </w:r>
      <w:r w:rsidRPr="00AE1E26">
        <w:rPr>
          <w:rFonts w:ascii="Verdana" w:hAnsi="Verdana"/>
          <w:b/>
          <w:bCs/>
          <w:sz w:val="22"/>
          <w:szCs w:val="22"/>
        </w:rPr>
        <w:t>.</w:t>
      </w:r>
      <w:r w:rsidR="009D0939" w:rsidRPr="00AE1E26">
        <w:rPr>
          <w:rFonts w:ascii="Verdana" w:hAnsi="Verdana"/>
          <w:b/>
          <w:bCs/>
          <w:sz w:val="22"/>
          <w:szCs w:val="22"/>
        </w:rPr>
        <w:t xml:space="preserve"> </w:t>
      </w:r>
      <w:r w:rsidR="00AA62E1" w:rsidRPr="00AE1E26">
        <w:rPr>
          <w:rFonts w:ascii="Verdana" w:hAnsi="Verdana"/>
          <w:b/>
          <w:bCs/>
          <w:sz w:val="22"/>
          <w:szCs w:val="22"/>
        </w:rPr>
        <w:t>Comparison</w:t>
      </w:r>
      <w:r w:rsidR="00C6644F" w:rsidRPr="00AE1E26">
        <w:rPr>
          <w:rFonts w:ascii="Verdana" w:hAnsi="Verdana"/>
          <w:b/>
          <w:bCs/>
          <w:sz w:val="22"/>
          <w:szCs w:val="22"/>
        </w:rPr>
        <w:t xml:space="preserve"> of </w:t>
      </w:r>
      <w:r w:rsidR="00AA62E1" w:rsidRPr="00AE1E26">
        <w:rPr>
          <w:rFonts w:ascii="Verdana" w:hAnsi="Verdana"/>
          <w:b/>
          <w:bCs/>
          <w:sz w:val="22"/>
          <w:szCs w:val="22"/>
        </w:rPr>
        <w:t xml:space="preserve">Kent with CIPFA neighbours by </w:t>
      </w:r>
      <w:r w:rsidR="00096D83">
        <w:rPr>
          <w:rFonts w:ascii="Verdana" w:hAnsi="Verdana"/>
          <w:b/>
          <w:bCs/>
          <w:sz w:val="22"/>
          <w:szCs w:val="22"/>
        </w:rPr>
        <w:t>A</w:t>
      </w:r>
      <w:r w:rsidR="00B912A6">
        <w:rPr>
          <w:rFonts w:ascii="Verdana" w:hAnsi="Verdana"/>
          <w:b/>
          <w:bCs/>
          <w:sz w:val="22"/>
          <w:szCs w:val="22"/>
        </w:rPr>
        <w:t xml:space="preserve">ctive </w:t>
      </w:r>
      <w:r w:rsidR="00096D83">
        <w:rPr>
          <w:rFonts w:ascii="Verdana" w:hAnsi="Verdana"/>
          <w:b/>
          <w:bCs/>
          <w:sz w:val="22"/>
          <w:szCs w:val="22"/>
        </w:rPr>
        <w:t>T</w:t>
      </w:r>
      <w:r w:rsidR="00B912A6">
        <w:rPr>
          <w:rFonts w:ascii="Verdana" w:hAnsi="Verdana"/>
          <w:b/>
          <w:bCs/>
          <w:sz w:val="22"/>
          <w:szCs w:val="22"/>
        </w:rPr>
        <w:t>ravel</w:t>
      </w:r>
      <w:r w:rsidR="00AA62E1" w:rsidRPr="00AE1E26">
        <w:rPr>
          <w:rFonts w:ascii="Verdana" w:hAnsi="Verdana"/>
          <w:b/>
          <w:bCs/>
          <w:sz w:val="22"/>
          <w:szCs w:val="22"/>
        </w:rPr>
        <w:t xml:space="preserve"> type </w:t>
      </w:r>
      <w:r w:rsidR="00B912A6">
        <w:rPr>
          <w:rFonts w:ascii="Verdana" w:hAnsi="Verdana"/>
          <w:b/>
          <w:bCs/>
          <w:sz w:val="22"/>
          <w:szCs w:val="22"/>
        </w:rPr>
        <w:t>and purpose</w:t>
      </w:r>
      <w:r w:rsidR="00677AEF">
        <w:rPr>
          <w:rFonts w:ascii="Verdana" w:hAnsi="Verdana"/>
          <w:b/>
          <w:bCs/>
          <w:sz w:val="22"/>
          <w:szCs w:val="22"/>
        </w:rPr>
        <w:t xml:space="preserve">, </w:t>
      </w:r>
      <w:r w:rsidR="00AA62E1" w:rsidRPr="00AE1E26">
        <w:rPr>
          <w:rFonts w:ascii="Verdana" w:hAnsi="Verdana"/>
          <w:b/>
          <w:bCs/>
          <w:sz w:val="22"/>
          <w:szCs w:val="22"/>
        </w:rPr>
        <w:t>2016 to 2021</w:t>
      </w:r>
      <w:r w:rsidR="006532EB">
        <w:rPr>
          <w:rFonts w:ascii="Verdana" w:hAnsi="Verdana"/>
          <w:b/>
          <w:bCs/>
          <w:sz w:val="22"/>
          <w:szCs w:val="22"/>
        </w:rPr>
        <w:t>.</w:t>
      </w:r>
      <w:r w:rsidR="00627164">
        <w:rPr>
          <w:noProof/>
          <w:sz w:val="22"/>
          <w:szCs w:val="22"/>
        </w:rPr>
        <w:drawing>
          <wp:inline distT="0" distB="0" distL="0" distR="0" wp14:anchorId="1C6927CB" wp14:editId="1842D3C0">
            <wp:extent cx="5720316" cy="5002441"/>
            <wp:effectExtent l="0" t="0" r="0" b="8255"/>
            <wp:docPr id="1617358224" name="Picture 21" descr="This figure is a stacked bar chart showing the average proportion of adults who cycle for travel, cycle for leisure, walk for travel and walk for leisure for Kent. This is presented with the same data for England overall, as well as five of Kent's closest CIPFA neighbours; Hampshire, East Sussex, Essex, Lancashire and West Sussex. Overall trends are described in the main text above. Proportions vary between geographies and travel types, ranging between 3% and 45%. Cycling for travel is the least popular, followed by cycling for leisure, walking for travel and walking for leisure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58224" name="Picture 21" descr="This figure is a stacked bar chart showing the average proportion of adults who cycle for travel, cycle for leisure, walk for travel and walk for leisure for Kent. This is presented with the same data for England overall, as well as five of Kent's closest CIPFA neighbours; Hampshire, East Sussex, Essex, Lancashire and West Sussex. Overall trends are described in the main text above. Proportions vary between geographies and travel types, ranging between 3% and 45%. Cycling for travel is the least popular, followed by cycling for leisure, walking for travel and walking for leisure respectively.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487" cy="5006088"/>
                    </a:xfrm>
                    <a:prstGeom prst="rect">
                      <a:avLst/>
                    </a:prstGeom>
                    <a:noFill/>
                  </pic:spPr>
                </pic:pic>
              </a:graphicData>
            </a:graphic>
          </wp:inline>
        </w:drawing>
      </w:r>
    </w:p>
    <w:p w14:paraId="0C464149" w14:textId="29062F59" w:rsidR="00267D0A" w:rsidRPr="00462048" w:rsidRDefault="00211ED8" w:rsidP="00D76E32">
      <w:pPr>
        <w:pStyle w:val="Heading2"/>
        <w:rPr>
          <w:rFonts w:ascii="Verdana" w:hAnsi="Verdana"/>
          <w:sz w:val="36"/>
          <w:szCs w:val="36"/>
        </w:rPr>
      </w:pPr>
      <w:bookmarkStart w:id="13" w:name="_Toc139375902"/>
      <w:r>
        <w:rPr>
          <w:rFonts w:ascii="Verdana" w:hAnsi="Verdana"/>
          <w:sz w:val="36"/>
          <w:szCs w:val="36"/>
        </w:rPr>
        <w:lastRenderedPageBreak/>
        <w:t>5</w:t>
      </w:r>
      <w:r w:rsidR="00B30941" w:rsidRPr="00462048">
        <w:rPr>
          <w:rFonts w:ascii="Verdana" w:hAnsi="Verdana"/>
          <w:sz w:val="36"/>
          <w:szCs w:val="36"/>
        </w:rPr>
        <w:t xml:space="preserve">. </w:t>
      </w:r>
      <w:r w:rsidR="00AC7896">
        <w:rPr>
          <w:rFonts w:ascii="Verdana" w:hAnsi="Verdana"/>
          <w:sz w:val="36"/>
          <w:szCs w:val="36"/>
        </w:rPr>
        <w:t>Discussion and c</w:t>
      </w:r>
      <w:r w:rsidR="00267D0A" w:rsidRPr="00462048">
        <w:rPr>
          <w:rFonts w:ascii="Verdana" w:hAnsi="Verdana"/>
          <w:sz w:val="36"/>
          <w:szCs w:val="36"/>
        </w:rPr>
        <w:t>onclusion</w:t>
      </w:r>
      <w:bookmarkEnd w:id="13"/>
    </w:p>
    <w:p w14:paraId="6B1E7300" w14:textId="0861654E" w:rsidR="00CD5A8E" w:rsidRPr="0047133E" w:rsidRDefault="00B30941" w:rsidP="00B51060">
      <w:pPr>
        <w:rPr>
          <w:rFonts w:ascii="Verdana" w:hAnsi="Verdana"/>
          <w:sz w:val="22"/>
          <w:szCs w:val="22"/>
        </w:rPr>
      </w:pPr>
      <w:r w:rsidRPr="00EA55A4">
        <w:rPr>
          <w:rFonts w:ascii="Verdana" w:hAnsi="Verdana"/>
          <w:sz w:val="22"/>
          <w:szCs w:val="22"/>
        </w:rPr>
        <w:t xml:space="preserve">This report provides a descriptive summary of </w:t>
      </w:r>
      <w:r w:rsidR="00116FFB" w:rsidRPr="00EA55A4">
        <w:rPr>
          <w:rFonts w:ascii="Verdana" w:hAnsi="Verdana"/>
          <w:sz w:val="22"/>
          <w:szCs w:val="22"/>
        </w:rPr>
        <w:t xml:space="preserve">two key modes of Active Travel in Kent and </w:t>
      </w:r>
      <w:r w:rsidR="00AC2DB5" w:rsidRPr="00EA55A4">
        <w:rPr>
          <w:rFonts w:ascii="Verdana" w:hAnsi="Verdana"/>
          <w:sz w:val="22"/>
          <w:szCs w:val="22"/>
        </w:rPr>
        <w:t>its</w:t>
      </w:r>
      <w:r w:rsidR="00116FFB" w:rsidRPr="00EA55A4">
        <w:rPr>
          <w:rFonts w:ascii="Verdana" w:hAnsi="Verdana"/>
          <w:sz w:val="22"/>
          <w:szCs w:val="22"/>
        </w:rPr>
        <w:t xml:space="preserve"> districts</w:t>
      </w:r>
      <w:r w:rsidR="00B057C3" w:rsidRPr="00EA55A4">
        <w:rPr>
          <w:rFonts w:ascii="Verdana" w:hAnsi="Verdana"/>
          <w:sz w:val="22"/>
          <w:szCs w:val="22"/>
        </w:rPr>
        <w:t xml:space="preserve">. </w:t>
      </w:r>
      <w:r w:rsidR="00B14B9F" w:rsidRPr="0047133E">
        <w:rPr>
          <w:rFonts w:ascii="Verdana" w:hAnsi="Verdana"/>
          <w:sz w:val="22"/>
          <w:szCs w:val="22"/>
        </w:rPr>
        <w:t>Most importantly, this report found that p</w:t>
      </w:r>
      <w:r w:rsidR="00CD5A8E" w:rsidRPr="0047133E">
        <w:rPr>
          <w:rFonts w:ascii="Verdana" w:hAnsi="Verdana"/>
          <w:sz w:val="22"/>
          <w:szCs w:val="22"/>
        </w:rPr>
        <w:t>eople are walking and cycling less for the purpose of travel (this includes commuting for work). Walking for leisure has increased steadily over recent years. Cycling for leisure increased up until 2020 but decreased in 2021, the most recent year.</w:t>
      </w:r>
      <w:r w:rsidR="00DE45A2" w:rsidRPr="0047133E">
        <w:rPr>
          <w:rFonts w:ascii="Verdana" w:hAnsi="Verdana"/>
          <w:sz w:val="22"/>
          <w:szCs w:val="22"/>
        </w:rPr>
        <w:t xml:space="preserve"> Cycling is overall much less popular than walking in Kent, as it also is across the rest of England.</w:t>
      </w:r>
    </w:p>
    <w:p w14:paraId="6E87E6FE" w14:textId="5E31B24B" w:rsidR="0033721E" w:rsidRPr="0047133E" w:rsidRDefault="000F0494" w:rsidP="00B51060">
      <w:pPr>
        <w:rPr>
          <w:rFonts w:ascii="Verdana" w:hAnsi="Verdana"/>
          <w:sz w:val="22"/>
          <w:szCs w:val="22"/>
        </w:rPr>
      </w:pPr>
      <w:r w:rsidRPr="0047133E">
        <w:rPr>
          <w:rFonts w:ascii="Verdana" w:hAnsi="Verdana"/>
          <w:sz w:val="22"/>
          <w:szCs w:val="22"/>
        </w:rPr>
        <w:t xml:space="preserve">Covid-19 </w:t>
      </w:r>
      <w:r w:rsidR="00FC374E" w:rsidRPr="0047133E">
        <w:rPr>
          <w:rFonts w:ascii="Verdana" w:hAnsi="Verdana"/>
          <w:sz w:val="22"/>
          <w:szCs w:val="22"/>
        </w:rPr>
        <w:t>had</w:t>
      </w:r>
      <w:r w:rsidR="0042206E" w:rsidRPr="0047133E">
        <w:rPr>
          <w:rFonts w:ascii="Verdana" w:hAnsi="Verdana"/>
          <w:sz w:val="22"/>
          <w:szCs w:val="22"/>
        </w:rPr>
        <w:t xml:space="preserve"> notable </w:t>
      </w:r>
      <w:r w:rsidR="00FC374E" w:rsidRPr="0047133E">
        <w:rPr>
          <w:rFonts w:ascii="Verdana" w:hAnsi="Verdana"/>
          <w:sz w:val="22"/>
          <w:szCs w:val="22"/>
        </w:rPr>
        <w:t xml:space="preserve">different </w:t>
      </w:r>
      <w:r w:rsidR="0042206E" w:rsidRPr="0047133E">
        <w:rPr>
          <w:rFonts w:ascii="Verdana" w:hAnsi="Verdana"/>
          <w:sz w:val="22"/>
          <w:szCs w:val="22"/>
        </w:rPr>
        <w:t>e</w:t>
      </w:r>
      <w:r w:rsidR="00FC374E" w:rsidRPr="0047133E">
        <w:rPr>
          <w:rFonts w:ascii="Verdana" w:hAnsi="Verdana"/>
          <w:sz w:val="22"/>
          <w:szCs w:val="22"/>
        </w:rPr>
        <w:t>ffects on each form of</w:t>
      </w:r>
      <w:r w:rsidR="00A401A0" w:rsidRPr="0047133E">
        <w:rPr>
          <w:rFonts w:ascii="Verdana" w:hAnsi="Verdana"/>
          <w:sz w:val="22"/>
          <w:szCs w:val="22"/>
        </w:rPr>
        <w:t xml:space="preserve"> Active Travel</w:t>
      </w:r>
      <w:r w:rsidR="00FC374E" w:rsidRPr="0047133E">
        <w:rPr>
          <w:rFonts w:ascii="Verdana" w:hAnsi="Verdana"/>
          <w:sz w:val="22"/>
          <w:szCs w:val="22"/>
        </w:rPr>
        <w:t xml:space="preserve">. </w:t>
      </w:r>
      <w:r w:rsidR="00E67803" w:rsidRPr="0047133E">
        <w:rPr>
          <w:rFonts w:ascii="Verdana" w:hAnsi="Verdana"/>
          <w:sz w:val="22"/>
          <w:szCs w:val="22"/>
        </w:rPr>
        <w:t>Rates of w</w:t>
      </w:r>
      <w:r w:rsidR="0033721E" w:rsidRPr="0047133E">
        <w:rPr>
          <w:rFonts w:ascii="Verdana" w:hAnsi="Verdana"/>
          <w:sz w:val="22"/>
          <w:szCs w:val="22"/>
        </w:rPr>
        <w:t>alking for leisure increased slightly post-</w:t>
      </w:r>
      <w:r w:rsidR="00F27259" w:rsidRPr="0047133E">
        <w:rPr>
          <w:rFonts w:ascii="Verdana" w:hAnsi="Verdana"/>
          <w:sz w:val="22"/>
          <w:szCs w:val="22"/>
        </w:rPr>
        <w:t>C</w:t>
      </w:r>
      <w:r w:rsidR="0033721E" w:rsidRPr="0047133E">
        <w:rPr>
          <w:rFonts w:ascii="Verdana" w:hAnsi="Verdana"/>
          <w:sz w:val="22"/>
          <w:szCs w:val="22"/>
        </w:rPr>
        <w:t xml:space="preserve">ovid, whereas </w:t>
      </w:r>
      <w:r w:rsidR="00E67803" w:rsidRPr="0047133E">
        <w:rPr>
          <w:rFonts w:ascii="Verdana" w:hAnsi="Verdana"/>
          <w:sz w:val="22"/>
          <w:szCs w:val="22"/>
        </w:rPr>
        <w:t>they</w:t>
      </w:r>
      <w:r w:rsidR="0033721E" w:rsidRPr="0047133E">
        <w:rPr>
          <w:rFonts w:ascii="Verdana" w:hAnsi="Verdana"/>
          <w:sz w:val="22"/>
          <w:szCs w:val="22"/>
        </w:rPr>
        <w:t xml:space="preserve"> decreased </w:t>
      </w:r>
      <w:r w:rsidR="00E67803" w:rsidRPr="0047133E">
        <w:rPr>
          <w:rFonts w:ascii="Verdana" w:hAnsi="Verdana"/>
          <w:sz w:val="22"/>
          <w:szCs w:val="22"/>
        </w:rPr>
        <w:t xml:space="preserve">in walking for </w:t>
      </w:r>
      <w:r w:rsidR="0033721E" w:rsidRPr="0047133E">
        <w:rPr>
          <w:rFonts w:ascii="Verdana" w:hAnsi="Verdana"/>
          <w:sz w:val="22"/>
          <w:szCs w:val="22"/>
        </w:rPr>
        <w:t xml:space="preserve">travel. This is not dissimilar </w:t>
      </w:r>
      <w:r w:rsidR="008B3200" w:rsidRPr="0047133E">
        <w:rPr>
          <w:rFonts w:ascii="Verdana" w:hAnsi="Verdana"/>
          <w:sz w:val="22"/>
          <w:szCs w:val="22"/>
        </w:rPr>
        <w:t>to</w:t>
      </w:r>
      <w:r w:rsidR="0033721E" w:rsidRPr="0047133E">
        <w:rPr>
          <w:rFonts w:ascii="Verdana" w:hAnsi="Verdana"/>
          <w:sz w:val="22"/>
          <w:szCs w:val="22"/>
        </w:rPr>
        <w:t xml:space="preserve"> trends displayed </w:t>
      </w:r>
      <w:r w:rsidR="006A0D75" w:rsidRPr="0047133E">
        <w:rPr>
          <w:rFonts w:ascii="Verdana" w:hAnsi="Verdana"/>
          <w:sz w:val="22"/>
          <w:szCs w:val="22"/>
        </w:rPr>
        <w:t>before</w:t>
      </w:r>
      <w:r w:rsidR="0033721E" w:rsidRPr="0047133E">
        <w:rPr>
          <w:rFonts w:ascii="Verdana" w:hAnsi="Verdana"/>
          <w:sz w:val="22"/>
          <w:szCs w:val="22"/>
        </w:rPr>
        <w:t xml:space="preserve"> 2020, although </w:t>
      </w:r>
      <w:r w:rsidR="00E67803" w:rsidRPr="0047133E">
        <w:rPr>
          <w:rFonts w:ascii="Verdana" w:hAnsi="Verdana"/>
          <w:sz w:val="22"/>
          <w:szCs w:val="22"/>
        </w:rPr>
        <w:t xml:space="preserve">seemingly </w:t>
      </w:r>
      <w:r w:rsidR="00B864AA" w:rsidRPr="0047133E">
        <w:rPr>
          <w:rFonts w:ascii="Verdana" w:hAnsi="Verdana"/>
          <w:sz w:val="22"/>
          <w:szCs w:val="22"/>
        </w:rPr>
        <w:t>accelerated</w:t>
      </w:r>
      <w:r w:rsidR="0033721E" w:rsidRPr="0047133E">
        <w:rPr>
          <w:rFonts w:ascii="Verdana" w:hAnsi="Verdana"/>
          <w:sz w:val="22"/>
          <w:szCs w:val="22"/>
        </w:rPr>
        <w:t>.</w:t>
      </w:r>
      <w:r w:rsidR="00BC459A" w:rsidRPr="0047133E">
        <w:rPr>
          <w:rFonts w:ascii="Verdana" w:hAnsi="Verdana"/>
          <w:sz w:val="22"/>
          <w:szCs w:val="22"/>
        </w:rPr>
        <w:t xml:space="preserve"> Cycling </w:t>
      </w:r>
      <w:r w:rsidR="004E7059" w:rsidRPr="0047133E">
        <w:rPr>
          <w:rFonts w:ascii="Verdana" w:hAnsi="Verdana"/>
          <w:sz w:val="22"/>
          <w:szCs w:val="22"/>
        </w:rPr>
        <w:t>for leisure</w:t>
      </w:r>
      <w:r w:rsidR="00E67803" w:rsidRPr="0047133E">
        <w:rPr>
          <w:rFonts w:ascii="Verdana" w:hAnsi="Verdana"/>
          <w:sz w:val="22"/>
          <w:szCs w:val="22"/>
        </w:rPr>
        <w:t xml:space="preserve"> </w:t>
      </w:r>
      <w:r w:rsidR="00BC459A" w:rsidRPr="0047133E">
        <w:rPr>
          <w:rFonts w:ascii="Verdana" w:hAnsi="Verdana"/>
          <w:sz w:val="22"/>
          <w:szCs w:val="22"/>
        </w:rPr>
        <w:t xml:space="preserve">saw a </w:t>
      </w:r>
      <w:r w:rsidR="00E11520" w:rsidRPr="0047133E">
        <w:rPr>
          <w:rFonts w:ascii="Verdana" w:hAnsi="Verdana"/>
          <w:sz w:val="22"/>
          <w:szCs w:val="22"/>
        </w:rPr>
        <w:t>sharp increase from 2019</w:t>
      </w:r>
      <w:r w:rsidR="0076395A" w:rsidRPr="0047133E">
        <w:rPr>
          <w:rFonts w:ascii="Verdana" w:hAnsi="Verdana"/>
          <w:sz w:val="22"/>
          <w:szCs w:val="22"/>
        </w:rPr>
        <w:t xml:space="preserve"> to 20</w:t>
      </w:r>
      <w:r w:rsidR="00E11520" w:rsidRPr="0047133E">
        <w:rPr>
          <w:rFonts w:ascii="Verdana" w:hAnsi="Verdana"/>
          <w:sz w:val="22"/>
          <w:szCs w:val="22"/>
        </w:rPr>
        <w:t xml:space="preserve">20 followed by a considerable decrease in the next year. </w:t>
      </w:r>
      <w:r w:rsidR="00555317" w:rsidRPr="0047133E">
        <w:rPr>
          <w:rFonts w:ascii="Verdana" w:hAnsi="Verdana"/>
          <w:sz w:val="22"/>
          <w:szCs w:val="22"/>
        </w:rPr>
        <w:t>Cycling for travel saw a more modest decline</w:t>
      </w:r>
      <w:r w:rsidR="008D4169" w:rsidRPr="0047133E">
        <w:rPr>
          <w:rFonts w:ascii="Verdana" w:hAnsi="Verdana"/>
          <w:sz w:val="22"/>
          <w:szCs w:val="22"/>
        </w:rPr>
        <w:t xml:space="preserve"> post-Covid</w:t>
      </w:r>
      <w:r w:rsidR="00555317" w:rsidRPr="0047133E">
        <w:rPr>
          <w:rFonts w:ascii="Verdana" w:hAnsi="Verdana"/>
          <w:sz w:val="22"/>
          <w:szCs w:val="22"/>
        </w:rPr>
        <w:t>.</w:t>
      </w:r>
    </w:p>
    <w:p w14:paraId="444E7B7F" w14:textId="309CBEF6" w:rsidR="00293F3E" w:rsidRPr="0047133E" w:rsidRDefault="003F0BEC" w:rsidP="00B51060">
      <w:pPr>
        <w:rPr>
          <w:rFonts w:ascii="Verdana" w:hAnsi="Verdana"/>
          <w:sz w:val="22"/>
          <w:szCs w:val="22"/>
        </w:rPr>
      </w:pPr>
      <w:r w:rsidRPr="0047133E">
        <w:rPr>
          <w:rFonts w:ascii="Verdana" w:hAnsi="Verdana"/>
          <w:sz w:val="22"/>
          <w:szCs w:val="22"/>
        </w:rPr>
        <w:t>Across England i</w:t>
      </w:r>
      <w:r w:rsidR="008320C4" w:rsidRPr="0047133E">
        <w:rPr>
          <w:rFonts w:ascii="Verdana" w:hAnsi="Verdana"/>
          <w:sz w:val="22"/>
          <w:szCs w:val="22"/>
        </w:rPr>
        <w:t>n 2020, decreases in all modes of transport</w:t>
      </w:r>
      <w:r w:rsidR="008320C4" w:rsidRPr="008320C4">
        <w:rPr>
          <w:rFonts w:ascii="Verdana" w:hAnsi="Verdana"/>
          <w:sz w:val="22"/>
          <w:szCs w:val="22"/>
        </w:rPr>
        <w:t xml:space="preserve"> were observed due to the impact of Covid-19, apart from cycling and walks over a mile</w:t>
      </w:r>
      <w:r w:rsidR="008320C4" w:rsidRPr="008320C4">
        <w:rPr>
          <w:rFonts w:ascii="Verdana" w:hAnsi="Verdana"/>
          <w:sz w:val="22"/>
          <w:szCs w:val="22"/>
          <w:vertAlign w:val="superscript"/>
        </w:rPr>
        <w:t>6</w:t>
      </w:r>
      <w:r w:rsidR="008320C4" w:rsidRPr="008320C4">
        <w:rPr>
          <w:rFonts w:ascii="Verdana" w:hAnsi="Verdana"/>
          <w:sz w:val="22"/>
          <w:szCs w:val="22"/>
        </w:rPr>
        <w:t xml:space="preserve">. This could be due to guidance </w:t>
      </w:r>
      <w:r w:rsidR="008320C4" w:rsidRPr="0047133E">
        <w:rPr>
          <w:rFonts w:ascii="Verdana" w:hAnsi="Verdana"/>
          <w:sz w:val="22"/>
          <w:szCs w:val="22"/>
        </w:rPr>
        <w:t xml:space="preserve">published by the Department of Transport in late 2020, </w:t>
      </w:r>
      <w:r w:rsidR="00247B18" w:rsidRPr="0047133E">
        <w:rPr>
          <w:rFonts w:ascii="Verdana" w:hAnsi="Verdana"/>
          <w:sz w:val="22"/>
          <w:szCs w:val="22"/>
        </w:rPr>
        <w:t xml:space="preserve">which </w:t>
      </w:r>
      <w:r w:rsidR="008320C4" w:rsidRPr="0047133E">
        <w:rPr>
          <w:rFonts w:ascii="Verdana" w:hAnsi="Verdana"/>
          <w:sz w:val="22"/>
          <w:szCs w:val="22"/>
        </w:rPr>
        <w:t>stat</w:t>
      </w:r>
      <w:r w:rsidR="00247B18" w:rsidRPr="0047133E">
        <w:rPr>
          <w:rFonts w:ascii="Verdana" w:hAnsi="Verdana"/>
          <w:sz w:val="22"/>
          <w:szCs w:val="22"/>
        </w:rPr>
        <w:t xml:space="preserve">ed </w:t>
      </w:r>
      <w:r w:rsidR="008320C4" w:rsidRPr="0047133E">
        <w:rPr>
          <w:rFonts w:ascii="Verdana" w:hAnsi="Verdana"/>
          <w:sz w:val="22"/>
          <w:szCs w:val="22"/>
        </w:rPr>
        <w:t>that people should try to walk or cycle where possible when they needed to travel</w:t>
      </w:r>
      <w:r w:rsidR="008320C4" w:rsidRPr="0047133E">
        <w:rPr>
          <w:rFonts w:ascii="Verdana" w:hAnsi="Verdana"/>
          <w:sz w:val="22"/>
          <w:szCs w:val="22"/>
          <w:vertAlign w:val="superscript"/>
        </w:rPr>
        <w:t>7</w:t>
      </w:r>
      <w:r w:rsidR="008320C4" w:rsidRPr="0047133E">
        <w:rPr>
          <w:rFonts w:ascii="Verdana" w:hAnsi="Verdana"/>
          <w:sz w:val="22"/>
          <w:szCs w:val="22"/>
        </w:rPr>
        <w:t>. This is in addition to exercise such as walking and cycling for leisure being permitted throughout 2020. The lack of alternative activities likely led many people in</w:t>
      </w:r>
      <w:r w:rsidR="00247B18" w:rsidRPr="0047133E">
        <w:rPr>
          <w:rFonts w:ascii="Verdana" w:hAnsi="Verdana"/>
          <w:sz w:val="22"/>
          <w:szCs w:val="22"/>
        </w:rPr>
        <w:t>to</w:t>
      </w:r>
      <w:r w:rsidR="008320C4" w:rsidRPr="0047133E">
        <w:rPr>
          <w:rFonts w:ascii="Verdana" w:hAnsi="Verdana"/>
          <w:sz w:val="22"/>
          <w:szCs w:val="22"/>
        </w:rPr>
        <w:t xml:space="preserve"> leading more active lives.</w:t>
      </w:r>
    </w:p>
    <w:p w14:paraId="286C27D2" w14:textId="73FADD6F" w:rsidR="00C73786" w:rsidRPr="0047133E" w:rsidRDefault="008320C4" w:rsidP="00B51060">
      <w:pPr>
        <w:rPr>
          <w:rFonts w:ascii="Verdana" w:hAnsi="Verdana"/>
          <w:sz w:val="22"/>
          <w:szCs w:val="22"/>
        </w:rPr>
      </w:pPr>
      <w:r w:rsidRPr="0047133E">
        <w:rPr>
          <w:rFonts w:ascii="Verdana" w:hAnsi="Verdana"/>
          <w:sz w:val="22"/>
          <w:szCs w:val="22"/>
        </w:rPr>
        <w:t xml:space="preserve">From the 2021 data, it seems that </w:t>
      </w:r>
      <w:r w:rsidR="00AF6118" w:rsidRPr="0047133E">
        <w:rPr>
          <w:rFonts w:ascii="Verdana" w:hAnsi="Verdana"/>
          <w:sz w:val="22"/>
          <w:szCs w:val="22"/>
        </w:rPr>
        <w:t>A</w:t>
      </w:r>
      <w:r w:rsidRPr="0047133E">
        <w:rPr>
          <w:rFonts w:ascii="Verdana" w:hAnsi="Verdana"/>
          <w:sz w:val="22"/>
          <w:szCs w:val="22"/>
        </w:rPr>
        <w:t xml:space="preserve">ctive </w:t>
      </w:r>
      <w:r w:rsidR="00AF6118" w:rsidRPr="0047133E">
        <w:rPr>
          <w:rFonts w:ascii="Verdana" w:hAnsi="Verdana"/>
          <w:sz w:val="22"/>
          <w:szCs w:val="22"/>
        </w:rPr>
        <w:t>T</w:t>
      </w:r>
      <w:r w:rsidRPr="0047133E">
        <w:rPr>
          <w:rFonts w:ascii="Verdana" w:hAnsi="Verdana"/>
          <w:sz w:val="22"/>
          <w:szCs w:val="22"/>
        </w:rPr>
        <w:t xml:space="preserve">ravel rates are not yet returning to pre-pandemic levels. </w:t>
      </w:r>
      <w:r w:rsidR="00121ABB" w:rsidRPr="0047133E">
        <w:rPr>
          <w:rFonts w:ascii="Verdana" w:hAnsi="Verdana"/>
          <w:sz w:val="22"/>
          <w:szCs w:val="22"/>
        </w:rPr>
        <w:t xml:space="preserve">The continued decline in Active </w:t>
      </w:r>
      <w:r w:rsidR="00380D17" w:rsidRPr="0047133E">
        <w:rPr>
          <w:rFonts w:ascii="Verdana" w:hAnsi="Verdana"/>
          <w:sz w:val="22"/>
          <w:szCs w:val="22"/>
        </w:rPr>
        <w:t>T</w:t>
      </w:r>
      <w:r w:rsidR="00121ABB" w:rsidRPr="0047133E">
        <w:rPr>
          <w:rFonts w:ascii="Verdana" w:hAnsi="Verdana"/>
          <w:sz w:val="22"/>
          <w:szCs w:val="22"/>
        </w:rPr>
        <w:t xml:space="preserve">ravel for the purpose of travel may be explained by the large and sustained increase in homeworking post-Covid. A report from the </w:t>
      </w:r>
      <w:r w:rsidR="002D6A23" w:rsidRPr="0047133E">
        <w:rPr>
          <w:rFonts w:ascii="Verdana" w:hAnsi="Verdana"/>
          <w:sz w:val="22"/>
          <w:szCs w:val="22"/>
        </w:rPr>
        <w:t>Office</w:t>
      </w:r>
      <w:r w:rsidR="00121ABB" w:rsidRPr="0047133E">
        <w:rPr>
          <w:rFonts w:ascii="Verdana" w:hAnsi="Verdana"/>
          <w:sz w:val="22"/>
          <w:szCs w:val="22"/>
        </w:rPr>
        <w:t xml:space="preserve"> for National </w:t>
      </w:r>
      <w:r w:rsidR="002D6A23" w:rsidRPr="0047133E">
        <w:rPr>
          <w:rFonts w:ascii="Verdana" w:hAnsi="Verdana"/>
          <w:sz w:val="22"/>
          <w:szCs w:val="22"/>
        </w:rPr>
        <w:t>Statistics</w:t>
      </w:r>
      <w:r w:rsidR="00121ABB" w:rsidRPr="0047133E">
        <w:rPr>
          <w:rFonts w:ascii="Verdana" w:hAnsi="Verdana"/>
          <w:sz w:val="22"/>
          <w:szCs w:val="22"/>
        </w:rPr>
        <w:t xml:space="preserve"> (ONS)</w:t>
      </w:r>
      <w:r w:rsidR="002D6A23" w:rsidRPr="0047133E">
        <w:rPr>
          <w:rFonts w:ascii="Verdana" w:hAnsi="Verdana"/>
          <w:sz w:val="22"/>
          <w:szCs w:val="22"/>
        </w:rPr>
        <w:t xml:space="preserve"> </w:t>
      </w:r>
      <w:r w:rsidR="00121ABB" w:rsidRPr="0047133E">
        <w:rPr>
          <w:rFonts w:ascii="Verdana" w:hAnsi="Verdana"/>
          <w:sz w:val="22"/>
          <w:szCs w:val="22"/>
        </w:rPr>
        <w:t>sh</w:t>
      </w:r>
      <w:r w:rsidR="00A43307" w:rsidRPr="0047133E">
        <w:rPr>
          <w:rFonts w:ascii="Verdana" w:hAnsi="Verdana"/>
          <w:sz w:val="22"/>
          <w:szCs w:val="22"/>
        </w:rPr>
        <w:t>owed</w:t>
      </w:r>
      <w:r w:rsidR="00121ABB" w:rsidRPr="0047133E">
        <w:rPr>
          <w:rFonts w:ascii="Verdana" w:hAnsi="Verdana"/>
          <w:sz w:val="22"/>
          <w:szCs w:val="22"/>
        </w:rPr>
        <w:t xml:space="preserve"> that homeworking in the UK more than doubled between 2019 and 2022</w:t>
      </w:r>
      <w:r w:rsidR="009F7F39" w:rsidRPr="0047133E">
        <w:rPr>
          <w:rFonts w:ascii="Verdana" w:hAnsi="Verdana"/>
          <w:sz w:val="22"/>
          <w:szCs w:val="22"/>
          <w:vertAlign w:val="superscript"/>
        </w:rPr>
        <w:t>8</w:t>
      </w:r>
      <w:r w:rsidR="00121ABB" w:rsidRPr="0047133E">
        <w:rPr>
          <w:rFonts w:ascii="Verdana" w:hAnsi="Verdana"/>
          <w:sz w:val="22"/>
          <w:szCs w:val="22"/>
        </w:rPr>
        <w:t>.</w:t>
      </w:r>
      <w:r w:rsidR="006510CF" w:rsidRPr="0047133E">
        <w:rPr>
          <w:rFonts w:ascii="Verdana" w:hAnsi="Verdana"/>
          <w:sz w:val="22"/>
          <w:szCs w:val="22"/>
        </w:rPr>
        <w:t xml:space="preserve"> </w:t>
      </w:r>
      <w:r w:rsidRPr="0047133E">
        <w:rPr>
          <w:rFonts w:ascii="Verdana" w:hAnsi="Verdana"/>
          <w:sz w:val="22"/>
          <w:szCs w:val="22"/>
        </w:rPr>
        <w:t xml:space="preserve">As </w:t>
      </w:r>
      <w:r w:rsidR="00CA75F0" w:rsidRPr="0047133E">
        <w:rPr>
          <w:rFonts w:ascii="Verdana" w:hAnsi="Verdana"/>
          <w:sz w:val="22"/>
          <w:szCs w:val="22"/>
        </w:rPr>
        <w:t xml:space="preserve">Active Travel </w:t>
      </w:r>
      <w:r w:rsidRPr="0047133E">
        <w:rPr>
          <w:rFonts w:ascii="Verdana" w:hAnsi="Verdana"/>
          <w:sz w:val="22"/>
          <w:szCs w:val="22"/>
        </w:rPr>
        <w:t>data past 2021 has not yet been published, it is unclear how this trend has continued or if rates have now stabilised.</w:t>
      </w:r>
    </w:p>
    <w:p w14:paraId="74E5AC9E" w14:textId="3F746C47" w:rsidR="009603DA" w:rsidRDefault="00B22172" w:rsidP="00B51060">
      <w:pPr>
        <w:rPr>
          <w:rFonts w:ascii="Verdana" w:hAnsi="Verdana"/>
          <w:sz w:val="22"/>
          <w:szCs w:val="22"/>
        </w:rPr>
      </w:pPr>
      <w:r w:rsidRPr="0047133E">
        <w:rPr>
          <w:rFonts w:ascii="Verdana" w:hAnsi="Verdana"/>
          <w:sz w:val="22"/>
          <w:szCs w:val="22"/>
        </w:rPr>
        <w:t>Although previous reports have suggested that</w:t>
      </w:r>
      <w:r>
        <w:rPr>
          <w:rFonts w:ascii="Verdana" w:hAnsi="Verdana"/>
          <w:sz w:val="22"/>
          <w:szCs w:val="22"/>
        </w:rPr>
        <w:t xml:space="preserve"> people at higher risk of deprivation are less likely to cycle</w:t>
      </w:r>
      <w:r w:rsidR="009F7F39">
        <w:rPr>
          <w:rFonts w:ascii="Verdana" w:hAnsi="Verdana"/>
          <w:sz w:val="22"/>
          <w:szCs w:val="22"/>
          <w:vertAlign w:val="superscript"/>
        </w:rPr>
        <w:t>9</w:t>
      </w:r>
      <w:r>
        <w:rPr>
          <w:rFonts w:ascii="Verdana" w:hAnsi="Verdana"/>
          <w:sz w:val="22"/>
          <w:szCs w:val="22"/>
        </w:rPr>
        <w:t>, the present report found little evidence of this. Cycling rates were compared to the 2019 Index of Multiple Deprivation (IMD) scores for each district, with no discernible association observed. Cycling may also be less popular than walking due to the associated cost of buying and maintaining a bike</w:t>
      </w:r>
      <w:r w:rsidR="009F7F39">
        <w:rPr>
          <w:rFonts w:ascii="Verdana" w:hAnsi="Verdana"/>
          <w:sz w:val="22"/>
          <w:szCs w:val="22"/>
          <w:vertAlign w:val="superscript"/>
        </w:rPr>
        <w:t>9</w:t>
      </w:r>
      <w:r>
        <w:rPr>
          <w:rFonts w:ascii="Verdana" w:hAnsi="Verdana"/>
          <w:sz w:val="22"/>
          <w:szCs w:val="22"/>
        </w:rPr>
        <w:t xml:space="preserve">. </w:t>
      </w:r>
      <w:r w:rsidR="00BB2348">
        <w:rPr>
          <w:rFonts w:ascii="Verdana" w:hAnsi="Verdana"/>
          <w:sz w:val="22"/>
          <w:szCs w:val="22"/>
        </w:rPr>
        <w:t>The increased</w:t>
      </w:r>
      <w:r>
        <w:rPr>
          <w:rFonts w:ascii="Verdana" w:hAnsi="Verdana"/>
          <w:sz w:val="22"/>
          <w:szCs w:val="22"/>
        </w:rPr>
        <w:t xml:space="preserve"> physical exertion of cycling,</w:t>
      </w:r>
      <w:r w:rsidR="00BB2348">
        <w:rPr>
          <w:rFonts w:ascii="Verdana" w:hAnsi="Verdana"/>
          <w:sz w:val="22"/>
          <w:szCs w:val="22"/>
        </w:rPr>
        <w:t xml:space="preserve"> </w:t>
      </w:r>
      <w:r w:rsidR="0034151E">
        <w:rPr>
          <w:rFonts w:ascii="Verdana" w:hAnsi="Verdana"/>
          <w:sz w:val="22"/>
          <w:szCs w:val="22"/>
        </w:rPr>
        <w:t xml:space="preserve">the </w:t>
      </w:r>
      <w:r>
        <w:rPr>
          <w:rFonts w:ascii="Verdana" w:hAnsi="Verdana"/>
          <w:sz w:val="22"/>
          <w:szCs w:val="22"/>
        </w:rPr>
        <w:t xml:space="preserve">perceived danger of cycling on roads and poor infrastructure also </w:t>
      </w:r>
      <w:proofErr w:type="gramStart"/>
      <w:r>
        <w:rPr>
          <w:rFonts w:ascii="Verdana" w:hAnsi="Verdana"/>
          <w:sz w:val="22"/>
          <w:szCs w:val="22"/>
        </w:rPr>
        <w:t>act</w:t>
      </w:r>
      <w:proofErr w:type="gramEnd"/>
      <w:r>
        <w:rPr>
          <w:rFonts w:ascii="Verdana" w:hAnsi="Verdana"/>
          <w:sz w:val="22"/>
          <w:szCs w:val="22"/>
        </w:rPr>
        <w:t xml:space="preserve"> as barriers to cycling. </w:t>
      </w:r>
      <w:r w:rsidR="002A200D">
        <w:rPr>
          <w:rFonts w:ascii="Verdana" w:hAnsi="Verdana"/>
          <w:sz w:val="22"/>
          <w:szCs w:val="22"/>
        </w:rPr>
        <w:t>Th</w:t>
      </w:r>
      <w:r w:rsidR="00440D14">
        <w:rPr>
          <w:rFonts w:ascii="Verdana" w:hAnsi="Verdana"/>
          <w:sz w:val="22"/>
          <w:szCs w:val="22"/>
        </w:rPr>
        <w:t>is</w:t>
      </w:r>
      <w:r w:rsidR="002A200D">
        <w:rPr>
          <w:rFonts w:ascii="Verdana" w:hAnsi="Verdana"/>
          <w:sz w:val="22"/>
          <w:szCs w:val="22"/>
        </w:rPr>
        <w:t xml:space="preserve"> intersectionality</w:t>
      </w:r>
      <w:r>
        <w:rPr>
          <w:rFonts w:ascii="Verdana" w:hAnsi="Verdana"/>
          <w:sz w:val="22"/>
          <w:szCs w:val="22"/>
        </w:rPr>
        <w:t xml:space="preserve"> </w:t>
      </w:r>
      <w:r w:rsidR="00213CB1">
        <w:rPr>
          <w:rFonts w:ascii="Verdana" w:hAnsi="Verdana"/>
          <w:sz w:val="22"/>
          <w:szCs w:val="22"/>
        </w:rPr>
        <w:t xml:space="preserve">of </w:t>
      </w:r>
      <w:r>
        <w:rPr>
          <w:rFonts w:ascii="Verdana" w:hAnsi="Verdana"/>
          <w:sz w:val="22"/>
          <w:szCs w:val="22"/>
        </w:rPr>
        <w:t xml:space="preserve">reasons why someone may choose to walk instead of </w:t>
      </w:r>
      <w:r w:rsidR="00A90882">
        <w:rPr>
          <w:rFonts w:ascii="Verdana" w:hAnsi="Verdana"/>
          <w:sz w:val="22"/>
          <w:szCs w:val="22"/>
        </w:rPr>
        <w:t>cycle</w:t>
      </w:r>
      <w:r>
        <w:rPr>
          <w:rFonts w:ascii="Verdana" w:hAnsi="Verdana"/>
          <w:sz w:val="22"/>
          <w:szCs w:val="22"/>
        </w:rPr>
        <w:t xml:space="preserve"> </w:t>
      </w:r>
      <w:r w:rsidR="00367760">
        <w:rPr>
          <w:rFonts w:ascii="Verdana" w:hAnsi="Verdana"/>
          <w:sz w:val="22"/>
          <w:szCs w:val="22"/>
        </w:rPr>
        <w:t>makes</w:t>
      </w:r>
      <w:r>
        <w:rPr>
          <w:rFonts w:ascii="Verdana" w:hAnsi="Verdana"/>
          <w:sz w:val="22"/>
          <w:szCs w:val="22"/>
        </w:rPr>
        <w:t xml:space="preserve"> it difficult to </w:t>
      </w:r>
      <w:r w:rsidR="00721814">
        <w:rPr>
          <w:rFonts w:ascii="Verdana" w:hAnsi="Verdana"/>
          <w:sz w:val="22"/>
          <w:szCs w:val="22"/>
        </w:rPr>
        <w:t>justify</w:t>
      </w:r>
      <w:r>
        <w:rPr>
          <w:rFonts w:ascii="Verdana" w:hAnsi="Verdana"/>
          <w:sz w:val="22"/>
          <w:szCs w:val="22"/>
        </w:rPr>
        <w:t xml:space="preserve"> why certain local authority districts display their respective proportions</w:t>
      </w:r>
      <w:r w:rsidR="00213CB1">
        <w:rPr>
          <w:rFonts w:ascii="Verdana" w:hAnsi="Verdana"/>
          <w:sz w:val="22"/>
          <w:szCs w:val="22"/>
        </w:rPr>
        <w:t xml:space="preserve"> of cycling rates.</w:t>
      </w:r>
    </w:p>
    <w:p w14:paraId="772915B2" w14:textId="4B92F5F4" w:rsidR="00B219CE" w:rsidRDefault="008B1290" w:rsidP="00B51060">
      <w:pPr>
        <w:rPr>
          <w:rFonts w:ascii="Verdana" w:hAnsi="Verdana"/>
          <w:sz w:val="22"/>
          <w:szCs w:val="22"/>
        </w:rPr>
      </w:pPr>
      <w:r w:rsidRPr="00B51060">
        <w:rPr>
          <w:rFonts w:ascii="Verdana" w:hAnsi="Verdana"/>
          <w:sz w:val="22"/>
          <w:szCs w:val="22"/>
        </w:rPr>
        <w:t>Whilst</w:t>
      </w:r>
      <w:r w:rsidR="00B85CAA" w:rsidRPr="00B51060">
        <w:rPr>
          <w:rFonts w:ascii="Verdana" w:hAnsi="Verdana"/>
          <w:sz w:val="22"/>
          <w:szCs w:val="22"/>
        </w:rPr>
        <w:t xml:space="preserve"> variation between </w:t>
      </w:r>
      <w:r w:rsidR="00B07A78">
        <w:rPr>
          <w:rFonts w:ascii="Verdana" w:hAnsi="Verdana"/>
          <w:sz w:val="22"/>
          <w:szCs w:val="22"/>
        </w:rPr>
        <w:t xml:space="preserve">the Kent </w:t>
      </w:r>
      <w:r w:rsidR="006A3983" w:rsidRPr="00B51060">
        <w:rPr>
          <w:rFonts w:ascii="Verdana" w:hAnsi="Verdana"/>
          <w:sz w:val="22"/>
          <w:szCs w:val="22"/>
        </w:rPr>
        <w:t xml:space="preserve">districts </w:t>
      </w:r>
      <w:r w:rsidR="005E7CD7">
        <w:rPr>
          <w:rFonts w:ascii="Verdana" w:hAnsi="Verdana"/>
          <w:sz w:val="22"/>
          <w:szCs w:val="22"/>
        </w:rPr>
        <w:t xml:space="preserve">over recent years </w:t>
      </w:r>
      <w:r w:rsidR="006A3983" w:rsidRPr="00B51060">
        <w:rPr>
          <w:rFonts w:ascii="Verdana" w:hAnsi="Verdana"/>
          <w:sz w:val="22"/>
          <w:szCs w:val="22"/>
        </w:rPr>
        <w:t>can be observed for all activity types</w:t>
      </w:r>
      <w:r w:rsidR="00BF5507" w:rsidRPr="00B51060">
        <w:rPr>
          <w:rFonts w:ascii="Verdana" w:hAnsi="Verdana"/>
          <w:sz w:val="22"/>
          <w:szCs w:val="22"/>
        </w:rPr>
        <w:t xml:space="preserve">, definitive differences are difficult to determine from this analysis alone. </w:t>
      </w:r>
      <w:r w:rsidR="002E1E7D" w:rsidRPr="00B51060">
        <w:rPr>
          <w:rFonts w:ascii="Verdana" w:hAnsi="Verdana"/>
          <w:sz w:val="22"/>
          <w:szCs w:val="22"/>
        </w:rPr>
        <w:t xml:space="preserve">Canterbury has on average the highest rates of active travel, followed by Dover and Ashford. Interestingly, Ashford </w:t>
      </w:r>
      <w:r w:rsidR="00615D95">
        <w:rPr>
          <w:rFonts w:ascii="Verdana" w:hAnsi="Verdana"/>
          <w:sz w:val="22"/>
          <w:szCs w:val="22"/>
        </w:rPr>
        <w:t>shows low rates</w:t>
      </w:r>
      <w:r w:rsidR="002E1E7D" w:rsidRPr="00B51060">
        <w:rPr>
          <w:rFonts w:ascii="Verdana" w:hAnsi="Verdana"/>
          <w:sz w:val="22"/>
          <w:szCs w:val="22"/>
        </w:rPr>
        <w:t xml:space="preserve"> </w:t>
      </w:r>
      <w:r w:rsidR="000B2C9F">
        <w:rPr>
          <w:rFonts w:ascii="Verdana" w:hAnsi="Verdana"/>
          <w:sz w:val="22"/>
          <w:szCs w:val="22"/>
        </w:rPr>
        <w:t>of</w:t>
      </w:r>
      <w:r w:rsidR="0004256F">
        <w:rPr>
          <w:rFonts w:ascii="Verdana" w:hAnsi="Verdana"/>
          <w:sz w:val="22"/>
          <w:szCs w:val="22"/>
        </w:rPr>
        <w:t xml:space="preserve"> </w:t>
      </w:r>
      <w:r w:rsidR="002E1E7D" w:rsidRPr="00B51060">
        <w:rPr>
          <w:rFonts w:ascii="Verdana" w:hAnsi="Verdana"/>
          <w:sz w:val="22"/>
          <w:szCs w:val="22"/>
        </w:rPr>
        <w:t xml:space="preserve">walking </w:t>
      </w:r>
      <w:r w:rsidR="002E1E7D" w:rsidRPr="00B51060">
        <w:rPr>
          <w:rFonts w:ascii="Verdana" w:hAnsi="Verdana"/>
          <w:sz w:val="22"/>
          <w:szCs w:val="22"/>
        </w:rPr>
        <w:lastRenderedPageBreak/>
        <w:t xml:space="preserve">but much </w:t>
      </w:r>
      <w:r w:rsidR="0004256F">
        <w:rPr>
          <w:rFonts w:ascii="Verdana" w:hAnsi="Verdana"/>
          <w:sz w:val="22"/>
          <w:szCs w:val="22"/>
        </w:rPr>
        <w:t xml:space="preserve">higher rates </w:t>
      </w:r>
      <w:r w:rsidR="000B2C9F">
        <w:rPr>
          <w:rFonts w:ascii="Verdana" w:hAnsi="Verdana"/>
          <w:sz w:val="22"/>
          <w:szCs w:val="22"/>
        </w:rPr>
        <w:t>of</w:t>
      </w:r>
      <w:r w:rsidR="002E1E7D" w:rsidRPr="00B51060">
        <w:rPr>
          <w:rFonts w:ascii="Verdana" w:hAnsi="Verdana"/>
          <w:sz w:val="22"/>
          <w:szCs w:val="22"/>
        </w:rPr>
        <w:t xml:space="preserve"> cycling. Dartford </w:t>
      </w:r>
      <w:r w:rsidR="000E2C3E">
        <w:rPr>
          <w:rFonts w:ascii="Verdana" w:hAnsi="Verdana"/>
          <w:sz w:val="22"/>
          <w:szCs w:val="22"/>
        </w:rPr>
        <w:t>shows high rates</w:t>
      </w:r>
      <w:r w:rsidR="002E1E7D" w:rsidRPr="00B51060">
        <w:rPr>
          <w:rFonts w:ascii="Verdana" w:hAnsi="Verdana"/>
          <w:sz w:val="22"/>
          <w:szCs w:val="22"/>
        </w:rPr>
        <w:t xml:space="preserve"> </w:t>
      </w:r>
      <w:r w:rsidR="000B2C9F">
        <w:rPr>
          <w:rFonts w:ascii="Verdana" w:hAnsi="Verdana"/>
          <w:sz w:val="22"/>
          <w:szCs w:val="22"/>
        </w:rPr>
        <w:t>of</w:t>
      </w:r>
      <w:r w:rsidR="002E1E7D" w:rsidRPr="00B51060">
        <w:rPr>
          <w:rFonts w:ascii="Verdana" w:hAnsi="Verdana"/>
          <w:sz w:val="22"/>
          <w:szCs w:val="22"/>
        </w:rPr>
        <w:t xml:space="preserve"> walking for travel but </w:t>
      </w:r>
      <w:r w:rsidR="001A0423">
        <w:rPr>
          <w:rFonts w:ascii="Verdana" w:hAnsi="Verdana"/>
          <w:sz w:val="22"/>
          <w:szCs w:val="22"/>
        </w:rPr>
        <w:t xml:space="preserve">some of the lowest </w:t>
      </w:r>
      <w:r w:rsidR="002E1E7D" w:rsidRPr="00B51060">
        <w:rPr>
          <w:rFonts w:ascii="Verdana" w:hAnsi="Verdana"/>
          <w:sz w:val="22"/>
          <w:szCs w:val="22"/>
        </w:rPr>
        <w:t xml:space="preserve">in walking for leisure and cycling. Gravesham </w:t>
      </w:r>
      <w:r w:rsidR="001A0423">
        <w:rPr>
          <w:rFonts w:ascii="Verdana" w:hAnsi="Verdana"/>
          <w:sz w:val="22"/>
          <w:szCs w:val="22"/>
        </w:rPr>
        <w:t>has</w:t>
      </w:r>
      <w:r w:rsidR="002E1E7D" w:rsidRPr="00B51060">
        <w:rPr>
          <w:rFonts w:ascii="Verdana" w:hAnsi="Verdana"/>
          <w:sz w:val="22"/>
          <w:szCs w:val="22"/>
        </w:rPr>
        <w:t xml:space="preserve"> slightly lower </w:t>
      </w:r>
      <w:r w:rsidR="001A0423">
        <w:rPr>
          <w:rFonts w:ascii="Verdana" w:hAnsi="Verdana"/>
          <w:sz w:val="22"/>
          <w:szCs w:val="22"/>
        </w:rPr>
        <w:t xml:space="preserve">rates </w:t>
      </w:r>
      <w:r w:rsidR="000B2C9F">
        <w:rPr>
          <w:rFonts w:ascii="Verdana" w:hAnsi="Verdana"/>
          <w:sz w:val="22"/>
          <w:szCs w:val="22"/>
        </w:rPr>
        <w:t>of</w:t>
      </w:r>
      <w:r w:rsidR="002E1E7D" w:rsidRPr="00B51060">
        <w:rPr>
          <w:rFonts w:ascii="Verdana" w:hAnsi="Verdana"/>
          <w:sz w:val="22"/>
          <w:szCs w:val="22"/>
        </w:rPr>
        <w:t xml:space="preserve"> walking for travel but is otherwise </w:t>
      </w:r>
      <w:proofErr w:type="gramStart"/>
      <w:r w:rsidR="002E1E7D" w:rsidRPr="00B51060">
        <w:rPr>
          <w:rFonts w:ascii="Verdana" w:hAnsi="Verdana"/>
          <w:sz w:val="22"/>
          <w:szCs w:val="22"/>
        </w:rPr>
        <w:t>similar</w:t>
      </w:r>
      <w:r w:rsidR="00A60140">
        <w:rPr>
          <w:rFonts w:ascii="Verdana" w:hAnsi="Verdana"/>
          <w:sz w:val="22"/>
          <w:szCs w:val="22"/>
        </w:rPr>
        <w:t xml:space="preserve"> to</w:t>
      </w:r>
      <w:proofErr w:type="gramEnd"/>
      <w:r w:rsidR="00A60140">
        <w:rPr>
          <w:rFonts w:ascii="Verdana" w:hAnsi="Verdana"/>
          <w:sz w:val="22"/>
          <w:szCs w:val="22"/>
        </w:rPr>
        <w:t xml:space="preserve"> Dartford</w:t>
      </w:r>
      <w:r w:rsidR="002E1E7D" w:rsidRPr="00B51060">
        <w:rPr>
          <w:rFonts w:ascii="Verdana" w:hAnsi="Verdana"/>
          <w:sz w:val="22"/>
          <w:szCs w:val="22"/>
        </w:rPr>
        <w:t>.</w:t>
      </w:r>
      <w:r w:rsidR="00A7152E">
        <w:rPr>
          <w:rFonts w:ascii="Verdana" w:hAnsi="Verdana"/>
          <w:sz w:val="22"/>
          <w:szCs w:val="22"/>
        </w:rPr>
        <w:t xml:space="preserve"> However, it is important to highlight that Dartford and Gravesham, also had the lowest number of study participants out</w:t>
      </w:r>
      <w:r w:rsidR="00535ABE">
        <w:rPr>
          <w:rFonts w:ascii="Verdana" w:hAnsi="Verdana"/>
          <w:sz w:val="22"/>
          <w:szCs w:val="22"/>
        </w:rPr>
        <w:t xml:space="preserve"> of the districts (see </w:t>
      </w:r>
      <w:r w:rsidR="00EC6EBF">
        <w:rPr>
          <w:rFonts w:ascii="Verdana" w:hAnsi="Verdana"/>
          <w:sz w:val="22"/>
          <w:szCs w:val="22"/>
        </w:rPr>
        <w:t>Table</w:t>
      </w:r>
      <w:r w:rsidR="00535ABE">
        <w:rPr>
          <w:rFonts w:ascii="Verdana" w:hAnsi="Verdana"/>
          <w:sz w:val="22"/>
          <w:szCs w:val="22"/>
        </w:rPr>
        <w:t xml:space="preserve"> 1).</w:t>
      </w:r>
      <w:r w:rsidR="00C10E79">
        <w:rPr>
          <w:rFonts w:ascii="Verdana" w:hAnsi="Verdana"/>
          <w:sz w:val="22"/>
          <w:szCs w:val="22"/>
        </w:rPr>
        <w:t xml:space="preserve"> These</w:t>
      </w:r>
      <w:r w:rsidR="00C10E79" w:rsidRPr="00B51060">
        <w:rPr>
          <w:rFonts w:ascii="Verdana" w:hAnsi="Verdana"/>
          <w:sz w:val="22"/>
          <w:szCs w:val="22"/>
        </w:rPr>
        <w:t xml:space="preserve"> unequal sample sizes between districts could produce inaccuracies in comparisons.</w:t>
      </w:r>
    </w:p>
    <w:p w14:paraId="088F205B" w14:textId="234CD2D3" w:rsidR="00C10E79" w:rsidRDefault="006B3306" w:rsidP="00B51060">
      <w:pPr>
        <w:rPr>
          <w:rFonts w:ascii="Verdana" w:hAnsi="Verdana"/>
          <w:sz w:val="22"/>
          <w:szCs w:val="22"/>
        </w:rPr>
      </w:pPr>
      <w:r w:rsidRPr="00B51060">
        <w:rPr>
          <w:rFonts w:ascii="Verdana" w:hAnsi="Verdana"/>
          <w:sz w:val="22"/>
          <w:szCs w:val="22"/>
        </w:rPr>
        <w:t xml:space="preserve">There are some </w:t>
      </w:r>
      <w:r w:rsidR="00535ABE">
        <w:rPr>
          <w:rFonts w:ascii="Verdana" w:hAnsi="Verdana"/>
          <w:sz w:val="22"/>
          <w:szCs w:val="22"/>
        </w:rPr>
        <w:t xml:space="preserve">additional </w:t>
      </w:r>
      <w:r w:rsidRPr="00B51060">
        <w:rPr>
          <w:rFonts w:ascii="Verdana" w:hAnsi="Verdana"/>
          <w:sz w:val="22"/>
          <w:szCs w:val="22"/>
        </w:rPr>
        <w:t xml:space="preserve">limitations to this report that </w:t>
      </w:r>
      <w:r w:rsidR="00535ABE">
        <w:rPr>
          <w:rFonts w:ascii="Verdana" w:hAnsi="Verdana"/>
          <w:sz w:val="22"/>
          <w:szCs w:val="22"/>
        </w:rPr>
        <w:t>should</w:t>
      </w:r>
      <w:r w:rsidRPr="00B51060">
        <w:rPr>
          <w:rFonts w:ascii="Verdana" w:hAnsi="Verdana"/>
          <w:sz w:val="22"/>
          <w:szCs w:val="22"/>
        </w:rPr>
        <w:t xml:space="preserve"> be considered</w:t>
      </w:r>
      <w:r w:rsidR="00B07A78">
        <w:rPr>
          <w:rFonts w:ascii="Verdana" w:hAnsi="Verdana"/>
          <w:sz w:val="22"/>
          <w:szCs w:val="22"/>
        </w:rPr>
        <w:t xml:space="preserve">. </w:t>
      </w:r>
      <w:r w:rsidR="00974277" w:rsidRPr="00B51060">
        <w:rPr>
          <w:rFonts w:ascii="Verdana" w:hAnsi="Verdana"/>
          <w:sz w:val="22"/>
          <w:szCs w:val="22"/>
        </w:rPr>
        <w:t>Participants</w:t>
      </w:r>
      <w:r w:rsidR="00AC2DB5" w:rsidRPr="00B51060">
        <w:rPr>
          <w:rFonts w:ascii="Verdana" w:hAnsi="Verdana"/>
          <w:sz w:val="22"/>
          <w:szCs w:val="22"/>
        </w:rPr>
        <w:t xml:space="preserve"> for the </w:t>
      </w:r>
      <w:r w:rsidR="00974277" w:rsidRPr="00B51060">
        <w:rPr>
          <w:rFonts w:ascii="Verdana" w:hAnsi="Verdana"/>
          <w:sz w:val="22"/>
          <w:szCs w:val="22"/>
        </w:rPr>
        <w:t>Active</w:t>
      </w:r>
      <w:r w:rsidR="00AC2DB5" w:rsidRPr="00B51060">
        <w:rPr>
          <w:rFonts w:ascii="Verdana" w:hAnsi="Verdana"/>
          <w:sz w:val="22"/>
          <w:szCs w:val="22"/>
        </w:rPr>
        <w:t xml:space="preserve"> Lives survey </w:t>
      </w:r>
      <w:r w:rsidR="001401AF" w:rsidRPr="00B51060">
        <w:rPr>
          <w:rFonts w:ascii="Verdana" w:hAnsi="Verdana"/>
          <w:sz w:val="22"/>
          <w:szCs w:val="22"/>
        </w:rPr>
        <w:t>and National Travel survey</w:t>
      </w:r>
      <w:r w:rsidR="00AC2DB5" w:rsidRPr="00B51060">
        <w:rPr>
          <w:rFonts w:ascii="Verdana" w:hAnsi="Verdana"/>
          <w:sz w:val="22"/>
          <w:szCs w:val="22"/>
        </w:rPr>
        <w:t xml:space="preserve"> are selected at random</w:t>
      </w:r>
      <w:r w:rsidR="001401AF" w:rsidRPr="00B51060">
        <w:rPr>
          <w:rFonts w:ascii="Verdana" w:hAnsi="Verdana"/>
          <w:sz w:val="22"/>
          <w:szCs w:val="22"/>
        </w:rPr>
        <w:t xml:space="preserve"> </w:t>
      </w:r>
      <w:r w:rsidR="00535ABE">
        <w:rPr>
          <w:rFonts w:ascii="Verdana" w:hAnsi="Verdana"/>
          <w:sz w:val="22"/>
          <w:szCs w:val="22"/>
        </w:rPr>
        <w:t>to</w:t>
      </w:r>
      <w:r w:rsidR="001401AF" w:rsidRPr="00B51060">
        <w:rPr>
          <w:rFonts w:ascii="Verdana" w:hAnsi="Verdana"/>
          <w:sz w:val="22"/>
          <w:szCs w:val="22"/>
        </w:rPr>
        <w:t xml:space="preserve"> increase the </w:t>
      </w:r>
      <w:r w:rsidR="00974277" w:rsidRPr="00B51060">
        <w:rPr>
          <w:rFonts w:ascii="Verdana" w:hAnsi="Verdana"/>
          <w:sz w:val="22"/>
          <w:szCs w:val="22"/>
        </w:rPr>
        <w:t>likelihood</w:t>
      </w:r>
      <w:r w:rsidR="001401AF" w:rsidRPr="00B51060">
        <w:rPr>
          <w:rFonts w:ascii="Verdana" w:hAnsi="Verdana"/>
          <w:sz w:val="22"/>
          <w:szCs w:val="22"/>
        </w:rPr>
        <w:t xml:space="preserve"> of the </w:t>
      </w:r>
      <w:r w:rsidR="00974277" w:rsidRPr="00B51060">
        <w:rPr>
          <w:rFonts w:ascii="Verdana" w:hAnsi="Verdana"/>
          <w:sz w:val="22"/>
          <w:szCs w:val="22"/>
        </w:rPr>
        <w:t xml:space="preserve">sample being representative of the wider population. However, this does not eliminate bias, as there is still the possibility that those who choose to </w:t>
      </w:r>
      <w:r w:rsidR="00535ABE">
        <w:rPr>
          <w:rFonts w:ascii="Verdana" w:hAnsi="Verdana"/>
          <w:sz w:val="22"/>
          <w:szCs w:val="22"/>
        </w:rPr>
        <w:t>participate</w:t>
      </w:r>
      <w:r w:rsidR="00974277" w:rsidRPr="00B51060">
        <w:rPr>
          <w:rFonts w:ascii="Verdana" w:hAnsi="Verdana"/>
          <w:sz w:val="22"/>
          <w:szCs w:val="22"/>
        </w:rPr>
        <w:t xml:space="preserve"> are systematically different from those who refuse.</w:t>
      </w:r>
      <w:r w:rsidR="00B2112E" w:rsidRPr="00B51060">
        <w:rPr>
          <w:rFonts w:ascii="Verdana" w:hAnsi="Verdana"/>
          <w:sz w:val="22"/>
          <w:szCs w:val="22"/>
        </w:rPr>
        <w:t xml:space="preserve"> There is also the possibility that participation from 2020</w:t>
      </w:r>
      <w:r w:rsidR="00407E1A">
        <w:rPr>
          <w:rFonts w:ascii="Verdana" w:hAnsi="Verdana"/>
          <w:sz w:val="22"/>
          <w:szCs w:val="22"/>
        </w:rPr>
        <w:t xml:space="preserve"> to 20</w:t>
      </w:r>
      <w:r w:rsidR="00B2112E" w:rsidRPr="00B51060">
        <w:rPr>
          <w:rFonts w:ascii="Verdana" w:hAnsi="Verdana"/>
          <w:sz w:val="22"/>
          <w:szCs w:val="22"/>
        </w:rPr>
        <w:t xml:space="preserve">21 was influenced by the Covid-19 pandemic, meaning that the changes observed </w:t>
      </w:r>
      <w:r w:rsidR="00AB1DFC" w:rsidRPr="00B51060">
        <w:rPr>
          <w:rFonts w:ascii="Verdana" w:hAnsi="Verdana"/>
          <w:sz w:val="22"/>
          <w:szCs w:val="22"/>
        </w:rPr>
        <w:t>during</w:t>
      </w:r>
      <w:r w:rsidR="00B2112E" w:rsidRPr="00B51060">
        <w:rPr>
          <w:rFonts w:ascii="Verdana" w:hAnsi="Verdana"/>
          <w:sz w:val="22"/>
          <w:szCs w:val="22"/>
        </w:rPr>
        <w:t xml:space="preserve"> this time could</w:t>
      </w:r>
      <w:r w:rsidR="0072081F" w:rsidRPr="00B51060">
        <w:rPr>
          <w:rFonts w:ascii="Verdana" w:hAnsi="Verdana"/>
          <w:sz w:val="22"/>
          <w:szCs w:val="22"/>
        </w:rPr>
        <w:t xml:space="preserve"> have been </w:t>
      </w:r>
      <w:r w:rsidR="00EC5D48">
        <w:rPr>
          <w:rFonts w:ascii="Verdana" w:hAnsi="Verdana"/>
          <w:sz w:val="22"/>
          <w:szCs w:val="22"/>
        </w:rPr>
        <w:t>non-representativ</w:t>
      </w:r>
      <w:r w:rsidR="0015011C">
        <w:rPr>
          <w:rFonts w:ascii="Verdana" w:hAnsi="Verdana"/>
          <w:sz w:val="22"/>
          <w:szCs w:val="22"/>
        </w:rPr>
        <w:t>e of the wider population.</w:t>
      </w:r>
    </w:p>
    <w:p w14:paraId="634B39A7" w14:textId="29EB97DB" w:rsidR="00A60F30" w:rsidRPr="00B51060" w:rsidRDefault="00C10E79" w:rsidP="00B51060">
      <w:pPr>
        <w:rPr>
          <w:rFonts w:ascii="Verdana" w:hAnsi="Verdana"/>
          <w:sz w:val="22"/>
          <w:szCs w:val="22"/>
        </w:rPr>
      </w:pPr>
      <w:r>
        <w:rPr>
          <w:rFonts w:ascii="Verdana" w:hAnsi="Verdana"/>
          <w:sz w:val="22"/>
          <w:szCs w:val="22"/>
        </w:rPr>
        <w:t>In addition, t</w:t>
      </w:r>
      <w:r w:rsidR="00D9687C">
        <w:rPr>
          <w:rFonts w:ascii="Verdana" w:hAnsi="Verdana"/>
          <w:sz w:val="22"/>
          <w:szCs w:val="22"/>
        </w:rPr>
        <w:t xml:space="preserve">he </w:t>
      </w:r>
      <w:r w:rsidR="00535ABE">
        <w:rPr>
          <w:rFonts w:ascii="Verdana" w:hAnsi="Verdana"/>
          <w:sz w:val="22"/>
          <w:szCs w:val="22"/>
        </w:rPr>
        <w:t>reliance</w:t>
      </w:r>
      <w:r w:rsidR="00D9687C">
        <w:rPr>
          <w:rFonts w:ascii="Verdana" w:hAnsi="Verdana"/>
          <w:sz w:val="22"/>
          <w:szCs w:val="22"/>
        </w:rPr>
        <w:t xml:space="preserve"> on average</w:t>
      </w:r>
      <w:r w:rsidR="00535ABE">
        <w:rPr>
          <w:rFonts w:ascii="Verdana" w:hAnsi="Verdana"/>
          <w:sz w:val="22"/>
          <w:szCs w:val="22"/>
        </w:rPr>
        <w:t>s</w:t>
      </w:r>
      <w:r w:rsidR="00D9687C">
        <w:rPr>
          <w:rFonts w:ascii="Verdana" w:hAnsi="Verdana"/>
          <w:sz w:val="22"/>
          <w:szCs w:val="22"/>
        </w:rPr>
        <w:t xml:space="preserve"> as a </w:t>
      </w:r>
      <w:r w:rsidR="00535ABE">
        <w:rPr>
          <w:rFonts w:ascii="Verdana" w:hAnsi="Verdana"/>
          <w:sz w:val="22"/>
          <w:szCs w:val="22"/>
        </w:rPr>
        <w:t>measure</w:t>
      </w:r>
      <w:r w:rsidR="00D9687C">
        <w:rPr>
          <w:rFonts w:ascii="Verdana" w:hAnsi="Verdana"/>
          <w:sz w:val="22"/>
          <w:szCs w:val="22"/>
        </w:rPr>
        <w:t xml:space="preserve"> of central </w:t>
      </w:r>
      <w:r w:rsidR="00535ABE">
        <w:rPr>
          <w:rFonts w:ascii="Verdana" w:hAnsi="Verdana"/>
          <w:sz w:val="22"/>
          <w:szCs w:val="22"/>
        </w:rPr>
        <w:t>tendency</w:t>
      </w:r>
      <w:r w:rsidR="00D9687C">
        <w:rPr>
          <w:rFonts w:ascii="Verdana" w:hAnsi="Verdana"/>
          <w:sz w:val="22"/>
          <w:szCs w:val="22"/>
        </w:rPr>
        <w:t xml:space="preserve"> could </w:t>
      </w:r>
      <w:r w:rsidR="00535ABE">
        <w:rPr>
          <w:rFonts w:ascii="Verdana" w:hAnsi="Verdana"/>
          <w:sz w:val="22"/>
          <w:szCs w:val="22"/>
        </w:rPr>
        <w:t xml:space="preserve">oversimplify </w:t>
      </w:r>
      <w:r w:rsidR="00D9687C">
        <w:rPr>
          <w:rFonts w:ascii="Verdana" w:hAnsi="Verdana"/>
          <w:sz w:val="22"/>
          <w:szCs w:val="22"/>
        </w:rPr>
        <w:t>th</w:t>
      </w:r>
      <w:r>
        <w:rPr>
          <w:rFonts w:ascii="Verdana" w:hAnsi="Verdana"/>
          <w:sz w:val="22"/>
          <w:szCs w:val="22"/>
        </w:rPr>
        <w:t>e present</w:t>
      </w:r>
      <w:r w:rsidR="00D9687C">
        <w:rPr>
          <w:rFonts w:ascii="Verdana" w:hAnsi="Verdana"/>
          <w:sz w:val="22"/>
          <w:szCs w:val="22"/>
        </w:rPr>
        <w:t xml:space="preserve"> </w:t>
      </w:r>
      <w:r w:rsidR="005B0DF4">
        <w:rPr>
          <w:rFonts w:ascii="Verdana" w:hAnsi="Verdana"/>
          <w:sz w:val="22"/>
          <w:szCs w:val="22"/>
        </w:rPr>
        <w:t>data but</w:t>
      </w:r>
      <w:r w:rsidR="00D9687C">
        <w:rPr>
          <w:rFonts w:ascii="Verdana" w:hAnsi="Verdana"/>
          <w:sz w:val="22"/>
          <w:szCs w:val="22"/>
        </w:rPr>
        <w:t xml:space="preserve"> does serve an important </w:t>
      </w:r>
      <w:r w:rsidR="00535ABE">
        <w:rPr>
          <w:rFonts w:ascii="Verdana" w:hAnsi="Verdana"/>
          <w:sz w:val="22"/>
          <w:szCs w:val="22"/>
        </w:rPr>
        <w:t>function</w:t>
      </w:r>
      <w:r w:rsidR="00D9687C">
        <w:rPr>
          <w:rFonts w:ascii="Verdana" w:hAnsi="Verdana"/>
          <w:sz w:val="22"/>
          <w:szCs w:val="22"/>
        </w:rPr>
        <w:t xml:space="preserve"> in this report.</w:t>
      </w:r>
      <w:r>
        <w:rPr>
          <w:rFonts w:ascii="Verdana" w:hAnsi="Verdana"/>
          <w:sz w:val="22"/>
          <w:szCs w:val="22"/>
        </w:rPr>
        <w:t xml:space="preserve"> </w:t>
      </w:r>
      <w:r w:rsidR="00B91448" w:rsidRPr="00B51060">
        <w:rPr>
          <w:rFonts w:ascii="Verdana" w:hAnsi="Verdana"/>
          <w:sz w:val="22"/>
          <w:szCs w:val="22"/>
        </w:rPr>
        <w:t>Furthermore, d</w:t>
      </w:r>
      <w:r w:rsidR="00AF1DB9" w:rsidRPr="00B51060">
        <w:rPr>
          <w:rFonts w:ascii="Verdana" w:hAnsi="Verdana"/>
          <w:sz w:val="22"/>
          <w:szCs w:val="22"/>
        </w:rPr>
        <w:t>emographic data as well as qualitative information on people’s behaviour surrounding walking</w:t>
      </w:r>
      <w:r w:rsidR="008B3C2D">
        <w:rPr>
          <w:rFonts w:ascii="Verdana" w:hAnsi="Verdana"/>
          <w:sz w:val="22"/>
          <w:szCs w:val="22"/>
        </w:rPr>
        <w:t xml:space="preserve"> and </w:t>
      </w:r>
      <w:r w:rsidR="00AF1DB9" w:rsidRPr="00B51060">
        <w:rPr>
          <w:rFonts w:ascii="Verdana" w:hAnsi="Verdana"/>
          <w:sz w:val="22"/>
          <w:szCs w:val="22"/>
        </w:rPr>
        <w:t>cycling was not available on the Kent or Kent district level</w:t>
      </w:r>
      <w:r w:rsidR="00B91448" w:rsidRPr="00B51060">
        <w:rPr>
          <w:rFonts w:ascii="Verdana" w:hAnsi="Verdana"/>
          <w:sz w:val="22"/>
          <w:szCs w:val="22"/>
        </w:rPr>
        <w:t xml:space="preserve"> but would have provided valuable additions. Finally, the d</w:t>
      </w:r>
      <w:r w:rsidR="00AF1DB9" w:rsidRPr="00B51060">
        <w:rPr>
          <w:rFonts w:ascii="Verdana" w:hAnsi="Verdana"/>
          <w:sz w:val="22"/>
          <w:szCs w:val="22"/>
        </w:rPr>
        <w:t xml:space="preserve">etermination of ‘similar’ neighbours based solely on CIPFA status may disregard some heterogeneity of population geography within </w:t>
      </w:r>
      <w:r w:rsidR="005B0DF4" w:rsidRPr="00B51060">
        <w:rPr>
          <w:rFonts w:ascii="Verdana" w:hAnsi="Verdana"/>
          <w:sz w:val="22"/>
          <w:szCs w:val="22"/>
        </w:rPr>
        <w:t>counties</w:t>
      </w:r>
      <w:r w:rsidR="005B0DF4">
        <w:rPr>
          <w:rFonts w:ascii="Verdana" w:hAnsi="Verdana"/>
          <w:sz w:val="22"/>
          <w:szCs w:val="22"/>
        </w:rPr>
        <w:t xml:space="preserve"> but</w:t>
      </w:r>
      <w:r w:rsidR="00AF1DB9" w:rsidRPr="00B51060">
        <w:rPr>
          <w:rFonts w:ascii="Verdana" w:hAnsi="Verdana"/>
          <w:sz w:val="22"/>
          <w:szCs w:val="22"/>
        </w:rPr>
        <w:t xml:space="preserve"> does provide some insight into how</w:t>
      </w:r>
      <w:r w:rsidR="008F316C">
        <w:rPr>
          <w:rFonts w:ascii="Verdana" w:hAnsi="Verdana"/>
          <w:sz w:val="22"/>
          <w:szCs w:val="22"/>
        </w:rPr>
        <w:t xml:space="preserve"> </w:t>
      </w:r>
      <w:r w:rsidR="00735387">
        <w:rPr>
          <w:rFonts w:ascii="Verdana" w:hAnsi="Verdana"/>
          <w:sz w:val="22"/>
          <w:szCs w:val="22"/>
        </w:rPr>
        <w:t xml:space="preserve">rates in </w:t>
      </w:r>
      <w:r w:rsidR="008F316C">
        <w:rPr>
          <w:rFonts w:ascii="Verdana" w:hAnsi="Verdana"/>
          <w:sz w:val="22"/>
          <w:szCs w:val="22"/>
        </w:rPr>
        <w:t xml:space="preserve">Kent </w:t>
      </w:r>
      <w:r w:rsidR="00735387">
        <w:rPr>
          <w:rFonts w:ascii="Verdana" w:hAnsi="Verdana"/>
          <w:sz w:val="22"/>
          <w:szCs w:val="22"/>
        </w:rPr>
        <w:t xml:space="preserve">compare </w:t>
      </w:r>
      <w:r w:rsidR="00B91448" w:rsidRPr="00B51060">
        <w:rPr>
          <w:rFonts w:ascii="Verdana" w:hAnsi="Verdana"/>
          <w:sz w:val="22"/>
          <w:szCs w:val="22"/>
        </w:rPr>
        <w:t xml:space="preserve">relative to </w:t>
      </w:r>
      <w:r w:rsidR="00B51060" w:rsidRPr="00B51060">
        <w:rPr>
          <w:rFonts w:ascii="Verdana" w:hAnsi="Verdana"/>
          <w:sz w:val="22"/>
          <w:szCs w:val="22"/>
        </w:rPr>
        <w:t>other counties</w:t>
      </w:r>
      <w:r w:rsidR="00C61218" w:rsidRPr="00B51060">
        <w:rPr>
          <w:rFonts w:ascii="Verdana" w:hAnsi="Verdana"/>
          <w:sz w:val="22"/>
          <w:szCs w:val="22"/>
        </w:rPr>
        <w:t>.</w:t>
      </w:r>
    </w:p>
    <w:p w14:paraId="1CABA9AB" w14:textId="5D112A41" w:rsidR="00B51060" w:rsidRDefault="00211ED8" w:rsidP="00211ED8">
      <w:pPr>
        <w:spacing w:before="0" w:after="200"/>
      </w:pPr>
      <w:r>
        <w:br w:type="page"/>
      </w:r>
    </w:p>
    <w:p w14:paraId="541A1A0D" w14:textId="0A39320A" w:rsidR="00972236" w:rsidRPr="00462048" w:rsidRDefault="00363DB8" w:rsidP="00D76E32">
      <w:pPr>
        <w:pStyle w:val="Heading2"/>
        <w:rPr>
          <w:rFonts w:ascii="Verdana" w:hAnsi="Verdana"/>
          <w:sz w:val="36"/>
          <w:szCs w:val="36"/>
        </w:rPr>
      </w:pPr>
      <w:bookmarkStart w:id="14" w:name="_Toc139375903"/>
      <w:r w:rsidRPr="00462048">
        <w:rPr>
          <w:rFonts w:ascii="Verdana" w:hAnsi="Verdana"/>
          <w:sz w:val="36"/>
          <w:szCs w:val="36"/>
        </w:rPr>
        <w:lastRenderedPageBreak/>
        <w:t>R</w:t>
      </w:r>
      <w:r w:rsidR="00972236" w:rsidRPr="00462048">
        <w:rPr>
          <w:rFonts w:ascii="Verdana" w:hAnsi="Verdana"/>
          <w:sz w:val="36"/>
          <w:szCs w:val="36"/>
        </w:rPr>
        <w:t>eferences</w:t>
      </w:r>
      <w:bookmarkEnd w:id="14"/>
    </w:p>
    <w:p w14:paraId="515DEED8" w14:textId="6592EC99" w:rsidR="004C55D1" w:rsidRPr="003959FE" w:rsidRDefault="004C55D1" w:rsidP="00114BD0">
      <w:pPr>
        <w:pStyle w:val="ListParagraph"/>
        <w:numPr>
          <w:ilvl w:val="0"/>
          <w:numId w:val="38"/>
        </w:numPr>
        <w:spacing w:line="240" w:lineRule="auto"/>
        <w:rPr>
          <w:rFonts w:ascii="Verdana" w:hAnsi="Verdana"/>
          <w:sz w:val="20"/>
          <w:szCs w:val="20"/>
        </w:rPr>
      </w:pPr>
      <w:r w:rsidRPr="003959FE">
        <w:rPr>
          <w:rFonts w:ascii="Verdana" w:hAnsi="Verdana"/>
          <w:sz w:val="20"/>
          <w:szCs w:val="20"/>
        </w:rPr>
        <w:t>Department for Transport. Active travel: local authority toolkit [Internet]. United Kingdom: Department for Transport; 2022 [updated 10 Aug 2022; cited 1 Jun</w:t>
      </w:r>
      <w:r w:rsidR="003B46B1">
        <w:rPr>
          <w:rFonts w:ascii="Verdana" w:hAnsi="Verdana"/>
          <w:sz w:val="20"/>
          <w:szCs w:val="20"/>
        </w:rPr>
        <w:t xml:space="preserve">e </w:t>
      </w:r>
      <w:r w:rsidRPr="003959FE">
        <w:rPr>
          <w:rFonts w:ascii="Verdana" w:hAnsi="Verdana"/>
          <w:sz w:val="20"/>
          <w:szCs w:val="20"/>
        </w:rPr>
        <w:t xml:space="preserve">2023]. Available from: </w:t>
      </w:r>
      <w:hyperlink r:id="rId33" w:history="1">
        <w:r w:rsidRPr="003959FE">
          <w:rPr>
            <w:rStyle w:val="Hyperlink"/>
            <w:rFonts w:ascii="Verdana" w:hAnsi="Verdana"/>
            <w:sz w:val="20"/>
            <w:szCs w:val="20"/>
          </w:rPr>
          <w:t>https://www.gov.uk/government/publications/active-travel-local-authority-toolkit/active-travel-local-authority-toolkit</w:t>
        </w:r>
      </w:hyperlink>
    </w:p>
    <w:p w14:paraId="574E8804" w14:textId="508B8B70" w:rsidR="00FD3C0C" w:rsidRPr="003959FE" w:rsidRDefault="00FD3C0C" w:rsidP="00114BD0">
      <w:pPr>
        <w:pStyle w:val="ListParagraph"/>
        <w:numPr>
          <w:ilvl w:val="0"/>
          <w:numId w:val="38"/>
        </w:numPr>
        <w:spacing w:line="240" w:lineRule="auto"/>
        <w:rPr>
          <w:rFonts w:ascii="Verdana" w:hAnsi="Verdana"/>
          <w:sz w:val="20"/>
          <w:szCs w:val="20"/>
        </w:rPr>
      </w:pPr>
      <w:r w:rsidRPr="003959FE">
        <w:rPr>
          <w:rFonts w:ascii="Verdana" w:hAnsi="Verdana"/>
          <w:sz w:val="20"/>
          <w:szCs w:val="20"/>
        </w:rPr>
        <w:t xml:space="preserve">World Health Organization. Cycling and walking can help reduce physical inactivity and air pollution, save </w:t>
      </w:r>
      <w:proofErr w:type="gramStart"/>
      <w:r w:rsidRPr="003959FE">
        <w:rPr>
          <w:rFonts w:ascii="Verdana" w:hAnsi="Verdana"/>
          <w:sz w:val="20"/>
          <w:szCs w:val="20"/>
        </w:rPr>
        <w:t>lives</w:t>
      </w:r>
      <w:proofErr w:type="gramEnd"/>
      <w:r w:rsidRPr="003959FE">
        <w:rPr>
          <w:rFonts w:ascii="Verdana" w:hAnsi="Verdana"/>
          <w:sz w:val="20"/>
          <w:szCs w:val="20"/>
        </w:rPr>
        <w:t xml:space="preserve"> and mitigate climate change [Internet]. Europe: World Health Organization; 2022 [updated 7 Jun</w:t>
      </w:r>
      <w:r w:rsidR="003B46B1">
        <w:rPr>
          <w:rFonts w:ascii="Verdana" w:hAnsi="Verdana"/>
          <w:sz w:val="20"/>
          <w:szCs w:val="20"/>
        </w:rPr>
        <w:t>e</w:t>
      </w:r>
      <w:r w:rsidRPr="003959FE">
        <w:rPr>
          <w:rFonts w:ascii="Verdana" w:hAnsi="Verdana"/>
          <w:sz w:val="20"/>
          <w:szCs w:val="20"/>
        </w:rPr>
        <w:t xml:space="preserve"> 2022; cited 23 May 2023]. Available from:</w:t>
      </w:r>
      <w:r w:rsidR="00211ED8" w:rsidRPr="003959FE">
        <w:rPr>
          <w:rFonts w:ascii="Verdana" w:hAnsi="Verdana"/>
          <w:sz w:val="20"/>
          <w:szCs w:val="20"/>
        </w:rPr>
        <w:t xml:space="preserve"> </w:t>
      </w:r>
      <w:hyperlink r:id="rId34" w:anchor=":~:text=walking%20for%2030%20minutes%20or,30%25%20lower%20among%20bike%20commuters" w:history="1">
        <w:r w:rsidR="00211ED8" w:rsidRPr="003959FE">
          <w:rPr>
            <w:rStyle w:val="Hyperlink"/>
            <w:rFonts w:ascii="Verdana" w:hAnsi="Verdana"/>
            <w:sz w:val="20"/>
            <w:szCs w:val="20"/>
          </w:rPr>
          <w:t>https://www.who.int/europe/news/item/07-06-2022-cycling-and-walking-can-help-reduce-physical-inactivity-and-air-pollution--save-lives-and-mitigate-climate-change#:~:text=walking%20for%2030%20minutes%20or,30%25%20lower%20among%20bike%20commuters</w:t>
        </w:r>
      </w:hyperlink>
    </w:p>
    <w:p w14:paraId="08665472" w14:textId="376C7844" w:rsidR="00972236" w:rsidRPr="003959FE" w:rsidRDefault="00972236" w:rsidP="00114BD0">
      <w:pPr>
        <w:pStyle w:val="ListParagraph"/>
        <w:numPr>
          <w:ilvl w:val="0"/>
          <w:numId w:val="38"/>
        </w:numPr>
        <w:spacing w:line="240" w:lineRule="auto"/>
        <w:rPr>
          <w:rFonts w:ascii="Verdana" w:hAnsi="Verdana"/>
          <w:sz w:val="20"/>
          <w:szCs w:val="20"/>
        </w:rPr>
      </w:pPr>
      <w:r w:rsidRPr="003959FE">
        <w:rPr>
          <w:rFonts w:ascii="Verdana" w:hAnsi="Verdana"/>
          <w:sz w:val="20"/>
          <w:szCs w:val="20"/>
        </w:rPr>
        <w:t xml:space="preserve">Active Kent and Medway. Active Lives Adult Survey [Internet]. Kent and Medway (UK): Active Kent and Medway; 2022 [updated 2022; cited 23 May 2023]. Available from: </w:t>
      </w:r>
      <w:hyperlink r:id="rId35" w:history="1">
        <w:r w:rsidRPr="003959FE">
          <w:rPr>
            <w:rStyle w:val="Hyperlink"/>
            <w:rFonts w:ascii="Verdana" w:hAnsi="Verdana"/>
            <w:sz w:val="20"/>
            <w:szCs w:val="20"/>
          </w:rPr>
          <w:t>https://activekent.org/support-resources/insight-2/active-lives-adults-survey/</w:t>
        </w:r>
      </w:hyperlink>
    </w:p>
    <w:p w14:paraId="088B992B" w14:textId="5D160DC6" w:rsidR="00AD7DE6" w:rsidRPr="003959FE" w:rsidRDefault="00B716F8" w:rsidP="00114BD0">
      <w:pPr>
        <w:pStyle w:val="ListParagraph"/>
        <w:numPr>
          <w:ilvl w:val="0"/>
          <w:numId w:val="38"/>
        </w:numPr>
        <w:spacing w:line="240" w:lineRule="auto"/>
        <w:rPr>
          <w:rStyle w:val="Hyperlink"/>
          <w:rFonts w:ascii="Verdana" w:hAnsi="Verdana"/>
          <w:color w:val="auto"/>
          <w:sz w:val="20"/>
          <w:szCs w:val="20"/>
          <w:u w:val="none"/>
        </w:rPr>
      </w:pPr>
      <w:r w:rsidRPr="003959FE">
        <w:rPr>
          <w:rFonts w:ascii="Verdana" w:hAnsi="Verdana"/>
          <w:sz w:val="20"/>
          <w:szCs w:val="20"/>
        </w:rPr>
        <w:t>Department for Transport. National Travel Survey: 2021 [Internet].</w:t>
      </w:r>
      <w:r w:rsidR="00AC6182" w:rsidRPr="003959FE">
        <w:rPr>
          <w:rFonts w:ascii="Verdana" w:hAnsi="Verdana"/>
          <w:sz w:val="20"/>
          <w:szCs w:val="20"/>
        </w:rPr>
        <w:t xml:space="preserve"> United Kingdom: </w:t>
      </w:r>
      <w:r w:rsidR="00971622" w:rsidRPr="003959FE">
        <w:rPr>
          <w:rFonts w:ascii="Verdana" w:hAnsi="Verdana"/>
          <w:sz w:val="20"/>
          <w:szCs w:val="20"/>
        </w:rPr>
        <w:t xml:space="preserve"> Department for Transport</w:t>
      </w:r>
      <w:r w:rsidR="00255B67" w:rsidRPr="003959FE">
        <w:rPr>
          <w:rFonts w:ascii="Verdana" w:hAnsi="Verdana"/>
          <w:sz w:val="20"/>
          <w:szCs w:val="20"/>
        </w:rPr>
        <w:t>; 202</w:t>
      </w:r>
      <w:r w:rsidR="00D31831" w:rsidRPr="003959FE">
        <w:rPr>
          <w:rFonts w:ascii="Verdana" w:hAnsi="Verdana"/>
          <w:sz w:val="20"/>
          <w:szCs w:val="20"/>
        </w:rPr>
        <w:t>2 [updated 31 Aug 2022; cited 23 May 2023]. Available from:</w:t>
      </w:r>
      <w:r w:rsidR="00211ED8" w:rsidRPr="003959FE">
        <w:rPr>
          <w:rFonts w:ascii="Verdana" w:hAnsi="Verdana"/>
          <w:sz w:val="20"/>
          <w:szCs w:val="20"/>
        </w:rPr>
        <w:t xml:space="preserve"> </w:t>
      </w:r>
      <w:hyperlink r:id="rId36" w:history="1">
        <w:r w:rsidR="00211ED8" w:rsidRPr="003959FE">
          <w:rPr>
            <w:rStyle w:val="Hyperlink"/>
            <w:rFonts w:ascii="Verdana" w:hAnsi="Verdana"/>
            <w:sz w:val="20"/>
            <w:szCs w:val="20"/>
          </w:rPr>
          <w:t>https://www.gov.uk/government/statistics/national-travel-survey-2021/national-travel-survey-2021-mode-share-journey-lengths-and-public-transport-use</w:t>
        </w:r>
      </w:hyperlink>
    </w:p>
    <w:p w14:paraId="01A9AB52" w14:textId="14712A12" w:rsidR="003959FE" w:rsidRPr="003959FE" w:rsidRDefault="00F57042" w:rsidP="00114BD0">
      <w:pPr>
        <w:pStyle w:val="ListParagraph"/>
        <w:numPr>
          <w:ilvl w:val="0"/>
          <w:numId w:val="38"/>
        </w:numPr>
        <w:spacing w:line="240" w:lineRule="auto"/>
        <w:rPr>
          <w:rStyle w:val="Hyperlink"/>
          <w:rFonts w:ascii="Verdana" w:hAnsi="Verdana"/>
          <w:color w:val="auto"/>
          <w:sz w:val="20"/>
          <w:szCs w:val="20"/>
          <w:u w:val="none"/>
        </w:rPr>
      </w:pPr>
      <w:r w:rsidRPr="003959FE">
        <w:rPr>
          <w:rFonts w:ascii="Verdana" w:hAnsi="Verdana"/>
          <w:sz w:val="20"/>
          <w:szCs w:val="20"/>
        </w:rPr>
        <w:t>Chartered Institute of Public Finance and Accountancy. Nearest Neighbours Model (England)</w:t>
      </w:r>
      <w:r w:rsidR="00943A4D" w:rsidRPr="003959FE">
        <w:rPr>
          <w:rFonts w:ascii="Verdana" w:hAnsi="Verdana"/>
          <w:sz w:val="20"/>
          <w:szCs w:val="20"/>
        </w:rPr>
        <w:t xml:space="preserve"> [Internet]. United Kingdom: CIPFA;</w:t>
      </w:r>
      <w:r w:rsidR="009F75FA" w:rsidRPr="003959FE">
        <w:rPr>
          <w:rFonts w:ascii="Verdana" w:hAnsi="Verdana"/>
          <w:sz w:val="20"/>
          <w:szCs w:val="20"/>
        </w:rPr>
        <w:t xml:space="preserve"> 2020 [updated 2020; cited 1 Jun</w:t>
      </w:r>
      <w:r w:rsidR="003B46B1">
        <w:rPr>
          <w:rFonts w:ascii="Verdana" w:hAnsi="Verdana"/>
          <w:sz w:val="20"/>
          <w:szCs w:val="20"/>
        </w:rPr>
        <w:t>e</w:t>
      </w:r>
      <w:r w:rsidR="009F75FA" w:rsidRPr="003959FE">
        <w:rPr>
          <w:rFonts w:ascii="Verdana" w:hAnsi="Verdana"/>
          <w:sz w:val="20"/>
          <w:szCs w:val="20"/>
        </w:rPr>
        <w:t xml:space="preserve"> 2023]. Available from: </w:t>
      </w:r>
      <w:hyperlink r:id="rId37" w:history="1">
        <w:r w:rsidR="009F75FA" w:rsidRPr="003959FE">
          <w:rPr>
            <w:rStyle w:val="Hyperlink"/>
            <w:rFonts w:ascii="Verdana" w:hAnsi="Verdana"/>
            <w:sz w:val="20"/>
            <w:szCs w:val="20"/>
          </w:rPr>
          <w:t>https://www.cipfa.org/services/cipfastats/nearest-neighbour-model</w:t>
        </w:r>
      </w:hyperlink>
    </w:p>
    <w:p w14:paraId="791EBF84" w14:textId="7F9BF104" w:rsidR="003959FE" w:rsidRPr="003959FE" w:rsidRDefault="005E5E39" w:rsidP="00114BD0">
      <w:pPr>
        <w:pStyle w:val="ListParagraph"/>
        <w:numPr>
          <w:ilvl w:val="0"/>
          <w:numId w:val="38"/>
        </w:numPr>
        <w:spacing w:line="240" w:lineRule="auto"/>
        <w:rPr>
          <w:rStyle w:val="Hyperlink"/>
          <w:rFonts w:ascii="Verdana" w:hAnsi="Verdana"/>
          <w:color w:val="auto"/>
          <w:sz w:val="20"/>
          <w:szCs w:val="20"/>
          <w:u w:val="none"/>
        </w:rPr>
      </w:pPr>
      <w:r w:rsidRPr="003959FE">
        <w:rPr>
          <w:rStyle w:val="Hyperlink"/>
          <w:rFonts w:ascii="Verdana" w:hAnsi="Verdana"/>
          <w:color w:val="auto"/>
          <w:sz w:val="20"/>
          <w:szCs w:val="20"/>
          <w:u w:val="none"/>
        </w:rPr>
        <w:t>Department for Transport. The impact of the coronavirus pandemic on walking and cycling statistics, England: 2020</w:t>
      </w:r>
      <w:r w:rsidR="003959FE" w:rsidRPr="003959FE">
        <w:rPr>
          <w:rStyle w:val="Hyperlink"/>
          <w:rFonts w:ascii="Verdana" w:hAnsi="Verdana"/>
          <w:color w:val="auto"/>
          <w:sz w:val="20"/>
          <w:szCs w:val="20"/>
          <w:u w:val="none"/>
        </w:rPr>
        <w:t xml:space="preserve"> [Internet]. United Kingdom: Department for Transport; 2021 [updated 22 Sep 2021; cited 13 Jun</w:t>
      </w:r>
      <w:r w:rsidR="003B46B1">
        <w:rPr>
          <w:rStyle w:val="Hyperlink"/>
          <w:rFonts w:ascii="Verdana" w:hAnsi="Verdana"/>
          <w:color w:val="auto"/>
          <w:sz w:val="20"/>
          <w:szCs w:val="20"/>
          <w:u w:val="none"/>
        </w:rPr>
        <w:t>e</w:t>
      </w:r>
      <w:r w:rsidR="003959FE" w:rsidRPr="003959FE">
        <w:rPr>
          <w:rStyle w:val="Hyperlink"/>
          <w:rFonts w:ascii="Verdana" w:hAnsi="Verdana"/>
          <w:color w:val="auto"/>
          <w:sz w:val="20"/>
          <w:szCs w:val="20"/>
          <w:u w:val="none"/>
        </w:rPr>
        <w:t xml:space="preserve"> 2023]. Available from:</w:t>
      </w:r>
      <w:r w:rsidR="0015750B">
        <w:rPr>
          <w:rStyle w:val="Hyperlink"/>
          <w:rFonts w:ascii="Verdana" w:hAnsi="Verdana"/>
          <w:color w:val="auto"/>
          <w:sz w:val="20"/>
          <w:szCs w:val="20"/>
          <w:u w:val="none"/>
        </w:rPr>
        <w:t xml:space="preserve"> </w:t>
      </w:r>
      <w:hyperlink r:id="rId38" w:anchor=":~:text=different%20data%20sources.-,Main%20findings,and%20walks%20over%20a%20mile" w:history="1">
        <w:r w:rsidR="0015750B" w:rsidRPr="000121AD">
          <w:rPr>
            <w:rStyle w:val="Hyperlink"/>
            <w:rFonts w:ascii="Verdana" w:hAnsi="Verdana"/>
            <w:sz w:val="20"/>
            <w:szCs w:val="20"/>
          </w:rPr>
          <w:t>https://www.gov.uk/government/statistics/walking-and-cycling-statistics-england-2020/the-impact-of-the-coronavirus-pandemic-on-walking-and-cycling-statistics-england-2020#:~:text=different%20data%20sources.-,Main%20findings,and%20walks%20over%20a%20mile</w:t>
        </w:r>
      </w:hyperlink>
      <w:r w:rsidR="003959FE" w:rsidRPr="003959FE">
        <w:rPr>
          <w:rStyle w:val="Hyperlink"/>
          <w:rFonts w:ascii="Verdana" w:hAnsi="Verdana"/>
          <w:color w:val="auto"/>
          <w:sz w:val="20"/>
          <w:szCs w:val="20"/>
          <w:u w:val="none"/>
        </w:rPr>
        <w:t>.</w:t>
      </w:r>
    </w:p>
    <w:p w14:paraId="18422E6B" w14:textId="2A7CB268" w:rsidR="003959FE" w:rsidRPr="009F7F39" w:rsidRDefault="003959FE" w:rsidP="00114BD0">
      <w:pPr>
        <w:pStyle w:val="ListParagraph"/>
        <w:numPr>
          <w:ilvl w:val="0"/>
          <w:numId w:val="38"/>
        </w:numPr>
        <w:spacing w:line="240" w:lineRule="auto"/>
        <w:rPr>
          <w:rStyle w:val="Hyperlink"/>
          <w:rFonts w:ascii="Verdana" w:hAnsi="Verdana"/>
          <w:color w:val="auto"/>
          <w:sz w:val="20"/>
          <w:szCs w:val="20"/>
          <w:u w:val="none"/>
        </w:rPr>
      </w:pPr>
      <w:r w:rsidRPr="003959FE">
        <w:rPr>
          <w:rStyle w:val="Hyperlink"/>
          <w:rFonts w:ascii="Verdana" w:hAnsi="Verdana"/>
          <w:color w:val="auto"/>
          <w:sz w:val="20"/>
          <w:szCs w:val="20"/>
          <w:u w:val="none"/>
        </w:rPr>
        <w:t>Department of Health and Social Care. Local COVID-19 alert level update: 15 October 2020 [Internet]. United Kingdom: Department of Health and Social Care; 2020 [updated 12 Oct 2020; cited 13 Jun</w:t>
      </w:r>
      <w:r w:rsidR="003B46B1">
        <w:rPr>
          <w:rStyle w:val="Hyperlink"/>
          <w:rFonts w:ascii="Verdana" w:hAnsi="Verdana"/>
          <w:color w:val="auto"/>
          <w:sz w:val="20"/>
          <w:szCs w:val="20"/>
          <w:u w:val="none"/>
        </w:rPr>
        <w:t>e</w:t>
      </w:r>
      <w:r w:rsidRPr="003959FE">
        <w:rPr>
          <w:rStyle w:val="Hyperlink"/>
          <w:rFonts w:ascii="Verdana" w:hAnsi="Verdana"/>
          <w:color w:val="auto"/>
          <w:sz w:val="20"/>
          <w:szCs w:val="20"/>
          <w:u w:val="none"/>
        </w:rPr>
        <w:t xml:space="preserve"> 2023]. Available from: </w:t>
      </w:r>
      <w:hyperlink r:id="rId39" w:history="1">
        <w:r w:rsidRPr="003959FE">
          <w:rPr>
            <w:rStyle w:val="Hyperlink"/>
            <w:rFonts w:ascii="Verdana" w:hAnsi="Verdana"/>
            <w:sz w:val="20"/>
            <w:szCs w:val="20"/>
          </w:rPr>
          <w:t>https://www.gov.uk/government/news/local-covid-19-alert-level-update-15-october-2020</w:t>
        </w:r>
      </w:hyperlink>
    </w:p>
    <w:p w14:paraId="467C4ED9" w14:textId="4BF1E226" w:rsidR="009F7F39" w:rsidRPr="009F7F39" w:rsidRDefault="009F7F39" w:rsidP="009F7F39">
      <w:pPr>
        <w:pStyle w:val="ListParagraph"/>
        <w:numPr>
          <w:ilvl w:val="0"/>
          <w:numId w:val="38"/>
        </w:numPr>
        <w:spacing w:after="200"/>
        <w:rPr>
          <w:rStyle w:val="Hyperlink"/>
          <w:rFonts w:ascii="Verdana" w:hAnsi="Verdana"/>
          <w:color w:val="auto"/>
          <w:sz w:val="20"/>
          <w:szCs w:val="20"/>
          <w:u w:val="none"/>
        </w:rPr>
      </w:pPr>
      <w:r w:rsidRPr="009F7F39">
        <w:rPr>
          <w:rFonts w:ascii="Verdana" w:hAnsi="Verdana"/>
          <w:sz w:val="20"/>
          <w:szCs w:val="20"/>
        </w:rPr>
        <w:t xml:space="preserve">Office for National Statistics. Homeworking in the UK – regional patterns: 2019 to 2022 [Internet]. United Kingdom: Office for National Statistics; 2022 [updated 11 July 2022; cited 11 July 2023]. Available from: </w:t>
      </w:r>
      <w:hyperlink r:id="rId40" w:history="1">
        <w:r w:rsidRPr="009F7F39">
          <w:rPr>
            <w:rStyle w:val="Hyperlink"/>
            <w:rFonts w:ascii="Verdana" w:hAnsi="Verdana"/>
            <w:sz w:val="20"/>
            <w:szCs w:val="20"/>
          </w:rPr>
          <w:t>https://www.ons.gov.uk/employmentandlabourmarket/peopleinwork/employmentandemployeetypes/articles/homeworkingintheukregionalpatterns/2019to2022</w:t>
        </w:r>
      </w:hyperlink>
    </w:p>
    <w:p w14:paraId="023EB1E6" w14:textId="481BDC06" w:rsidR="009F7F39" w:rsidRDefault="003A496A" w:rsidP="009F7F39">
      <w:pPr>
        <w:pStyle w:val="ListParagraph"/>
        <w:numPr>
          <w:ilvl w:val="0"/>
          <w:numId w:val="38"/>
        </w:numPr>
        <w:spacing w:line="240" w:lineRule="auto"/>
        <w:rPr>
          <w:rStyle w:val="Hyperlink"/>
          <w:rFonts w:ascii="Verdana" w:hAnsi="Verdana"/>
          <w:sz w:val="20"/>
          <w:szCs w:val="20"/>
        </w:rPr>
      </w:pPr>
      <w:r w:rsidRPr="003959FE">
        <w:rPr>
          <w:rFonts w:ascii="Verdana" w:hAnsi="Verdana"/>
          <w:sz w:val="20"/>
          <w:szCs w:val="20"/>
        </w:rPr>
        <w:t xml:space="preserve">Arup. Cycling for Everyone [Internet]. United Kingdom: Arup and </w:t>
      </w:r>
      <w:proofErr w:type="spellStart"/>
      <w:r w:rsidRPr="003959FE">
        <w:rPr>
          <w:rFonts w:ascii="Verdana" w:hAnsi="Verdana"/>
          <w:sz w:val="20"/>
          <w:szCs w:val="20"/>
        </w:rPr>
        <w:t>Sustrans</w:t>
      </w:r>
      <w:proofErr w:type="spellEnd"/>
      <w:r w:rsidRPr="003959FE">
        <w:rPr>
          <w:rFonts w:ascii="Verdana" w:hAnsi="Verdana"/>
          <w:sz w:val="20"/>
          <w:szCs w:val="20"/>
        </w:rPr>
        <w:t>; 2020 [updated 28 Jul</w:t>
      </w:r>
      <w:r w:rsidR="005E1548">
        <w:rPr>
          <w:rFonts w:ascii="Verdana" w:hAnsi="Verdana"/>
          <w:sz w:val="20"/>
          <w:szCs w:val="20"/>
        </w:rPr>
        <w:t>y</w:t>
      </w:r>
      <w:r w:rsidRPr="003959FE">
        <w:rPr>
          <w:rFonts w:ascii="Verdana" w:hAnsi="Verdana"/>
          <w:sz w:val="20"/>
          <w:szCs w:val="20"/>
        </w:rPr>
        <w:t xml:space="preserve"> 2020; cited 23 May 2023]. Available from: </w:t>
      </w:r>
      <w:hyperlink r:id="rId41" w:history="1">
        <w:r w:rsidRPr="003959FE">
          <w:rPr>
            <w:rStyle w:val="Hyperlink"/>
            <w:rFonts w:ascii="Verdana" w:hAnsi="Verdana"/>
            <w:sz w:val="20"/>
            <w:szCs w:val="20"/>
          </w:rPr>
          <w:t>https://www.arup.com/perspectives/publications/research/section/cycling-for-everyone-a-guide-for-inclusive-cycling-in-cities-and-towns</w:t>
        </w:r>
      </w:hyperlink>
    </w:p>
    <w:p w14:paraId="6FD4B66E" w14:textId="77777777" w:rsidR="009F7F39" w:rsidRDefault="009F7F39">
      <w:pPr>
        <w:spacing w:before="0" w:after="200"/>
        <w:rPr>
          <w:rStyle w:val="Hyperlink"/>
          <w:rFonts w:ascii="Verdana" w:eastAsiaTheme="minorHAnsi" w:hAnsi="Verdana" w:cstheme="minorBidi"/>
          <w:sz w:val="20"/>
          <w:szCs w:val="20"/>
          <w:lang w:eastAsia="en-US"/>
        </w:rPr>
      </w:pPr>
      <w:r>
        <w:rPr>
          <w:rStyle w:val="Hyperlink"/>
          <w:rFonts w:ascii="Verdana" w:hAnsi="Verdana"/>
          <w:sz w:val="20"/>
          <w:szCs w:val="20"/>
        </w:rPr>
        <w:br w:type="page"/>
      </w:r>
    </w:p>
    <w:p w14:paraId="3DF6CB7B" w14:textId="507372DA" w:rsidR="00211ED8" w:rsidRPr="00462048" w:rsidRDefault="00211ED8" w:rsidP="00211ED8">
      <w:pPr>
        <w:pStyle w:val="Heading2"/>
        <w:rPr>
          <w:rFonts w:ascii="Verdana" w:hAnsi="Verdana"/>
          <w:sz w:val="36"/>
          <w:szCs w:val="36"/>
        </w:rPr>
      </w:pPr>
      <w:bookmarkStart w:id="15" w:name="_Toc139375904"/>
      <w:r w:rsidRPr="00462048">
        <w:rPr>
          <w:rFonts w:ascii="Verdana" w:hAnsi="Verdana"/>
          <w:sz w:val="36"/>
          <w:szCs w:val="36"/>
        </w:rPr>
        <w:lastRenderedPageBreak/>
        <w:t xml:space="preserve">Supplementary data </w:t>
      </w:r>
      <w:r>
        <w:rPr>
          <w:rFonts w:ascii="Verdana" w:hAnsi="Verdana"/>
          <w:sz w:val="36"/>
          <w:szCs w:val="36"/>
        </w:rPr>
        <w:t>(Census 2021)</w:t>
      </w:r>
      <w:bookmarkEnd w:id="15"/>
    </w:p>
    <w:p w14:paraId="3FE903B4" w14:textId="149059D2" w:rsidR="00211ED8" w:rsidRDefault="00211ED8" w:rsidP="00211ED8">
      <w:pPr>
        <w:rPr>
          <w:rFonts w:ascii="Verdana" w:hAnsi="Verdana"/>
          <w:sz w:val="22"/>
          <w:szCs w:val="22"/>
        </w:rPr>
      </w:pPr>
      <w:r w:rsidRPr="00812010">
        <w:rPr>
          <w:rFonts w:ascii="Verdana" w:hAnsi="Verdana"/>
          <w:sz w:val="22"/>
          <w:szCs w:val="22"/>
        </w:rPr>
        <w:t xml:space="preserve">Data from the most recent census has been included below </w:t>
      </w:r>
      <w:r>
        <w:rPr>
          <w:rFonts w:ascii="Verdana" w:hAnsi="Verdana"/>
          <w:sz w:val="22"/>
          <w:szCs w:val="22"/>
        </w:rPr>
        <w:t xml:space="preserve">in Figure </w:t>
      </w:r>
      <w:r w:rsidR="00EC6EBF">
        <w:rPr>
          <w:rFonts w:ascii="Verdana" w:hAnsi="Verdana"/>
          <w:sz w:val="22"/>
          <w:szCs w:val="22"/>
        </w:rPr>
        <w:t>16</w:t>
      </w:r>
      <w:r>
        <w:rPr>
          <w:rFonts w:ascii="Verdana" w:hAnsi="Verdana"/>
          <w:sz w:val="22"/>
          <w:szCs w:val="22"/>
        </w:rPr>
        <w:t xml:space="preserve"> </w:t>
      </w:r>
      <w:r w:rsidRPr="00812010">
        <w:rPr>
          <w:rFonts w:ascii="Verdana" w:hAnsi="Verdana"/>
          <w:sz w:val="22"/>
          <w:szCs w:val="22"/>
        </w:rPr>
        <w:t xml:space="preserve">to provide a possible explanation for why rates </w:t>
      </w:r>
      <w:r>
        <w:rPr>
          <w:rFonts w:ascii="Verdana" w:hAnsi="Verdana"/>
          <w:sz w:val="22"/>
          <w:szCs w:val="22"/>
        </w:rPr>
        <w:t xml:space="preserve">of walking or cycling for travel </w:t>
      </w:r>
      <w:r w:rsidRPr="00812010">
        <w:rPr>
          <w:rFonts w:ascii="Verdana" w:hAnsi="Verdana"/>
          <w:sz w:val="22"/>
          <w:szCs w:val="22"/>
        </w:rPr>
        <w:t>may be highe</w:t>
      </w:r>
      <w:r>
        <w:rPr>
          <w:rFonts w:ascii="Verdana" w:hAnsi="Verdana"/>
          <w:sz w:val="22"/>
          <w:szCs w:val="22"/>
        </w:rPr>
        <w:t xml:space="preserve">r or </w:t>
      </w:r>
      <w:r w:rsidRPr="00812010">
        <w:rPr>
          <w:rFonts w:ascii="Verdana" w:hAnsi="Verdana"/>
          <w:sz w:val="22"/>
          <w:szCs w:val="22"/>
        </w:rPr>
        <w:t>lower in some districts. In terms of walking for travel</w:t>
      </w:r>
      <w:r>
        <w:rPr>
          <w:rFonts w:ascii="Verdana" w:hAnsi="Verdana"/>
          <w:sz w:val="22"/>
          <w:szCs w:val="22"/>
        </w:rPr>
        <w:t>,</w:t>
      </w:r>
      <w:r w:rsidRPr="00812010">
        <w:rPr>
          <w:rFonts w:ascii="Verdana" w:hAnsi="Verdana"/>
          <w:sz w:val="22"/>
          <w:szCs w:val="22"/>
        </w:rPr>
        <w:t xml:space="preserve"> the Census data seems to coincide with a lot of but not all </w:t>
      </w:r>
      <w:r>
        <w:rPr>
          <w:rFonts w:ascii="Verdana" w:hAnsi="Verdana"/>
          <w:sz w:val="22"/>
          <w:szCs w:val="22"/>
        </w:rPr>
        <w:t xml:space="preserve">the </w:t>
      </w:r>
      <w:r w:rsidRPr="00812010">
        <w:rPr>
          <w:rFonts w:ascii="Verdana" w:hAnsi="Verdana"/>
          <w:sz w:val="22"/>
          <w:szCs w:val="22"/>
        </w:rPr>
        <w:t>results from this study, whereas the relationship with cycling for travel is much less clear.</w:t>
      </w:r>
    </w:p>
    <w:p w14:paraId="693FD7F2" w14:textId="77777777" w:rsidR="00211ED8" w:rsidRDefault="00211ED8" w:rsidP="00211ED8">
      <w:pPr>
        <w:rPr>
          <w:rFonts w:ascii="Verdana" w:hAnsi="Verdana"/>
          <w:sz w:val="22"/>
          <w:szCs w:val="22"/>
        </w:rPr>
      </w:pPr>
      <w:r>
        <w:rPr>
          <w:rFonts w:ascii="Verdana" w:hAnsi="Verdana"/>
          <w:sz w:val="22"/>
          <w:szCs w:val="22"/>
        </w:rPr>
        <w:t>Another potential reason for this variation could be a lack of suitable roads or sparse distances between amenities discouraging people from using Active Travel. In rural areas, this is likely to be a greater issue, however, poor planning or infrastructure in towns and cities can also make Active Travel more difficult</w:t>
      </w:r>
      <w:r>
        <w:rPr>
          <w:rFonts w:ascii="Verdana" w:hAnsi="Verdana"/>
          <w:sz w:val="22"/>
          <w:szCs w:val="22"/>
          <w:vertAlign w:val="superscript"/>
        </w:rPr>
        <w:t>1</w:t>
      </w:r>
      <w:r>
        <w:rPr>
          <w:rFonts w:ascii="Verdana" w:hAnsi="Verdana"/>
          <w:sz w:val="22"/>
          <w:szCs w:val="22"/>
        </w:rPr>
        <w:t>.</w:t>
      </w:r>
    </w:p>
    <w:p w14:paraId="514C4AA9" w14:textId="11FD3A4E" w:rsidR="00211ED8" w:rsidRPr="00CE5181" w:rsidRDefault="00211ED8" w:rsidP="00CE5181">
      <w:pPr>
        <w:spacing w:line="240" w:lineRule="auto"/>
        <w:rPr>
          <w:rFonts w:ascii="Verdana" w:hAnsi="Verdana"/>
          <w:b/>
          <w:bCs/>
          <w:sz w:val="22"/>
          <w:szCs w:val="22"/>
        </w:rPr>
      </w:pPr>
      <w:r w:rsidRPr="00CE5181">
        <w:rPr>
          <w:rFonts w:ascii="Verdana" w:hAnsi="Verdana"/>
          <w:b/>
          <w:bCs/>
          <w:sz w:val="22"/>
          <w:szCs w:val="22"/>
        </w:rPr>
        <w:t xml:space="preserve">Figure </w:t>
      </w:r>
      <w:r w:rsidR="00EC6EBF" w:rsidRPr="00CE5181">
        <w:rPr>
          <w:rFonts w:ascii="Verdana" w:hAnsi="Verdana"/>
          <w:b/>
          <w:bCs/>
          <w:sz w:val="22"/>
          <w:szCs w:val="22"/>
        </w:rPr>
        <w:t>16</w:t>
      </w:r>
      <w:r w:rsidRPr="00CE5181">
        <w:rPr>
          <w:rFonts w:ascii="Verdana" w:hAnsi="Verdana"/>
          <w:b/>
          <w:bCs/>
          <w:sz w:val="22"/>
          <w:szCs w:val="22"/>
        </w:rPr>
        <w:t>. Bar chart showing the proportion of households without access to one or more personal cars or vans.</w:t>
      </w:r>
      <w:r w:rsidRPr="00CE5181">
        <w:rPr>
          <w:rFonts w:ascii="Verdana" w:hAnsi="Verdana"/>
          <w:b/>
          <w:bCs/>
          <w:noProof/>
          <w:sz w:val="22"/>
          <w:szCs w:val="22"/>
        </w:rPr>
        <w:drawing>
          <wp:inline distT="0" distB="0" distL="0" distR="0" wp14:anchorId="014F7548" wp14:editId="6052FFD4">
            <wp:extent cx="5731510" cy="3029739"/>
            <wp:effectExtent l="0" t="0" r="2540" b="0"/>
            <wp:docPr id="1413007472" name="Picture 1413007472" descr="This figure is a bar chart showing the proportion of the households from each Kent district without any cars or vans. This is compared with the Kent average. Ashford, Dartford, Maidstone, Sevenoaks, Swale, Tonbridge and Malling and Tunbridge Wells fall below the Kent average. Canterbury, Dover, Gravesham, Folkestone and Hythe and Thanet lie above the Kent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4745" name="Picture 23" descr="This figure is a bar chart showing the proportion of the households from each Kent district without any cars or vans. This is compared with the Kent average. Ashford, Dartford, Maidstone, Sevenoaks, Swale, Tonbridge and Malling and Tunbridge Wells fall below the Kent average. Canterbury, Dover, Gravesham, Folkestone and Hythe and Thanet lie above the Kent average.&#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029739"/>
                    </a:xfrm>
                    <a:prstGeom prst="rect">
                      <a:avLst/>
                    </a:prstGeom>
                    <a:noFill/>
                  </pic:spPr>
                </pic:pic>
              </a:graphicData>
            </a:graphic>
          </wp:inline>
        </w:drawing>
      </w:r>
    </w:p>
    <w:p w14:paraId="64236C18" w14:textId="780A03A3" w:rsidR="00211ED8" w:rsidRDefault="00211ED8">
      <w:pPr>
        <w:spacing w:before="0" w:after="200"/>
        <w:rPr>
          <w:rFonts w:ascii="Verdana" w:hAnsi="Verdana"/>
        </w:rPr>
      </w:pPr>
      <w:r>
        <w:rPr>
          <w:rFonts w:ascii="Verdana" w:hAnsi="Verdana"/>
        </w:rPr>
        <w:br w:type="page"/>
      </w:r>
    </w:p>
    <w:p w14:paraId="38823089" w14:textId="780A03A3" w:rsidR="00C61873" w:rsidRDefault="00C61873" w:rsidP="00D76E32">
      <w:pPr>
        <w:pStyle w:val="Heading2"/>
        <w:rPr>
          <w:rFonts w:ascii="Verdana" w:hAnsi="Verdana"/>
          <w:sz w:val="36"/>
          <w:szCs w:val="36"/>
        </w:rPr>
      </w:pPr>
      <w:bookmarkStart w:id="16" w:name="_Toc139375905"/>
      <w:r w:rsidRPr="00462048">
        <w:rPr>
          <w:rFonts w:ascii="Verdana" w:hAnsi="Verdana"/>
          <w:sz w:val="36"/>
          <w:szCs w:val="36"/>
        </w:rPr>
        <w:lastRenderedPageBreak/>
        <w:t>Appendi</w:t>
      </w:r>
      <w:r w:rsidR="00C33270">
        <w:rPr>
          <w:rFonts w:ascii="Verdana" w:hAnsi="Verdana"/>
          <w:sz w:val="36"/>
          <w:szCs w:val="36"/>
        </w:rPr>
        <w:t>ces</w:t>
      </w:r>
      <w:bookmarkEnd w:id="16"/>
    </w:p>
    <w:p w14:paraId="32670BC7" w14:textId="3384B03D" w:rsidR="00C33270" w:rsidRPr="002214A3" w:rsidRDefault="00C33270" w:rsidP="00C33270">
      <w:pPr>
        <w:pStyle w:val="Heading3"/>
        <w:rPr>
          <w:rFonts w:ascii="Verdana" w:hAnsi="Verdana"/>
        </w:rPr>
      </w:pPr>
      <w:bookmarkStart w:id="17" w:name="_Toc139375906"/>
      <w:r w:rsidRPr="002214A3">
        <w:rPr>
          <w:rFonts w:ascii="Verdana" w:hAnsi="Verdana"/>
          <w:sz w:val="22"/>
          <w:szCs w:val="22"/>
        </w:rPr>
        <w:t>Appendix 1</w:t>
      </w:r>
      <w:r w:rsidR="00423D6D" w:rsidRPr="002214A3">
        <w:rPr>
          <w:rFonts w:ascii="Verdana" w:hAnsi="Verdana"/>
          <w:sz w:val="22"/>
          <w:szCs w:val="22"/>
        </w:rPr>
        <w:t>.</w:t>
      </w:r>
      <w:r w:rsidR="00704C2C" w:rsidRPr="002214A3">
        <w:rPr>
          <w:rFonts w:ascii="Verdana" w:hAnsi="Verdana"/>
          <w:sz w:val="22"/>
          <w:szCs w:val="22"/>
        </w:rPr>
        <w:t xml:space="preserve"> A list of the datasets included in the statistical release analysed by the present report</w:t>
      </w:r>
      <w:r w:rsidR="006532EB" w:rsidRPr="002214A3">
        <w:rPr>
          <w:rFonts w:ascii="Verdana" w:hAnsi="Verdana"/>
          <w:sz w:val="22"/>
          <w:szCs w:val="22"/>
        </w:rPr>
        <w:t>.</w:t>
      </w:r>
      <w:bookmarkEnd w:id="17"/>
    </w:p>
    <w:p w14:paraId="4B3F4F0F" w14:textId="76312280" w:rsidR="00A6578E" w:rsidRPr="0071749D" w:rsidRDefault="00A6578E" w:rsidP="0086404F">
      <w:pPr>
        <w:rPr>
          <w:rFonts w:ascii="Verdana" w:hAnsi="Verdana"/>
          <w:sz w:val="22"/>
          <w:szCs w:val="22"/>
        </w:rPr>
      </w:pPr>
      <w:r w:rsidRPr="0071749D">
        <w:rPr>
          <w:rFonts w:ascii="Verdana" w:hAnsi="Verdana"/>
          <w:b/>
          <w:bCs/>
          <w:sz w:val="22"/>
          <w:szCs w:val="22"/>
        </w:rPr>
        <w:t>Cw0301:</w:t>
      </w:r>
      <w:r w:rsidRPr="0071749D">
        <w:rPr>
          <w:rFonts w:ascii="Verdana" w:hAnsi="Verdana"/>
          <w:sz w:val="22"/>
          <w:szCs w:val="22"/>
        </w:rPr>
        <w:t xml:space="preserve"> Proportion of adults who do any walking or cycling, for any purpose, by frequency and local authority, England, November 2015 to November 2021</w:t>
      </w:r>
    </w:p>
    <w:p w14:paraId="56C8CE3C" w14:textId="7D81B062" w:rsidR="00A6578E" w:rsidRPr="0071749D" w:rsidRDefault="00A6578E" w:rsidP="0086404F">
      <w:pPr>
        <w:rPr>
          <w:rFonts w:ascii="Verdana" w:hAnsi="Verdana"/>
          <w:sz w:val="22"/>
          <w:szCs w:val="22"/>
        </w:rPr>
      </w:pPr>
      <w:r w:rsidRPr="0071749D">
        <w:rPr>
          <w:rFonts w:ascii="Verdana" w:hAnsi="Verdana"/>
          <w:b/>
          <w:bCs/>
          <w:sz w:val="22"/>
          <w:szCs w:val="22"/>
        </w:rPr>
        <w:t>Cw0302:</w:t>
      </w:r>
      <w:r w:rsidRPr="0071749D">
        <w:rPr>
          <w:rFonts w:ascii="Verdana" w:hAnsi="Verdana"/>
          <w:sz w:val="22"/>
          <w:szCs w:val="22"/>
        </w:rPr>
        <w:t xml:space="preserve"> Proportion of adults who cycle, by purpose, frequency, and local authority, England, November 2015 to November 2021</w:t>
      </w:r>
    </w:p>
    <w:p w14:paraId="709CC131" w14:textId="4AE4CBBB" w:rsidR="00A6578E" w:rsidRPr="0071749D" w:rsidRDefault="00A6578E" w:rsidP="0086404F">
      <w:pPr>
        <w:rPr>
          <w:rFonts w:ascii="Verdana" w:hAnsi="Verdana"/>
          <w:sz w:val="22"/>
          <w:szCs w:val="22"/>
        </w:rPr>
      </w:pPr>
      <w:r w:rsidRPr="0071749D">
        <w:rPr>
          <w:rFonts w:ascii="Verdana" w:hAnsi="Verdana"/>
          <w:b/>
          <w:bCs/>
          <w:sz w:val="22"/>
          <w:szCs w:val="22"/>
        </w:rPr>
        <w:t>Cw0303:</w:t>
      </w:r>
      <w:r w:rsidRPr="0071749D">
        <w:rPr>
          <w:rFonts w:ascii="Verdana" w:hAnsi="Verdana"/>
          <w:sz w:val="22"/>
          <w:szCs w:val="22"/>
        </w:rPr>
        <w:t xml:space="preserve"> Proportion of adults who walk, by purpose, frequency, and local authority, England, November 2015 to November 2021</w:t>
      </w:r>
    </w:p>
    <w:p w14:paraId="48AC5622" w14:textId="432088AD" w:rsidR="00A6578E" w:rsidRPr="0071749D" w:rsidRDefault="00A6578E" w:rsidP="0086404F">
      <w:pPr>
        <w:rPr>
          <w:rFonts w:ascii="Verdana" w:hAnsi="Verdana"/>
          <w:sz w:val="22"/>
          <w:szCs w:val="22"/>
        </w:rPr>
      </w:pPr>
      <w:r w:rsidRPr="0071749D">
        <w:rPr>
          <w:rFonts w:ascii="Verdana" w:hAnsi="Verdana"/>
          <w:b/>
          <w:bCs/>
          <w:sz w:val="22"/>
          <w:szCs w:val="22"/>
        </w:rPr>
        <w:t>Cw0304:</w:t>
      </w:r>
      <w:r w:rsidRPr="0071749D">
        <w:rPr>
          <w:rFonts w:ascii="Verdana" w:hAnsi="Verdana"/>
          <w:sz w:val="22"/>
          <w:szCs w:val="22"/>
        </w:rPr>
        <w:t xml:space="preserve"> Usual time spent per day walking or cycling, by purpose, and time interval, England, November 2015 to November 2021</w:t>
      </w:r>
    </w:p>
    <w:p w14:paraId="16712E65" w14:textId="468FFFD9" w:rsidR="00A6578E" w:rsidRPr="0071749D" w:rsidRDefault="00A6578E" w:rsidP="0086404F">
      <w:pPr>
        <w:rPr>
          <w:rFonts w:ascii="Verdana" w:hAnsi="Verdana"/>
          <w:sz w:val="22"/>
          <w:szCs w:val="22"/>
        </w:rPr>
      </w:pPr>
      <w:r w:rsidRPr="0071749D">
        <w:rPr>
          <w:rFonts w:ascii="Verdana" w:hAnsi="Verdana"/>
          <w:b/>
          <w:bCs/>
          <w:sz w:val="22"/>
          <w:szCs w:val="22"/>
        </w:rPr>
        <w:t>Cw0305:</w:t>
      </w:r>
      <w:r w:rsidRPr="0071749D">
        <w:rPr>
          <w:rFonts w:ascii="Verdana" w:hAnsi="Verdana"/>
          <w:sz w:val="22"/>
          <w:szCs w:val="22"/>
        </w:rPr>
        <w:t xml:space="preserve"> Proportion of adults who cycle, by purpose, frequency, and demographic, England, November 2015 to November 2021</w:t>
      </w:r>
    </w:p>
    <w:p w14:paraId="0F0D9C94" w14:textId="0F6D7975" w:rsidR="00A6578E" w:rsidRPr="0071749D" w:rsidRDefault="00A6578E" w:rsidP="0086404F">
      <w:pPr>
        <w:rPr>
          <w:rFonts w:ascii="Verdana" w:hAnsi="Verdana"/>
          <w:sz w:val="22"/>
          <w:szCs w:val="22"/>
        </w:rPr>
      </w:pPr>
      <w:r w:rsidRPr="0071749D">
        <w:rPr>
          <w:rFonts w:ascii="Verdana" w:hAnsi="Verdana"/>
          <w:b/>
          <w:bCs/>
          <w:sz w:val="22"/>
          <w:szCs w:val="22"/>
        </w:rPr>
        <w:t>Cw0306</w:t>
      </w:r>
      <w:r w:rsidR="00A01400" w:rsidRPr="0071749D">
        <w:rPr>
          <w:rFonts w:ascii="Verdana" w:hAnsi="Verdana"/>
          <w:b/>
          <w:bCs/>
          <w:sz w:val="22"/>
          <w:szCs w:val="22"/>
        </w:rPr>
        <w:t>:</w:t>
      </w:r>
      <w:r w:rsidR="00A01400" w:rsidRPr="0071749D">
        <w:rPr>
          <w:rFonts w:ascii="Verdana" w:hAnsi="Verdana"/>
          <w:sz w:val="22"/>
          <w:szCs w:val="22"/>
        </w:rPr>
        <w:t xml:space="preserve"> </w:t>
      </w:r>
      <w:r w:rsidRPr="0071749D">
        <w:rPr>
          <w:rFonts w:ascii="Verdana" w:hAnsi="Verdana"/>
          <w:sz w:val="22"/>
          <w:szCs w:val="22"/>
        </w:rPr>
        <w:t>Weighted sample sizes - number of adults surveyed, England, November 2015 to November 2021</w:t>
      </w:r>
    </w:p>
    <w:p w14:paraId="183CA2F9" w14:textId="291BF4A4" w:rsidR="00A6578E" w:rsidRPr="0071749D" w:rsidRDefault="00A6578E" w:rsidP="0086404F">
      <w:pPr>
        <w:rPr>
          <w:rFonts w:ascii="Verdana" w:hAnsi="Verdana"/>
          <w:sz w:val="22"/>
          <w:szCs w:val="22"/>
        </w:rPr>
      </w:pPr>
      <w:r w:rsidRPr="0071749D">
        <w:rPr>
          <w:rFonts w:ascii="Verdana" w:hAnsi="Verdana"/>
          <w:b/>
          <w:bCs/>
          <w:sz w:val="22"/>
          <w:szCs w:val="22"/>
        </w:rPr>
        <w:t>Cw0307</w:t>
      </w:r>
      <w:r w:rsidR="00A01400" w:rsidRPr="0071749D">
        <w:rPr>
          <w:rFonts w:ascii="Verdana" w:hAnsi="Verdana"/>
          <w:sz w:val="22"/>
          <w:szCs w:val="22"/>
        </w:rPr>
        <w:t>:</w:t>
      </w:r>
      <w:r w:rsidRPr="0071749D">
        <w:rPr>
          <w:rFonts w:ascii="Verdana" w:hAnsi="Verdana"/>
          <w:sz w:val="22"/>
          <w:szCs w:val="22"/>
        </w:rPr>
        <w:t xml:space="preserve"> All walking and cycling data in tables CW0301 to CW0303, England, November 2015 to November 2021</w:t>
      </w:r>
    </w:p>
    <w:p w14:paraId="6944EFB0" w14:textId="60986204" w:rsidR="00A6578E" w:rsidRPr="0071749D" w:rsidRDefault="00A6578E" w:rsidP="0086404F">
      <w:pPr>
        <w:rPr>
          <w:rFonts w:ascii="Verdana" w:hAnsi="Verdana"/>
          <w:sz w:val="22"/>
          <w:szCs w:val="22"/>
        </w:rPr>
      </w:pPr>
      <w:r w:rsidRPr="0071749D">
        <w:rPr>
          <w:rFonts w:ascii="Verdana" w:hAnsi="Verdana"/>
          <w:b/>
          <w:bCs/>
          <w:sz w:val="22"/>
          <w:szCs w:val="22"/>
        </w:rPr>
        <w:t>Cw0401</w:t>
      </w:r>
      <w:r w:rsidR="00A01400" w:rsidRPr="0071749D">
        <w:rPr>
          <w:rFonts w:ascii="Verdana" w:hAnsi="Verdana"/>
          <w:b/>
          <w:bCs/>
          <w:sz w:val="22"/>
          <w:szCs w:val="22"/>
        </w:rPr>
        <w:t>:</w:t>
      </w:r>
      <w:r w:rsidR="00A01400" w:rsidRPr="0071749D">
        <w:rPr>
          <w:rFonts w:ascii="Verdana" w:hAnsi="Verdana"/>
          <w:sz w:val="22"/>
          <w:szCs w:val="22"/>
        </w:rPr>
        <w:t xml:space="preserve"> </w:t>
      </w:r>
      <w:r w:rsidRPr="0071749D">
        <w:rPr>
          <w:rFonts w:ascii="Verdana" w:hAnsi="Verdana"/>
          <w:sz w:val="22"/>
          <w:szCs w:val="22"/>
        </w:rPr>
        <w:t xml:space="preserve">Total stages walked, with </w:t>
      </w:r>
      <w:r w:rsidR="007D1550" w:rsidRPr="0071749D">
        <w:rPr>
          <w:rFonts w:ascii="Verdana" w:hAnsi="Verdana"/>
          <w:sz w:val="22"/>
          <w:szCs w:val="22"/>
        </w:rPr>
        <w:t xml:space="preserve">the </w:t>
      </w:r>
      <w:r w:rsidR="00AE1063" w:rsidRPr="0071749D">
        <w:rPr>
          <w:rFonts w:ascii="Verdana" w:hAnsi="Verdana"/>
          <w:sz w:val="22"/>
          <w:szCs w:val="22"/>
        </w:rPr>
        <w:t>3-year</w:t>
      </w:r>
      <w:r w:rsidRPr="0071749D">
        <w:rPr>
          <w:rFonts w:ascii="Verdana" w:hAnsi="Verdana"/>
          <w:sz w:val="22"/>
          <w:szCs w:val="22"/>
        </w:rPr>
        <w:t xml:space="preserve"> average, England, 2005 to 2021</w:t>
      </w:r>
    </w:p>
    <w:p w14:paraId="14AC2CD9" w14:textId="316E25CE" w:rsidR="00A6578E" w:rsidRPr="0071749D" w:rsidRDefault="00A6578E" w:rsidP="0086404F">
      <w:pPr>
        <w:rPr>
          <w:rFonts w:ascii="Verdana" w:hAnsi="Verdana"/>
          <w:sz w:val="22"/>
          <w:szCs w:val="22"/>
        </w:rPr>
      </w:pPr>
      <w:r w:rsidRPr="0071749D">
        <w:rPr>
          <w:rFonts w:ascii="Verdana" w:hAnsi="Verdana"/>
          <w:b/>
          <w:bCs/>
          <w:sz w:val="22"/>
          <w:szCs w:val="22"/>
        </w:rPr>
        <w:t>Cw0402</w:t>
      </w:r>
      <w:r w:rsidR="00A01400" w:rsidRPr="0071749D">
        <w:rPr>
          <w:rFonts w:ascii="Verdana" w:hAnsi="Verdana"/>
          <w:b/>
          <w:bCs/>
          <w:sz w:val="22"/>
          <w:szCs w:val="22"/>
        </w:rPr>
        <w:t>:</w:t>
      </w:r>
      <w:r w:rsidRPr="0071749D">
        <w:rPr>
          <w:rFonts w:ascii="Verdana" w:hAnsi="Verdana"/>
          <w:sz w:val="22"/>
          <w:szCs w:val="22"/>
        </w:rPr>
        <w:t xml:space="preserve"> Average number of stages walked1 per person, with </w:t>
      </w:r>
      <w:r w:rsidR="007D1550" w:rsidRPr="0071749D">
        <w:rPr>
          <w:rFonts w:ascii="Verdana" w:hAnsi="Verdana"/>
          <w:sz w:val="22"/>
          <w:szCs w:val="22"/>
        </w:rPr>
        <w:t xml:space="preserve">a </w:t>
      </w:r>
      <w:r w:rsidR="00AE1063" w:rsidRPr="0071749D">
        <w:rPr>
          <w:rFonts w:ascii="Verdana" w:hAnsi="Verdana"/>
          <w:sz w:val="22"/>
          <w:szCs w:val="22"/>
        </w:rPr>
        <w:t>3-year</w:t>
      </w:r>
      <w:r w:rsidRPr="0071749D">
        <w:rPr>
          <w:rFonts w:ascii="Verdana" w:hAnsi="Verdana"/>
          <w:sz w:val="22"/>
          <w:szCs w:val="22"/>
        </w:rPr>
        <w:t xml:space="preserve"> average, England, 2005 to 2021</w:t>
      </w:r>
    </w:p>
    <w:p w14:paraId="2C41489D" w14:textId="777F7A5F" w:rsidR="00A6578E" w:rsidRPr="0071749D" w:rsidRDefault="00A6578E" w:rsidP="0086404F">
      <w:pPr>
        <w:rPr>
          <w:rFonts w:ascii="Verdana" w:hAnsi="Verdana"/>
          <w:sz w:val="22"/>
          <w:szCs w:val="22"/>
        </w:rPr>
      </w:pPr>
      <w:r w:rsidRPr="0071749D">
        <w:rPr>
          <w:rFonts w:ascii="Verdana" w:hAnsi="Verdana"/>
          <w:b/>
          <w:bCs/>
          <w:sz w:val="22"/>
          <w:szCs w:val="22"/>
        </w:rPr>
        <w:t>Cw0403</w:t>
      </w:r>
      <w:r w:rsidR="00A01400" w:rsidRPr="0071749D">
        <w:rPr>
          <w:rFonts w:ascii="Verdana" w:hAnsi="Verdana"/>
          <w:b/>
          <w:bCs/>
          <w:sz w:val="22"/>
          <w:szCs w:val="22"/>
        </w:rPr>
        <w:t>:</w:t>
      </w:r>
      <w:r w:rsidRPr="0071749D">
        <w:rPr>
          <w:rFonts w:ascii="Verdana" w:hAnsi="Verdana"/>
          <w:sz w:val="22"/>
          <w:szCs w:val="22"/>
        </w:rPr>
        <w:t xml:space="preserve"> Total stages cycled1, with </w:t>
      </w:r>
      <w:r w:rsidR="007D1550" w:rsidRPr="0071749D">
        <w:rPr>
          <w:rFonts w:ascii="Verdana" w:hAnsi="Verdana"/>
          <w:sz w:val="22"/>
          <w:szCs w:val="22"/>
        </w:rPr>
        <w:t xml:space="preserve">the </w:t>
      </w:r>
      <w:r w:rsidR="00AE1063" w:rsidRPr="0071749D">
        <w:rPr>
          <w:rFonts w:ascii="Verdana" w:hAnsi="Verdana"/>
          <w:sz w:val="22"/>
          <w:szCs w:val="22"/>
        </w:rPr>
        <w:t>3-year</w:t>
      </w:r>
      <w:r w:rsidRPr="0071749D">
        <w:rPr>
          <w:rFonts w:ascii="Verdana" w:hAnsi="Verdana"/>
          <w:sz w:val="22"/>
          <w:szCs w:val="22"/>
        </w:rPr>
        <w:t xml:space="preserve"> average, England, 2005 to 2021</w:t>
      </w:r>
    </w:p>
    <w:p w14:paraId="5F8B8952" w14:textId="68C08107" w:rsidR="00A6578E" w:rsidRPr="0071749D" w:rsidRDefault="00A6578E" w:rsidP="0086404F">
      <w:pPr>
        <w:rPr>
          <w:rFonts w:ascii="Verdana" w:hAnsi="Verdana"/>
          <w:sz w:val="22"/>
          <w:szCs w:val="22"/>
        </w:rPr>
      </w:pPr>
      <w:r w:rsidRPr="0071749D">
        <w:rPr>
          <w:rFonts w:ascii="Verdana" w:hAnsi="Verdana"/>
          <w:b/>
          <w:bCs/>
          <w:sz w:val="22"/>
          <w:szCs w:val="22"/>
        </w:rPr>
        <w:t>Cw0404</w:t>
      </w:r>
      <w:r w:rsidR="00A01400" w:rsidRPr="0071749D">
        <w:rPr>
          <w:rFonts w:ascii="Verdana" w:hAnsi="Verdana"/>
          <w:b/>
          <w:bCs/>
          <w:sz w:val="22"/>
          <w:szCs w:val="22"/>
        </w:rPr>
        <w:t>:</w:t>
      </w:r>
      <w:r w:rsidRPr="0071749D">
        <w:rPr>
          <w:rFonts w:ascii="Verdana" w:hAnsi="Verdana"/>
          <w:sz w:val="22"/>
          <w:szCs w:val="22"/>
        </w:rPr>
        <w:t xml:space="preserve"> Average number of stages cycled per person, with </w:t>
      </w:r>
      <w:r w:rsidR="00AE1063" w:rsidRPr="0071749D">
        <w:rPr>
          <w:rFonts w:ascii="Verdana" w:hAnsi="Verdana"/>
          <w:sz w:val="22"/>
          <w:szCs w:val="22"/>
        </w:rPr>
        <w:t>3-year</w:t>
      </w:r>
      <w:r w:rsidRPr="0071749D">
        <w:rPr>
          <w:rFonts w:ascii="Verdana" w:hAnsi="Verdana"/>
          <w:sz w:val="22"/>
          <w:szCs w:val="22"/>
        </w:rPr>
        <w:t xml:space="preserve"> average, England, 2005 to 2021</w:t>
      </w:r>
    </w:p>
    <w:p w14:paraId="07200A46" w14:textId="60B90C67" w:rsidR="00A6578E" w:rsidRPr="0071749D" w:rsidRDefault="00A6578E" w:rsidP="0086404F">
      <w:pPr>
        <w:rPr>
          <w:rFonts w:ascii="Verdana" w:hAnsi="Verdana"/>
          <w:sz w:val="22"/>
          <w:szCs w:val="22"/>
        </w:rPr>
      </w:pPr>
      <w:r w:rsidRPr="0071749D">
        <w:rPr>
          <w:rFonts w:ascii="Verdana" w:hAnsi="Verdana"/>
          <w:b/>
          <w:bCs/>
          <w:sz w:val="22"/>
          <w:szCs w:val="22"/>
        </w:rPr>
        <w:t>Cw0405</w:t>
      </w:r>
      <w:r w:rsidR="00A01400" w:rsidRPr="0071749D">
        <w:rPr>
          <w:rFonts w:ascii="Verdana" w:hAnsi="Verdana"/>
          <w:b/>
          <w:bCs/>
          <w:sz w:val="22"/>
          <w:szCs w:val="22"/>
        </w:rPr>
        <w:t>:</w:t>
      </w:r>
      <w:r w:rsidRPr="0071749D">
        <w:rPr>
          <w:rFonts w:ascii="Verdana" w:hAnsi="Verdana"/>
          <w:sz w:val="22"/>
          <w:szCs w:val="22"/>
        </w:rPr>
        <w:t xml:space="preserve"> Walks of 20 minutes or more by age: England, 2002 onwards</w:t>
      </w:r>
    </w:p>
    <w:p w14:paraId="7336E017" w14:textId="6C359625" w:rsidR="00A6578E" w:rsidRPr="0071749D" w:rsidRDefault="00A6578E" w:rsidP="0086404F">
      <w:pPr>
        <w:rPr>
          <w:rFonts w:ascii="Verdana" w:hAnsi="Verdana"/>
          <w:sz w:val="22"/>
          <w:szCs w:val="22"/>
        </w:rPr>
      </w:pPr>
      <w:r w:rsidRPr="0071749D">
        <w:rPr>
          <w:rFonts w:ascii="Verdana" w:hAnsi="Verdana"/>
          <w:b/>
          <w:bCs/>
          <w:sz w:val="22"/>
          <w:szCs w:val="22"/>
        </w:rPr>
        <w:t>Cw0406</w:t>
      </w:r>
      <w:r w:rsidR="00A01400" w:rsidRPr="0071749D">
        <w:rPr>
          <w:rFonts w:ascii="Verdana" w:hAnsi="Verdana"/>
          <w:b/>
          <w:bCs/>
          <w:sz w:val="22"/>
          <w:szCs w:val="22"/>
        </w:rPr>
        <w:t>:</w:t>
      </w:r>
      <w:r w:rsidRPr="0071749D">
        <w:rPr>
          <w:rFonts w:ascii="Verdana" w:hAnsi="Verdana"/>
          <w:sz w:val="22"/>
          <w:szCs w:val="22"/>
        </w:rPr>
        <w:t xml:space="preserve"> Frequency of use of different transport modes: England, 2003 onward</w:t>
      </w:r>
    </w:p>
    <w:p w14:paraId="1B3FC932" w14:textId="5A374768" w:rsidR="00A6578E" w:rsidRPr="0071749D" w:rsidRDefault="00A6578E" w:rsidP="0086404F">
      <w:pPr>
        <w:rPr>
          <w:rFonts w:ascii="Verdana" w:hAnsi="Verdana"/>
          <w:sz w:val="22"/>
          <w:szCs w:val="22"/>
        </w:rPr>
      </w:pPr>
      <w:r w:rsidRPr="0071749D">
        <w:rPr>
          <w:rFonts w:ascii="Verdana" w:hAnsi="Verdana"/>
          <w:b/>
          <w:bCs/>
          <w:sz w:val="22"/>
          <w:szCs w:val="22"/>
        </w:rPr>
        <w:t>Cw0410</w:t>
      </w:r>
      <w:r w:rsidR="00A01400" w:rsidRPr="0071749D">
        <w:rPr>
          <w:rFonts w:ascii="Verdana" w:hAnsi="Verdana"/>
          <w:b/>
          <w:bCs/>
          <w:sz w:val="22"/>
          <w:szCs w:val="22"/>
        </w:rPr>
        <w:t>:</w:t>
      </w:r>
      <w:r w:rsidRPr="0071749D">
        <w:rPr>
          <w:rFonts w:ascii="Verdana" w:hAnsi="Verdana"/>
          <w:sz w:val="22"/>
          <w:szCs w:val="22"/>
        </w:rPr>
        <w:t xml:space="preserve"> Percentage of children aged 5-16 who usually walk or cycle to school, with </w:t>
      </w:r>
      <w:r w:rsidR="007D1550" w:rsidRPr="0071749D">
        <w:rPr>
          <w:rFonts w:ascii="Verdana" w:hAnsi="Verdana"/>
          <w:sz w:val="22"/>
          <w:szCs w:val="22"/>
        </w:rPr>
        <w:t xml:space="preserve">a </w:t>
      </w:r>
      <w:r w:rsidR="00AE1063" w:rsidRPr="0071749D">
        <w:rPr>
          <w:rFonts w:ascii="Verdana" w:hAnsi="Verdana"/>
          <w:sz w:val="22"/>
          <w:szCs w:val="22"/>
        </w:rPr>
        <w:t>3-year</w:t>
      </w:r>
      <w:r w:rsidRPr="0071749D">
        <w:rPr>
          <w:rFonts w:ascii="Verdana" w:hAnsi="Verdana"/>
          <w:sz w:val="22"/>
          <w:szCs w:val="22"/>
        </w:rPr>
        <w:t xml:space="preserve"> average, England, 2003 to 202</w:t>
      </w:r>
      <w:r w:rsidR="00137092">
        <w:rPr>
          <w:rFonts w:ascii="Verdana" w:hAnsi="Verdana"/>
          <w:sz w:val="22"/>
          <w:szCs w:val="22"/>
        </w:rPr>
        <w:t>1</w:t>
      </w:r>
    </w:p>
    <w:p w14:paraId="791639EF" w14:textId="4F09064A" w:rsidR="00A6578E" w:rsidRPr="0071749D" w:rsidRDefault="00A6578E" w:rsidP="0086404F">
      <w:pPr>
        <w:rPr>
          <w:rFonts w:ascii="Verdana" w:hAnsi="Verdana"/>
          <w:sz w:val="22"/>
          <w:szCs w:val="22"/>
        </w:rPr>
      </w:pPr>
      <w:r w:rsidRPr="0071749D">
        <w:rPr>
          <w:rFonts w:ascii="Verdana" w:hAnsi="Verdana"/>
          <w:b/>
          <w:bCs/>
          <w:sz w:val="22"/>
          <w:szCs w:val="22"/>
        </w:rPr>
        <w:t>Cw0411</w:t>
      </w:r>
      <w:r w:rsidR="00A01400" w:rsidRPr="0071749D">
        <w:rPr>
          <w:rFonts w:ascii="Verdana" w:hAnsi="Verdana"/>
          <w:b/>
          <w:bCs/>
          <w:sz w:val="22"/>
          <w:szCs w:val="22"/>
        </w:rPr>
        <w:t>:</w:t>
      </w:r>
      <w:r w:rsidR="00A01400" w:rsidRPr="0071749D">
        <w:rPr>
          <w:rFonts w:ascii="Verdana" w:hAnsi="Verdana"/>
          <w:sz w:val="22"/>
          <w:szCs w:val="22"/>
        </w:rPr>
        <w:t xml:space="preserve"> </w:t>
      </w:r>
      <w:r w:rsidRPr="0071749D">
        <w:rPr>
          <w:rFonts w:ascii="Verdana" w:hAnsi="Verdana"/>
          <w:sz w:val="22"/>
          <w:szCs w:val="22"/>
        </w:rPr>
        <w:t xml:space="preserve">Percentage of children aged 5-10 who usually walk or cycle to school, with </w:t>
      </w:r>
      <w:r w:rsidR="007D1550" w:rsidRPr="0071749D">
        <w:rPr>
          <w:rFonts w:ascii="Verdana" w:hAnsi="Verdana"/>
          <w:sz w:val="22"/>
          <w:szCs w:val="22"/>
        </w:rPr>
        <w:t xml:space="preserve">a </w:t>
      </w:r>
      <w:r w:rsidR="00AE1063" w:rsidRPr="0071749D">
        <w:rPr>
          <w:rFonts w:ascii="Verdana" w:hAnsi="Verdana"/>
          <w:sz w:val="22"/>
          <w:szCs w:val="22"/>
        </w:rPr>
        <w:t>3-year</w:t>
      </w:r>
      <w:r w:rsidRPr="0071749D">
        <w:rPr>
          <w:rFonts w:ascii="Verdana" w:hAnsi="Verdana"/>
          <w:sz w:val="22"/>
          <w:szCs w:val="22"/>
        </w:rPr>
        <w:t xml:space="preserve"> average, England, 2003 to 2021</w:t>
      </w:r>
    </w:p>
    <w:p w14:paraId="5FB79750" w14:textId="32F5A5C2" w:rsidR="003702D9" w:rsidRDefault="00A6578E" w:rsidP="0086404F">
      <w:pPr>
        <w:rPr>
          <w:rFonts w:ascii="Verdana" w:hAnsi="Verdana"/>
          <w:sz w:val="22"/>
          <w:szCs w:val="22"/>
        </w:rPr>
      </w:pPr>
      <w:r w:rsidRPr="0071749D">
        <w:rPr>
          <w:rFonts w:ascii="Verdana" w:hAnsi="Verdana"/>
          <w:b/>
          <w:bCs/>
          <w:sz w:val="22"/>
          <w:szCs w:val="22"/>
        </w:rPr>
        <w:t>Cw0412</w:t>
      </w:r>
      <w:r w:rsidR="00A01400" w:rsidRPr="0071749D">
        <w:rPr>
          <w:rFonts w:ascii="Verdana" w:hAnsi="Verdana"/>
          <w:b/>
          <w:bCs/>
          <w:sz w:val="22"/>
          <w:szCs w:val="22"/>
        </w:rPr>
        <w:t>:</w:t>
      </w:r>
      <w:r w:rsidRPr="0071749D">
        <w:rPr>
          <w:rFonts w:ascii="Verdana" w:hAnsi="Verdana"/>
          <w:sz w:val="22"/>
          <w:szCs w:val="22"/>
        </w:rPr>
        <w:t xml:space="preserve"> Percentage of children aged 11-16 who usually walk or cycle to school, with </w:t>
      </w:r>
      <w:r w:rsidR="00CD0BE7" w:rsidRPr="0071749D">
        <w:rPr>
          <w:rFonts w:ascii="Verdana" w:hAnsi="Verdana"/>
          <w:sz w:val="22"/>
          <w:szCs w:val="22"/>
        </w:rPr>
        <w:t xml:space="preserve">a </w:t>
      </w:r>
      <w:r w:rsidR="007D1550" w:rsidRPr="0071749D">
        <w:rPr>
          <w:rFonts w:ascii="Verdana" w:hAnsi="Verdana"/>
          <w:sz w:val="22"/>
          <w:szCs w:val="22"/>
        </w:rPr>
        <w:t>3-year</w:t>
      </w:r>
      <w:r w:rsidRPr="0071749D">
        <w:rPr>
          <w:rFonts w:ascii="Verdana" w:hAnsi="Verdana"/>
          <w:sz w:val="22"/>
          <w:szCs w:val="22"/>
        </w:rPr>
        <w:t xml:space="preserve"> average, England, 2003 to 2021</w:t>
      </w:r>
    </w:p>
    <w:p w14:paraId="540C4271" w14:textId="4640510C" w:rsidR="0071749D" w:rsidRPr="00295950" w:rsidRDefault="00295950" w:rsidP="00295950">
      <w:pPr>
        <w:spacing w:before="0" w:after="200"/>
        <w:rPr>
          <w:rFonts w:ascii="Verdana" w:hAnsi="Verdana"/>
          <w:sz w:val="22"/>
          <w:szCs w:val="22"/>
        </w:rPr>
      </w:pPr>
      <w:r>
        <w:rPr>
          <w:rFonts w:ascii="Verdana" w:hAnsi="Verdana"/>
          <w:sz w:val="22"/>
          <w:szCs w:val="22"/>
        </w:rPr>
        <w:br w:type="page"/>
      </w:r>
    </w:p>
    <w:p w14:paraId="0C5922F9" w14:textId="0469D2F4" w:rsidR="003702D9" w:rsidRPr="002214A3" w:rsidRDefault="0071749D" w:rsidP="0071749D">
      <w:pPr>
        <w:pStyle w:val="Heading3"/>
        <w:rPr>
          <w:rFonts w:ascii="Verdana" w:hAnsi="Verdana"/>
        </w:rPr>
      </w:pPr>
      <w:bookmarkStart w:id="18" w:name="_Toc139375907"/>
      <w:r w:rsidRPr="002214A3">
        <w:rPr>
          <w:rFonts w:ascii="Verdana" w:hAnsi="Verdana"/>
          <w:sz w:val="22"/>
          <w:szCs w:val="22"/>
        </w:rPr>
        <w:lastRenderedPageBreak/>
        <w:t xml:space="preserve">Appendix 2. </w:t>
      </w:r>
      <w:r w:rsidR="003702D9" w:rsidRPr="002214A3">
        <w:rPr>
          <w:rFonts w:ascii="Verdana" w:hAnsi="Verdana"/>
          <w:sz w:val="22"/>
          <w:szCs w:val="22"/>
        </w:rPr>
        <w:t>Additional Nationwide Data summaries</w:t>
      </w:r>
      <w:r w:rsidR="006532EB" w:rsidRPr="002214A3">
        <w:rPr>
          <w:rFonts w:ascii="Verdana" w:hAnsi="Verdana"/>
          <w:sz w:val="22"/>
          <w:szCs w:val="22"/>
        </w:rPr>
        <w:t>.</w:t>
      </w:r>
      <w:bookmarkEnd w:id="18"/>
    </w:p>
    <w:p w14:paraId="5DAA97DB" w14:textId="65671C08" w:rsidR="0017520C" w:rsidRPr="0071749D" w:rsidRDefault="003702D9" w:rsidP="003702D9">
      <w:pPr>
        <w:rPr>
          <w:rFonts w:ascii="Verdana" w:hAnsi="Verdana"/>
          <w:sz w:val="22"/>
          <w:szCs w:val="22"/>
        </w:rPr>
      </w:pPr>
      <w:r w:rsidRPr="0071749D">
        <w:rPr>
          <w:rFonts w:ascii="Verdana" w:hAnsi="Verdana"/>
          <w:sz w:val="22"/>
          <w:szCs w:val="22"/>
        </w:rPr>
        <w:t xml:space="preserve">The datasets described below provide national travel statistics from different demographic groupings. The following summaries are not intended to be comprehensive of the datasets included in the statistical release, instead aiming to outline details relevant to the Kent data described in previous </w:t>
      </w:r>
      <w:r w:rsidR="00A378C0">
        <w:rPr>
          <w:rFonts w:ascii="Verdana" w:hAnsi="Verdana"/>
          <w:sz w:val="22"/>
          <w:szCs w:val="22"/>
        </w:rPr>
        <w:t>sect</w:t>
      </w:r>
      <w:r w:rsidRPr="0071749D">
        <w:rPr>
          <w:rFonts w:ascii="Verdana" w:hAnsi="Verdana"/>
          <w:sz w:val="22"/>
          <w:szCs w:val="22"/>
        </w:rPr>
        <w:t>ions of this report.</w:t>
      </w:r>
    </w:p>
    <w:p w14:paraId="49F42831" w14:textId="51916F1C" w:rsidR="003702D9" w:rsidRPr="0071749D" w:rsidRDefault="003702D9" w:rsidP="0071749D">
      <w:pPr>
        <w:spacing w:after="0"/>
        <w:rPr>
          <w:rFonts w:ascii="Verdana" w:hAnsi="Verdana"/>
          <w:b/>
          <w:bCs/>
          <w:sz w:val="22"/>
          <w:szCs w:val="22"/>
        </w:rPr>
      </w:pPr>
      <w:r w:rsidRPr="0071749D">
        <w:rPr>
          <w:rFonts w:ascii="Verdana" w:hAnsi="Verdana"/>
          <w:b/>
          <w:bCs/>
          <w:sz w:val="22"/>
          <w:szCs w:val="22"/>
        </w:rPr>
        <w:t>Average stages walked per person</w:t>
      </w:r>
    </w:p>
    <w:p w14:paraId="36B6ACAE" w14:textId="56B08120" w:rsidR="003702D9" w:rsidRPr="0071749D" w:rsidRDefault="003702D9" w:rsidP="0071749D">
      <w:pPr>
        <w:spacing w:before="0"/>
        <w:rPr>
          <w:rFonts w:ascii="Verdana" w:hAnsi="Verdana"/>
          <w:sz w:val="22"/>
          <w:szCs w:val="22"/>
        </w:rPr>
      </w:pPr>
      <w:r w:rsidRPr="0071749D">
        <w:rPr>
          <w:rFonts w:ascii="Verdana" w:hAnsi="Verdana"/>
          <w:sz w:val="22"/>
          <w:szCs w:val="22"/>
        </w:rPr>
        <w:t>England saw a steady decrease in the average stages walked per person from 2005</w:t>
      </w:r>
      <w:r w:rsidR="00787223">
        <w:rPr>
          <w:rFonts w:ascii="Verdana" w:hAnsi="Verdana"/>
          <w:sz w:val="22"/>
          <w:szCs w:val="22"/>
        </w:rPr>
        <w:t xml:space="preserve"> to 20</w:t>
      </w:r>
      <w:r w:rsidRPr="0071749D">
        <w:rPr>
          <w:rFonts w:ascii="Verdana" w:hAnsi="Verdana"/>
          <w:sz w:val="22"/>
          <w:szCs w:val="22"/>
        </w:rPr>
        <w:t>14. Levels then increased from 2015</w:t>
      </w:r>
      <w:r w:rsidR="00787223">
        <w:rPr>
          <w:rFonts w:ascii="Verdana" w:hAnsi="Verdana"/>
          <w:sz w:val="22"/>
          <w:szCs w:val="22"/>
        </w:rPr>
        <w:t xml:space="preserve"> to 20</w:t>
      </w:r>
      <w:r w:rsidRPr="0071749D">
        <w:rPr>
          <w:rFonts w:ascii="Verdana" w:hAnsi="Verdana"/>
          <w:sz w:val="22"/>
          <w:szCs w:val="22"/>
        </w:rPr>
        <w:t>18 before decreasing again from 2019</w:t>
      </w:r>
      <w:r w:rsidR="0076395A">
        <w:rPr>
          <w:rFonts w:ascii="Verdana" w:hAnsi="Verdana"/>
          <w:sz w:val="22"/>
          <w:szCs w:val="22"/>
        </w:rPr>
        <w:t xml:space="preserve"> to 20</w:t>
      </w:r>
      <w:r w:rsidRPr="0071749D">
        <w:rPr>
          <w:rFonts w:ascii="Verdana" w:hAnsi="Verdana"/>
          <w:sz w:val="22"/>
          <w:szCs w:val="22"/>
        </w:rPr>
        <w:t xml:space="preserve">21. London </w:t>
      </w:r>
      <w:r w:rsidR="00735387">
        <w:rPr>
          <w:rFonts w:ascii="Verdana" w:hAnsi="Verdana"/>
          <w:sz w:val="22"/>
          <w:szCs w:val="22"/>
        </w:rPr>
        <w:t xml:space="preserve">has higher rates than any other region by far, </w:t>
      </w:r>
      <w:r w:rsidRPr="0071749D">
        <w:rPr>
          <w:rFonts w:ascii="Verdana" w:hAnsi="Verdana"/>
          <w:sz w:val="22"/>
          <w:szCs w:val="22"/>
        </w:rPr>
        <w:t xml:space="preserve">with most of the other regions </w:t>
      </w:r>
      <w:r w:rsidR="00E65A40">
        <w:rPr>
          <w:rFonts w:ascii="Verdana" w:hAnsi="Verdana"/>
          <w:sz w:val="22"/>
          <w:szCs w:val="22"/>
        </w:rPr>
        <w:t xml:space="preserve">showing rates </w:t>
      </w:r>
      <w:proofErr w:type="gramStart"/>
      <w:r w:rsidR="00E65A40">
        <w:rPr>
          <w:rFonts w:ascii="Verdana" w:hAnsi="Verdana"/>
          <w:sz w:val="22"/>
          <w:szCs w:val="22"/>
        </w:rPr>
        <w:t>similar to</w:t>
      </w:r>
      <w:proofErr w:type="gramEnd"/>
      <w:r w:rsidR="00E65A40">
        <w:rPr>
          <w:rFonts w:ascii="Verdana" w:hAnsi="Verdana"/>
          <w:sz w:val="22"/>
          <w:szCs w:val="22"/>
        </w:rPr>
        <w:t xml:space="preserve"> each other</w:t>
      </w:r>
      <w:r w:rsidRPr="0071749D">
        <w:rPr>
          <w:rFonts w:ascii="Verdana" w:hAnsi="Verdana"/>
          <w:sz w:val="22"/>
          <w:szCs w:val="22"/>
        </w:rPr>
        <w:t>. The data also showed that on average,</w:t>
      </w:r>
    </w:p>
    <w:p w14:paraId="190B50A0" w14:textId="77777777" w:rsidR="003702D9" w:rsidRPr="0071749D" w:rsidRDefault="003702D9" w:rsidP="003702D9">
      <w:pPr>
        <w:pStyle w:val="ListParagraph"/>
        <w:numPr>
          <w:ilvl w:val="0"/>
          <w:numId w:val="6"/>
        </w:numPr>
        <w:spacing w:line="276" w:lineRule="auto"/>
        <w:rPr>
          <w:rFonts w:ascii="Verdana" w:hAnsi="Verdana" w:cs="Arial"/>
        </w:rPr>
      </w:pPr>
      <w:r w:rsidRPr="0071749D">
        <w:rPr>
          <w:rFonts w:ascii="Verdana" w:hAnsi="Verdana" w:cs="Arial"/>
        </w:rPr>
        <w:t>People in urban areas walk more often than those in rural areas</w:t>
      </w:r>
    </w:p>
    <w:p w14:paraId="6220D38E" w14:textId="77777777" w:rsidR="003702D9" w:rsidRPr="0071749D" w:rsidRDefault="003702D9" w:rsidP="003702D9">
      <w:pPr>
        <w:pStyle w:val="ListParagraph"/>
        <w:numPr>
          <w:ilvl w:val="0"/>
          <w:numId w:val="6"/>
        </w:numPr>
        <w:spacing w:line="276" w:lineRule="auto"/>
        <w:rPr>
          <w:rFonts w:ascii="Verdana" w:hAnsi="Verdana" w:cs="Arial"/>
        </w:rPr>
      </w:pPr>
      <w:r w:rsidRPr="0071749D">
        <w:rPr>
          <w:rFonts w:ascii="Verdana" w:hAnsi="Verdana" w:cs="Arial"/>
        </w:rPr>
        <w:t>Females walk more than males but roughly follow the same trends over the years</w:t>
      </w:r>
    </w:p>
    <w:p w14:paraId="2060C8BA" w14:textId="0CDBD67F" w:rsidR="003702D9" w:rsidRPr="0071749D" w:rsidRDefault="003702D9" w:rsidP="003702D9">
      <w:pPr>
        <w:pStyle w:val="ListParagraph"/>
        <w:numPr>
          <w:ilvl w:val="0"/>
          <w:numId w:val="6"/>
        </w:numPr>
        <w:spacing w:line="276" w:lineRule="auto"/>
        <w:rPr>
          <w:rFonts w:ascii="Verdana" w:hAnsi="Verdana" w:cs="Arial"/>
        </w:rPr>
      </w:pPr>
      <w:r w:rsidRPr="0071749D">
        <w:rPr>
          <w:rFonts w:ascii="Verdana" w:hAnsi="Verdana" w:cs="Arial"/>
        </w:rPr>
        <w:t xml:space="preserve">Those </w:t>
      </w:r>
      <w:r w:rsidR="00137092">
        <w:rPr>
          <w:rFonts w:ascii="Verdana" w:hAnsi="Verdana" w:cs="Arial"/>
        </w:rPr>
        <w:t xml:space="preserve">aged </w:t>
      </w:r>
      <w:r w:rsidRPr="0071749D">
        <w:rPr>
          <w:rFonts w:ascii="Verdana" w:hAnsi="Verdana" w:cs="Arial"/>
        </w:rPr>
        <w:t>17</w:t>
      </w:r>
      <w:r w:rsidR="00137092">
        <w:rPr>
          <w:rFonts w:ascii="Verdana" w:hAnsi="Verdana" w:cs="Arial"/>
        </w:rPr>
        <w:t xml:space="preserve"> to </w:t>
      </w:r>
      <w:r w:rsidRPr="0071749D">
        <w:rPr>
          <w:rFonts w:ascii="Verdana" w:hAnsi="Verdana" w:cs="Arial"/>
        </w:rPr>
        <w:t>20</w:t>
      </w:r>
      <w:r w:rsidR="00137092">
        <w:rPr>
          <w:rFonts w:ascii="Verdana" w:hAnsi="Verdana" w:cs="Arial"/>
        </w:rPr>
        <w:t xml:space="preserve"> years</w:t>
      </w:r>
      <w:r w:rsidRPr="0071749D">
        <w:rPr>
          <w:rFonts w:ascii="Verdana" w:hAnsi="Verdana" w:cs="Arial"/>
        </w:rPr>
        <w:t xml:space="preserve"> and 50+</w:t>
      </w:r>
      <w:r w:rsidR="00137092">
        <w:rPr>
          <w:rFonts w:ascii="Verdana" w:hAnsi="Verdana" w:cs="Arial"/>
        </w:rPr>
        <w:t xml:space="preserve"> years</w:t>
      </w:r>
      <w:r w:rsidRPr="0071749D">
        <w:rPr>
          <w:rFonts w:ascii="Verdana" w:hAnsi="Verdana" w:cs="Arial"/>
        </w:rPr>
        <w:t xml:space="preserve"> walk the least, whilst middle-aged and younger age groups walk the most</w:t>
      </w:r>
    </w:p>
    <w:p w14:paraId="3C014EC1" w14:textId="546DB23D" w:rsidR="003702D9" w:rsidRPr="0071749D" w:rsidRDefault="003702D9" w:rsidP="003702D9">
      <w:pPr>
        <w:pStyle w:val="ListParagraph"/>
        <w:numPr>
          <w:ilvl w:val="0"/>
          <w:numId w:val="6"/>
        </w:numPr>
        <w:spacing w:line="276" w:lineRule="auto"/>
        <w:rPr>
          <w:rFonts w:ascii="Verdana" w:hAnsi="Verdana" w:cs="Arial"/>
        </w:rPr>
      </w:pPr>
      <w:r w:rsidRPr="0071749D">
        <w:rPr>
          <w:rFonts w:ascii="Verdana" w:hAnsi="Verdana" w:cs="Arial"/>
        </w:rPr>
        <w:t>People with no mobility difficulties walk more than those without</w:t>
      </w:r>
    </w:p>
    <w:p w14:paraId="19370B05" w14:textId="0F5BB81D" w:rsidR="003702D9" w:rsidRPr="0071749D" w:rsidRDefault="003702D9" w:rsidP="003702D9">
      <w:pPr>
        <w:pStyle w:val="ListParagraph"/>
        <w:numPr>
          <w:ilvl w:val="0"/>
          <w:numId w:val="6"/>
        </w:numPr>
        <w:spacing w:line="276" w:lineRule="auto"/>
        <w:rPr>
          <w:rFonts w:ascii="Verdana" w:hAnsi="Verdana" w:cs="Arial"/>
        </w:rPr>
      </w:pPr>
      <w:r w:rsidRPr="0071749D">
        <w:rPr>
          <w:rFonts w:ascii="Verdana" w:hAnsi="Verdana" w:cs="Arial"/>
        </w:rPr>
        <w:t>People with disabilities walk more than those without</w:t>
      </w:r>
    </w:p>
    <w:p w14:paraId="6FAE8E8A" w14:textId="4CB2DDDE" w:rsidR="003702D9" w:rsidRPr="0071749D" w:rsidRDefault="003702D9" w:rsidP="003702D9">
      <w:pPr>
        <w:pStyle w:val="ListParagraph"/>
        <w:numPr>
          <w:ilvl w:val="0"/>
          <w:numId w:val="6"/>
        </w:numPr>
        <w:spacing w:line="276" w:lineRule="auto"/>
        <w:rPr>
          <w:rFonts w:ascii="Verdana" w:hAnsi="Verdana" w:cs="Arial"/>
        </w:rPr>
      </w:pPr>
      <w:r w:rsidRPr="0071749D">
        <w:rPr>
          <w:rFonts w:ascii="Verdana" w:hAnsi="Verdana" w:cs="Arial"/>
        </w:rPr>
        <w:t>Most of those walking for travel are commuters, followed by those travelling for education and personal business respectively</w:t>
      </w:r>
    </w:p>
    <w:p w14:paraId="236394EE" w14:textId="79902478" w:rsidR="0071749D" w:rsidRPr="0017520C" w:rsidRDefault="003702D9" w:rsidP="0071749D">
      <w:pPr>
        <w:pStyle w:val="ListParagraph"/>
        <w:numPr>
          <w:ilvl w:val="0"/>
          <w:numId w:val="6"/>
        </w:numPr>
        <w:spacing w:line="276" w:lineRule="auto"/>
        <w:rPr>
          <w:rFonts w:ascii="Verdana" w:hAnsi="Verdana" w:cs="Arial"/>
        </w:rPr>
      </w:pPr>
      <w:r w:rsidRPr="0071749D">
        <w:rPr>
          <w:rFonts w:ascii="Verdana" w:hAnsi="Verdana" w:cs="Arial"/>
        </w:rPr>
        <w:t>Most of those who walk for leisure are not doing so for shopping</w:t>
      </w:r>
    </w:p>
    <w:p w14:paraId="72D4999D" w14:textId="6A6189AC" w:rsidR="003702D9" w:rsidRPr="0071749D" w:rsidRDefault="003702D9" w:rsidP="0071749D">
      <w:pPr>
        <w:spacing w:after="0"/>
        <w:rPr>
          <w:rFonts w:ascii="Verdana" w:hAnsi="Verdana"/>
          <w:b/>
          <w:bCs/>
          <w:sz w:val="22"/>
          <w:szCs w:val="22"/>
        </w:rPr>
      </w:pPr>
      <w:r w:rsidRPr="0071749D">
        <w:rPr>
          <w:rFonts w:ascii="Verdana" w:hAnsi="Verdana"/>
          <w:b/>
          <w:bCs/>
          <w:sz w:val="22"/>
          <w:szCs w:val="22"/>
        </w:rPr>
        <w:t>Average stages cycled per person</w:t>
      </w:r>
    </w:p>
    <w:p w14:paraId="61160B60" w14:textId="24F3915A" w:rsidR="003702D9" w:rsidRPr="0071749D" w:rsidRDefault="003702D9" w:rsidP="0071749D">
      <w:pPr>
        <w:spacing w:before="0"/>
        <w:rPr>
          <w:rFonts w:ascii="Verdana" w:hAnsi="Verdana"/>
          <w:sz w:val="22"/>
          <w:szCs w:val="22"/>
        </w:rPr>
      </w:pPr>
      <w:r w:rsidRPr="0071749D">
        <w:rPr>
          <w:rFonts w:ascii="Verdana" w:hAnsi="Verdana"/>
          <w:sz w:val="22"/>
          <w:szCs w:val="22"/>
        </w:rPr>
        <w:t>Trends from 2005</w:t>
      </w:r>
      <w:r w:rsidR="00787223">
        <w:rPr>
          <w:rFonts w:ascii="Verdana" w:hAnsi="Verdana"/>
          <w:sz w:val="22"/>
          <w:szCs w:val="22"/>
        </w:rPr>
        <w:t xml:space="preserve"> to 20</w:t>
      </w:r>
      <w:r w:rsidRPr="0071749D">
        <w:rPr>
          <w:rFonts w:ascii="Verdana" w:hAnsi="Verdana"/>
          <w:sz w:val="22"/>
          <w:szCs w:val="22"/>
        </w:rPr>
        <w:t xml:space="preserve">19 appear sporadic for England overall but variations are relatively small. A sharp increase is seen in 2020 and followed by a large decrease in 2021. This coincides with what was seen in more detail for Kent. Again, London </w:t>
      </w:r>
      <w:r w:rsidR="005431BC">
        <w:rPr>
          <w:rFonts w:ascii="Verdana" w:hAnsi="Verdana"/>
          <w:sz w:val="22"/>
          <w:szCs w:val="22"/>
        </w:rPr>
        <w:t>has the highest rates</w:t>
      </w:r>
      <w:r w:rsidRPr="0071749D">
        <w:rPr>
          <w:rFonts w:ascii="Verdana" w:hAnsi="Verdana"/>
          <w:sz w:val="22"/>
          <w:szCs w:val="22"/>
        </w:rPr>
        <w:t>, but this time is closely followed by the East of England. The data also showed that on average,</w:t>
      </w:r>
    </w:p>
    <w:p w14:paraId="25BF5F15" w14:textId="77777777" w:rsidR="003702D9" w:rsidRPr="0071749D" w:rsidRDefault="003702D9" w:rsidP="003702D9">
      <w:pPr>
        <w:pStyle w:val="ListParagraph"/>
        <w:numPr>
          <w:ilvl w:val="0"/>
          <w:numId w:val="7"/>
        </w:numPr>
        <w:spacing w:line="276" w:lineRule="auto"/>
        <w:rPr>
          <w:rFonts w:ascii="Verdana" w:hAnsi="Verdana" w:cs="Arial"/>
        </w:rPr>
      </w:pPr>
      <w:r w:rsidRPr="0071749D">
        <w:rPr>
          <w:rFonts w:ascii="Verdana" w:hAnsi="Verdana" w:cs="Arial"/>
        </w:rPr>
        <w:t>People in urban areas cycle more often than those in rural areas</w:t>
      </w:r>
    </w:p>
    <w:p w14:paraId="39AF701C" w14:textId="77777777" w:rsidR="003702D9" w:rsidRPr="0071749D" w:rsidRDefault="003702D9" w:rsidP="003702D9">
      <w:pPr>
        <w:pStyle w:val="ListParagraph"/>
        <w:numPr>
          <w:ilvl w:val="0"/>
          <w:numId w:val="7"/>
        </w:numPr>
        <w:spacing w:line="276" w:lineRule="auto"/>
        <w:rPr>
          <w:rFonts w:ascii="Verdana" w:hAnsi="Verdana" w:cs="Arial"/>
        </w:rPr>
      </w:pPr>
      <w:r w:rsidRPr="0071749D">
        <w:rPr>
          <w:rFonts w:ascii="Verdana" w:hAnsi="Verdana" w:cs="Arial"/>
        </w:rPr>
        <w:t>Males cycle more than females and saw less of a decrease in 2021</w:t>
      </w:r>
    </w:p>
    <w:p w14:paraId="1A6CC6F4" w14:textId="46814FA6" w:rsidR="003702D9" w:rsidRPr="0071749D" w:rsidRDefault="003702D9" w:rsidP="003702D9">
      <w:pPr>
        <w:pStyle w:val="ListParagraph"/>
        <w:numPr>
          <w:ilvl w:val="0"/>
          <w:numId w:val="7"/>
        </w:numPr>
        <w:spacing w:line="276" w:lineRule="auto"/>
        <w:rPr>
          <w:rFonts w:ascii="Verdana" w:hAnsi="Verdana" w:cs="Arial"/>
        </w:rPr>
      </w:pPr>
      <w:r w:rsidRPr="0071749D">
        <w:rPr>
          <w:rFonts w:ascii="Verdana" w:hAnsi="Verdana" w:cs="Arial"/>
        </w:rPr>
        <w:t>Those aged 30</w:t>
      </w:r>
      <w:r w:rsidR="0050347A">
        <w:rPr>
          <w:rFonts w:ascii="Verdana" w:hAnsi="Verdana" w:cs="Arial"/>
        </w:rPr>
        <w:t xml:space="preserve"> to </w:t>
      </w:r>
      <w:r w:rsidRPr="0071749D">
        <w:rPr>
          <w:rFonts w:ascii="Verdana" w:hAnsi="Verdana" w:cs="Arial"/>
        </w:rPr>
        <w:t>59</w:t>
      </w:r>
      <w:r w:rsidR="0050347A">
        <w:rPr>
          <w:rFonts w:ascii="Verdana" w:hAnsi="Verdana" w:cs="Arial"/>
        </w:rPr>
        <w:t xml:space="preserve"> years</w:t>
      </w:r>
      <w:r w:rsidRPr="0071749D">
        <w:rPr>
          <w:rFonts w:ascii="Verdana" w:hAnsi="Verdana" w:cs="Arial"/>
        </w:rPr>
        <w:t xml:space="preserve"> cycle the most, with ages on either side of this bracket showing a gradual decrease</w:t>
      </w:r>
    </w:p>
    <w:p w14:paraId="5A193DE1" w14:textId="77777777" w:rsidR="003702D9" w:rsidRPr="0071749D" w:rsidRDefault="003702D9" w:rsidP="003702D9">
      <w:pPr>
        <w:pStyle w:val="ListParagraph"/>
        <w:numPr>
          <w:ilvl w:val="0"/>
          <w:numId w:val="7"/>
        </w:numPr>
        <w:spacing w:line="276" w:lineRule="auto"/>
        <w:rPr>
          <w:rFonts w:ascii="Verdana" w:hAnsi="Verdana" w:cs="Arial"/>
        </w:rPr>
      </w:pPr>
      <w:r w:rsidRPr="0071749D">
        <w:rPr>
          <w:rFonts w:ascii="Verdana" w:hAnsi="Verdana" w:cs="Arial"/>
        </w:rPr>
        <w:t>Ethnic minority groups cycle much more than White ethnic groups (although this grouping was made up of only two categories)</w:t>
      </w:r>
    </w:p>
    <w:p w14:paraId="1567C645" w14:textId="77777777" w:rsidR="003702D9" w:rsidRPr="0071749D" w:rsidRDefault="003702D9" w:rsidP="003702D9">
      <w:pPr>
        <w:pStyle w:val="ListParagraph"/>
        <w:numPr>
          <w:ilvl w:val="0"/>
          <w:numId w:val="7"/>
        </w:numPr>
        <w:spacing w:line="276" w:lineRule="auto"/>
        <w:rPr>
          <w:rFonts w:ascii="Verdana" w:hAnsi="Verdana" w:cs="Arial"/>
        </w:rPr>
      </w:pPr>
      <w:r w:rsidRPr="0071749D">
        <w:rPr>
          <w:rFonts w:ascii="Verdana" w:hAnsi="Verdana" w:cs="Arial"/>
        </w:rPr>
        <w:t>Those with no disabilities cycle much more than those with disabilities</w:t>
      </w:r>
    </w:p>
    <w:p w14:paraId="492DFD43" w14:textId="77777777" w:rsidR="003702D9" w:rsidRPr="0071749D" w:rsidRDefault="003702D9" w:rsidP="003702D9">
      <w:pPr>
        <w:pStyle w:val="ListParagraph"/>
        <w:numPr>
          <w:ilvl w:val="0"/>
          <w:numId w:val="6"/>
        </w:numPr>
        <w:spacing w:line="276" w:lineRule="auto"/>
        <w:rPr>
          <w:rFonts w:ascii="Verdana" w:hAnsi="Verdana" w:cs="Arial"/>
        </w:rPr>
      </w:pPr>
      <w:r w:rsidRPr="0071749D">
        <w:rPr>
          <w:rFonts w:ascii="Verdana" w:hAnsi="Verdana" w:cs="Arial"/>
        </w:rPr>
        <w:t>Most of those cycling for travel are commuters, whilst levels of those travelling for education and personal business are both low</w:t>
      </w:r>
    </w:p>
    <w:p w14:paraId="04DBAAAA" w14:textId="4DB103FD" w:rsidR="0071749D" w:rsidRPr="006532EB" w:rsidRDefault="003702D9" w:rsidP="0071749D">
      <w:pPr>
        <w:pStyle w:val="ListParagraph"/>
        <w:numPr>
          <w:ilvl w:val="0"/>
          <w:numId w:val="6"/>
        </w:numPr>
        <w:spacing w:line="276" w:lineRule="auto"/>
        <w:rPr>
          <w:rFonts w:ascii="Verdana" w:hAnsi="Verdana" w:cs="Arial"/>
        </w:rPr>
      </w:pPr>
      <w:r w:rsidRPr="0071749D">
        <w:rPr>
          <w:rFonts w:ascii="Verdana" w:hAnsi="Verdana" w:cs="Arial"/>
        </w:rPr>
        <w:t xml:space="preserve">Most of those cycling for leisure </w:t>
      </w:r>
      <w:proofErr w:type="gramStart"/>
      <w:r w:rsidRPr="0071749D">
        <w:rPr>
          <w:rFonts w:ascii="Verdana" w:hAnsi="Verdana" w:cs="Arial"/>
        </w:rPr>
        <w:t>are</w:t>
      </w:r>
      <w:proofErr w:type="gramEnd"/>
      <w:r w:rsidRPr="0071749D">
        <w:rPr>
          <w:rFonts w:ascii="Verdana" w:hAnsi="Verdana" w:cs="Arial"/>
        </w:rPr>
        <w:t xml:space="preserve"> not doing so for shopping</w:t>
      </w:r>
    </w:p>
    <w:p w14:paraId="05746020" w14:textId="40037AED" w:rsidR="003702D9" w:rsidRPr="0071749D" w:rsidRDefault="003702D9" w:rsidP="0071749D">
      <w:pPr>
        <w:spacing w:after="0"/>
        <w:rPr>
          <w:rFonts w:ascii="Verdana" w:hAnsi="Verdana"/>
          <w:b/>
          <w:bCs/>
          <w:sz w:val="22"/>
          <w:szCs w:val="22"/>
        </w:rPr>
      </w:pPr>
      <w:r w:rsidRPr="0071749D">
        <w:rPr>
          <w:rFonts w:ascii="Verdana" w:hAnsi="Verdana"/>
          <w:b/>
          <w:bCs/>
          <w:sz w:val="22"/>
          <w:szCs w:val="22"/>
        </w:rPr>
        <w:t>Walks of 20+ minutes, three times a week or more</w:t>
      </w:r>
    </w:p>
    <w:p w14:paraId="685F5662" w14:textId="0DF2E0B1" w:rsidR="0071749D" w:rsidRPr="0017520C" w:rsidRDefault="003702D9" w:rsidP="0017520C">
      <w:pPr>
        <w:spacing w:before="0"/>
        <w:rPr>
          <w:rFonts w:ascii="Verdana" w:hAnsi="Verdana"/>
          <w:sz w:val="22"/>
          <w:szCs w:val="22"/>
        </w:rPr>
      </w:pPr>
      <w:r w:rsidRPr="0071749D">
        <w:rPr>
          <w:rFonts w:ascii="Verdana" w:hAnsi="Verdana"/>
          <w:sz w:val="22"/>
          <w:szCs w:val="22"/>
        </w:rPr>
        <w:t>Those aged 17</w:t>
      </w:r>
      <w:r w:rsidR="00137092">
        <w:rPr>
          <w:rFonts w:ascii="Verdana" w:hAnsi="Verdana"/>
          <w:sz w:val="22"/>
          <w:szCs w:val="22"/>
        </w:rPr>
        <w:t xml:space="preserve"> to </w:t>
      </w:r>
      <w:r w:rsidRPr="0071749D">
        <w:rPr>
          <w:rFonts w:ascii="Verdana" w:hAnsi="Verdana"/>
          <w:sz w:val="22"/>
          <w:szCs w:val="22"/>
        </w:rPr>
        <w:t xml:space="preserve">20 </w:t>
      </w:r>
      <w:r w:rsidR="00137092">
        <w:rPr>
          <w:rFonts w:ascii="Verdana" w:hAnsi="Verdana"/>
          <w:sz w:val="22"/>
          <w:szCs w:val="22"/>
        </w:rPr>
        <w:t xml:space="preserve">years </w:t>
      </w:r>
      <w:r w:rsidRPr="0071749D">
        <w:rPr>
          <w:rFonts w:ascii="Verdana" w:hAnsi="Verdana"/>
          <w:sz w:val="22"/>
          <w:szCs w:val="22"/>
        </w:rPr>
        <w:t>walk more than three times a week for longer periods than any other age group, whilst the 70+ age group walk the least.</w:t>
      </w:r>
      <w:r w:rsidRPr="0071749D">
        <w:rPr>
          <w:rFonts w:ascii="Verdana" w:hAnsi="Verdana"/>
          <w:b/>
          <w:bCs/>
          <w:sz w:val="22"/>
          <w:szCs w:val="22"/>
        </w:rPr>
        <w:t xml:space="preserve"> </w:t>
      </w:r>
      <w:r w:rsidRPr="0071749D">
        <w:rPr>
          <w:rFonts w:ascii="Verdana" w:hAnsi="Verdana"/>
          <w:sz w:val="22"/>
          <w:szCs w:val="22"/>
        </w:rPr>
        <w:lastRenderedPageBreak/>
        <w:t>Furthermore, all age groups saw an increase between 2020</w:t>
      </w:r>
      <w:r w:rsidR="00407E1A">
        <w:rPr>
          <w:rFonts w:ascii="Verdana" w:hAnsi="Verdana"/>
          <w:sz w:val="22"/>
          <w:szCs w:val="22"/>
        </w:rPr>
        <w:t xml:space="preserve"> and 202</w:t>
      </w:r>
      <w:r w:rsidRPr="0071749D">
        <w:rPr>
          <w:rFonts w:ascii="Verdana" w:hAnsi="Verdana"/>
          <w:sz w:val="22"/>
          <w:szCs w:val="22"/>
        </w:rPr>
        <w:t>1, supporting the trend seen in Kent.</w:t>
      </w:r>
    </w:p>
    <w:p w14:paraId="5E51256C" w14:textId="79455834" w:rsidR="003702D9" w:rsidRPr="0071749D" w:rsidRDefault="003702D9" w:rsidP="0071749D">
      <w:pPr>
        <w:spacing w:after="0"/>
        <w:rPr>
          <w:rFonts w:ascii="Verdana" w:hAnsi="Verdana"/>
          <w:b/>
          <w:bCs/>
          <w:sz w:val="22"/>
          <w:szCs w:val="22"/>
        </w:rPr>
      </w:pPr>
      <w:r w:rsidRPr="0071749D">
        <w:rPr>
          <w:rFonts w:ascii="Verdana" w:hAnsi="Verdana"/>
          <w:b/>
          <w:bCs/>
          <w:sz w:val="22"/>
          <w:szCs w:val="22"/>
        </w:rPr>
        <w:t>Frequency of use of different transport modes</w:t>
      </w:r>
    </w:p>
    <w:p w14:paraId="6A1598CB" w14:textId="74FAA42C" w:rsidR="003702D9" w:rsidRPr="0071749D" w:rsidRDefault="003702D9" w:rsidP="0071749D">
      <w:pPr>
        <w:spacing w:before="0"/>
        <w:rPr>
          <w:rFonts w:ascii="Verdana" w:hAnsi="Verdana"/>
          <w:sz w:val="22"/>
          <w:szCs w:val="22"/>
        </w:rPr>
      </w:pPr>
      <w:r w:rsidRPr="0071749D">
        <w:rPr>
          <w:rFonts w:ascii="Verdana" w:hAnsi="Verdana"/>
          <w:sz w:val="22"/>
          <w:szCs w:val="22"/>
        </w:rPr>
        <w:t>This data showed that on average,</w:t>
      </w:r>
    </w:p>
    <w:p w14:paraId="5993878D" w14:textId="610EEB1B" w:rsidR="003702D9" w:rsidRPr="0071749D" w:rsidRDefault="003702D9" w:rsidP="003702D9">
      <w:pPr>
        <w:pStyle w:val="ListParagraph"/>
        <w:numPr>
          <w:ilvl w:val="0"/>
          <w:numId w:val="9"/>
        </w:numPr>
        <w:spacing w:line="276" w:lineRule="auto"/>
        <w:rPr>
          <w:rFonts w:ascii="Verdana" w:hAnsi="Verdana" w:cs="Arial"/>
        </w:rPr>
      </w:pPr>
      <w:r w:rsidRPr="0071749D">
        <w:rPr>
          <w:rFonts w:ascii="Verdana" w:hAnsi="Verdana" w:cs="Arial"/>
        </w:rPr>
        <w:t>Domestic air travel use has decreased from 2005</w:t>
      </w:r>
      <w:r w:rsidR="00787223">
        <w:rPr>
          <w:rFonts w:ascii="Verdana" w:hAnsi="Verdana" w:cs="Arial"/>
        </w:rPr>
        <w:t xml:space="preserve"> to 20</w:t>
      </w:r>
      <w:r w:rsidRPr="0071749D">
        <w:rPr>
          <w:rFonts w:ascii="Verdana" w:hAnsi="Verdana" w:cs="Arial"/>
        </w:rPr>
        <w:t>21 (remaining at low levels throughout)</w:t>
      </w:r>
    </w:p>
    <w:p w14:paraId="0BC403F8" w14:textId="06ABD9D6" w:rsidR="003702D9" w:rsidRPr="0071749D" w:rsidRDefault="003702D9" w:rsidP="003702D9">
      <w:pPr>
        <w:pStyle w:val="ListParagraph"/>
        <w:numPr>
          <w:ilvl w:val="0"/>
          <w:numId w:val="9"/>
        </w:numPr>
        <w:spacing w:line="276" w:lineRule="auto"/>
        <w:rPr>
          <w:rFonts w:ascii="Verdana" w:hAnsi="Verdana" w:cs="Arial"/>
        </w:rPr>
      </w:pPr>
      <w:r w:rsidRPr="0071749D">
        <w:rPr>
          <w:rFonts w:ascii="Verdana" w:hAnsi="Verdana" w:cs="Arial"/>
        </w:rPr>
        <w:t>Coach and non-local bus use has seen a slight decrease from 2005</w:t>
      </w:r>
      <w:r w:rsidR="00787223">
        <w:rPr>
          <w:rFonts w:ascii="Verdana" w:hAnsi="Verdana" w:cs="Arial"/>
        </w:rPr>
        <w:t xml:space="preserve"> to 20</w:t>
      </w:r>
      <w:r w:rsidRPr="0071749D">
        <w:rPr>
          <w:rFonts w:ascii="Verdana" w:hAnsi="Verdana" w:cs="Arial"/>
        </w:rPr>
        <w:t>21 but data from some years is missing</w:t>
      </w:r>
    </w:p>
    <w:p w14:paraId="79D8E91A" w14:textId="2E0C9675" w:rsidR="003702D9" w:rsidRPr="0071749D" w:rsidRDefault="003702D9" w:rsidP="003702D9">
      <w:pPr>
        <w:pStyle w:val="ListParagraph"/>
        <w:numPr>
          <w:ilvl w:val="0"/>
          <w:numId w:val="9"/>
        </w:numPr>
        <w:spacing w:line="276" w:lineRule="auto"/>
        <w:rPr>
          <w:rFonts w:ascii="Verdana" w:hAnsi="Verdana" w:cs="Arial"/>
        </w:rPr>
      </w:pPr>
      <w:r w:rsidRPr="0071749D">
        <w:rPr>
          <w:rFonts w:ascii="Verdana" w:hAnsi="Verdana" w:cs="Arial"/>
        </w:rPr>
        <w:t>Private car use has remained remarkably similar from 2009</w:t>
      </w:r>
      <w:r w:rsidR="00FF037B">
        <w:rPr>
          <w:rFonts w:ascii="Verdana" w:hAnsi="Verdana" w:cs="Arial"/>
        </w:rPr>
        <w:t xml:space="preserve"> to 20</w:t>
      </w:r>
      <w:r w:rsidRPr="0071749D">
        <w:rPr>
          <w:rFonts w:ascii="Verdana" w:hAnsi="Verdana" w:cs="Arial"/>
        </w:rPr>
        <w:t xml:space="preserve">21 but has seen a slight shift </w:t>
      </w:r>
      <w:r w:rsidR="00FF037B">
        <w:rPr>
          <w:rFonts w:ascii="Verdana" w:hAnsi="Verdana" w:cs="Arial"/>
        </w:rPr>
        <w:t>between</w:t>
      </w:r>
      <w:r w:rsidRPr="0071749D">
        <w:rPr>
          <w:rFonts w:ascii="Verdana" w:hAnsi="Verdana" w:cs="Arial"/>
        </w:rPr>
        <w:t xml:space="preserve"> 2019</w:t>
      </w:r>
      <w:r w:rsidR="00FF037B">
        <w:rPr>
          <w:rFonts w:ascii="Verdana" w:hAnsi="Verdana" w:cs="Arial"/>
        </w:rPr>
        <w:t xml:space="preserve"> and 20</w:t>
      </w:r>
      <w:r w:rsidRPr="0071749D">
        <w:rPr>
          <w:rFonts w:ascii="Verdana" w:hAnsi="Verdana" w:cs="Arial"/>
        </w:rPr>
        <w:t>21 from use in higher frequencies towards use in lower frequencies</w:t>
      </w:r>
    </w:p>
    <w:p w14:paraId="62070CE5" w14:textId="75B1E2A3" w:rsidR="0071749D" w:rsidRPr="0017520C" w:rsidRDefault="003702D9" w:rsidP="0017520C">
      <w:pPr>
        <w:pStyle w:val="ListParagraph"/>
        <w:numPr>
          <w:ilvl w:val="0"/>
          <w:numId w:val="9"/>
        </w:numPr>
        <w:spacing w:line="276" w:lineRule="auto"/>
        <w:rPr>
          <w:rFonts w:ascii="Verdana" w:hAnsi="Verdana" w:cs="Arial"/>
        </w:rPr>
      </w:pPr>
      <w:r w:rsidRPr="0071749D">
        <w:rPr>
          <w:rFonts w:ascii="Verdana" w:hAnsi="Verdana" w:cs="Arial"/>
        </w:rPr>
        <w:t>Local bus use remained stable f</w:t>
      </w:r>
      <w:r w:rsidR="00142226">
        <w:rPr>
          <w:rFonts w:ascii="Verdana" w:hAnsi="Verdana" w:cs="Arial"/>
        </w:rPr>
        <w:t>rom</w:t>
      </w:r>
      <w:r w:rsidRPr="0071749D">
        <w:rPr>
          <w:rFonts w:ascii="Verdana" w:hAnsi="Verdana" w:cs="Arial"/>
        </w:rPr>
        <w:t xml:space="preserve"> 2005</w:t>
      </w:r>
      <w:r w:rsidR="00142226">
        <w:rPr>
          <w:rFonts w:ascii="Verdana" w:hAnsi="Verdana" w:cs="Arial"/>
        </w:rPr>
        <w:t xml:space="preserve"> to</w:t>
      </w:r>
      <w:r w:rsidR="00D32E31">
        <w:rPr>
          <w:rFonts w:ascii="Verdana" w:hAnsi="Verdana" w:cs="Arial"/>
        </w:rPr>
        <w:t xml:space="preserve"> 20</w:t>
      </w:r>
      <w:r w:rsidRPr="0071749D">
        <w:rPr>
          <w:rFonts w:ascii="Verdana" w:hAnsi="Verdana" w:cs="Arial"/>
        </w:rPr>
        <w:t>19 but has seen a slight decrease during and after Covid-19. The same can be said for surface rail and taxi use</w:t>
      </w:r>
    </w:p>
    <w:p w14:paraId="2A39034D" w14:textId="5E31F410" w:rsidR="003702D9" w:rsidRPr="0071749D" w:rsidRDefault="002A200D" w:rsidP="0071749D">
      <w:pPr>
        <w:spacing w:after="0"/>
        <w:rPr>
          <w:rFonts w:ascii="Verdana" w:hAnsi="Verdana"/>
          <w:b/>
          <w:bCs/>
          <w:sz w:val="22"/>
          <w:szCs w:val="22"/>
        </w:rPr>
      </w:pPr>
      <w:r>
        <w:rPr>
          <w:rFonts w:ascii="Verdana" w:hAnsi="Verdana"/>
          <w:b/>
          <w:bCs/>
          <w:sz w:val="22"/>
          <w:szCs w:val="22"/>
        </w:rPr>
        <w:t>The proportion</w:t>
      </w:r>
      <w:r w:rsidR="003702D9" w:rsidRPr="0071749D">
        <w:rPr>
          <w:rFonts w:ascii="Verdana" w:hAnsi="Verdana"/>
          <w:b/>
          <w:bCs/>
          <w:sz w:val="22"/>
          <w:szCs w:val="22"/>
        </w:rPr>
        <w:t xml:space="preserve"> of children (aged 5</w:t>
      </w:r>
      <w:r w:rsidR="0050347A">
        <w:rPr>
          <w:rFonts w:ascii="Verdana" w:hAnsi="Verdana"/>
          <w:b/>
          <w:bCs/>
          <w:sz w:val="22"/>
          <w:szCs w:val="22"/>
        </w:rPr>
        <w:t xml:space="preserve"> to </w:t>
      </w:r>
      <w:r w:rsidR="003702D9" w:rsidRPr="0071749D">
        <w:rPr>
          <w:rFonts w:ascii="Verdana" w:hAnsi="Verdana"/>
          <w:b/>
          <w:bCs/>
          <w:sz w:val="22"/>
          <w:szCs w:val="22"/>
        </w:rPr>
        <w:t>16</w:t>
      </w:r>
      <w:r w:rsidR="0050347A">
        <w:rPr>
          <w:rFonts w:ascii="Verdana" w:hAnsi="Verdana"/>
          <w:b/>
          <w:bCs/>
          <w:sz w:val="22"/>
          <w:szCs w:val="22"/>
        </w:rPr>
        <w:t xml:space="preserve"> years</w:t>
      </w:r>
      <w:r w:rsidR="003702D9" w:rsidRPr="0071749D">
        <w:rPr>
          <w:rFonts w:ascii="Verdana" w:hAnsi="Verdana"/>
          <w:b/>
          <w:bCs/>
          <w:sz w:val="22"/>
          <w:szCs w:val="22"/>
        </w:rPr>
        <w:t>) who usually walk or cycle to school</w:t>
      </w:r>
    </w:p>
    <w:p w14:paraId="68406A53" w14:textId="4E792E22" w:rsidR="003702D9" w:rsidRPr="0071749D" w:rsidRDefault="003702D9" w:rsidP="0071749D">
      <w:pPr>
        <w:spacing w:before="0"/>
        <w:rPr>
          <w:rFonts w:ascii="Verdana" w:hAnsi="Verdana"/>
          <w:sz w:val="22"/>
          <w:szCs w:val="22"/>
        </w:rPr>
      </w:pPr>
      <w:r w:rsidRPr="0071749D">
        <w:rPr>
          <w:rFonts w:ascii="Verdana" w:hAnsi="Verdana"/>
          <w:sz w:val="22"/>
          <w:szCs w:val="22"/>
        </w:rPr>
        <w:t>The following data was only provided up until 2018, but on average showed that,</w:t>
      </w:r>
    </w:p>
    <w:p w14:paraId="0A3BEBB1" w14:textId="6F8BC369" w:rsidR="003702D9" w:rsidRPr="0071749D" w:rsidRDefault="003702D9" w:rsidP="003702D9">
      <w:pPr>
        <w:pStyle w:val="ListParagraph"/>
        <w:numPr>
          <w:ilvl w:val="0"/>
          <w:numId w:val="10"/>
        </w:numPr>
        <w:spacing w:line="276" w:lineRule="auto"/>
        <w:rPr>
          <w:rFonts w:ascii="Verdana" w:hAnsi="Verdana" w:cs="Arial"/>
        </w:rPr>
      </w:pPr>
      <w:r w:rsidRPr="0071749D">
        <w:rPr>
          <w:rFonts w:ascii="Verdana" w:hAnsi="Verdana" w:cs="Arial"/>
        </w:rPr>
        <w:t>From 2003</w:t>
      </w:r>
      <w:r w:rsidR="005366BB">
        <w:rPr>
          <w:rFonts w:ascii="Verdana" w:hAnsi="Verdana" w:cs="Arial"/>
        </w:rPr>
        <w:t xml:space="preserve"> to 20</w:t>
      </w:r>
      <w:r w:rsidRPr="0071749D">
        <w:rPr>
          <w:rFonts w:ascii="Verdana" w:hAnsi="Verdana" w:cs="Arial"/>
        </w:rPr>
        <w:t>18 around 40</w:t>
      </w:r>
      <w:r w:rsidR="0062085A">
        <w:rPr>
          <w:rFonts w:ascii="Verdana" w:hAnsi="Verdana" w:cs="Arial"/>
        </w:rPr>
        <w:t xml:space="preserve"> to </w:t>
      </w:r>
      <w:r w:rsidRPr="0071749D">
        <w:rPr>
          <w:rFonts w:ascii="Verdana" w:hAnsi="Verdana" w:cs="Arial"/>
        </w:rPr>
        <w:t>50% of children in this age group walk to school, whilst 2</w:t>
      </w:r>
      <w:r w:rsidR="0062085A">
        <w:rPr>
          <w:rFonts w:ascii="Verdana" w:hAnsi="Verdana" w:cs="Arial"/>
        </w:rPr>
        <w:t xml:space="preserve"> to </w:t>
      </w:r>
      <w:r w:rsidRPr="0071749D">
        <w:rPr>
          <w:rFonts w:ascii="Verdana" w:hAnsi="Verdana" w:cs="Arial"/>
        </w:rPr>
        <w:t>3% cycle</w:t>
      </w:r>
    </w:p>
    <w:p w14:paraId="37CD8A3E" w14:textId="19EBBBD3" w:rsidR="003702D9" w:rsidRPr="0071749D" w:rsidRDefault="003702D9" w:rsidP="003702D9">
      <w:pPr>
        <w:pStyle w:val="ListParagraph"/>
        <w:numPr>
          <w:ilvl w:val="0"/>
          <w:numId w:val="10"/>
        </w:numPr>
        <w:spacing w:line="276" w:lineRule="auto"/>
        <w:rPr>
          <w:rFonts w:ascii="Verdana" w:hAnsi="Verdana" w:cs="Arial"/>
        </w:rPr>
      </w:pPr>
      <w:r w:rsidRPr="0071749D">
        <w:rPr>
          <w:rFonts w:ascii="Verdana" w:hAnsi="Verdana" w:cs="Arial"/>
        </w:rPr>
        <w:t>Urban rates were much higher than rural</w:t>
      </w:r>
    </w:p>
    <w:p w14:paraId="633D350D" w14:textId="77777777" w:rsidR="003702D9" w:rsidRPr="0071749D" w:rsidRDefault="003702D9" w:rsidP="003702D9">
      <w:pPr>
        <w:pStyle w:val="ListParagraph"/>
        <w:numPr>
          <w:ilvl w:val="0"/>
          <w:numId w:val="10"/>
        </w:numPr>
        <w:spacing w:line="276" w:lineRule="auto"/>
        <w:rPr>
          <w:rFonts w:ascii="Verdana" w:hAnsi="Verdana" w:cs="Arial"/>
        </w:rPr>
      </w:pPr>
      <w:r w:rsidRPr="0071749D">
        <w:rPr>
          <w:rFonts w:ascii="Verdana" w:hAnsi="Verdana" w:cs="Arial"/>
        </w:rPr>
        <w:t>There is not much variation between regions</w:t>
      </w:r>
    </w:p>
    <w:p w14:paraId="3E292D55" w14:textId="07AD32BA" w:rsidR="003702D9" w:rsidRPr="0071749D" w:rsidRDefault="003702D9" w:rsidP="003702D9">
      <w:pPr>
        <w:pStyle w:val="ListParagraph"/>
        <w:numPr>
          <w:ilvl w:val="0"/>
          <w:numId w:val="10"/>
        </w:numPr>
        <w:spacing w:line="276" w:lineRule="auto"/>
        <w:rPr>
          <w:rFonts w:ascii="Verdana" w:hAnsi="Verdana" w:cs="Arial"/>
        </w:rPr>
      </w:pPr>
      <w:r w:rsidRPr="0071749D">
        <w:rPr>
          <w:rFonts w:ascii="Verdana" w:hAnsi="Verdana" w:cs="Arial"/>
        </w:rPr>
        <w:t xml:space="preserve">For walking, the Southeast and East of England </w:t>
      </w:r>
      <w:r w:rsidR="003456AB">
        <w:rPr>
          <w:rFonts w:ascii="Verdana" w:hAnsi="Verdana" w:cs="Arial"/>
        </w:rPr>
        <w:t>have the lowest rates</w:t>
      </w:r>
    </w:p>
    <w:p w14:paraId="73454D29" w14:textId="14F9FDDD" w:rsidR="0071749D" w:rsidRPr="0017520C" w:rsidRDefault="003702D9" w:rsidP="0071749D">
      <w:pPr>
        <w:pStyle w:val="ListParagraph"/>
        <w:numPr>
          <w:ilvl w:val="0"/>
          <w:numId w:val="10"/>
        </w:numPr>
        <w:spacing w:line="276" w:lineRule="auto"/>
        <w:rPr>
          <w:rFonts w:ascii="Verdana" w:hAnsi="Verdana" w:cs="Arial"/>
        </w:rPr>
      </w:pPr>
      <w:r w:rsidRPr="0071749D">
        <w:rPr>
          <w:rFonts w:ascii="Verdana" w:hAnsi="Verdana" w:cs="Arial"/>
        </w:rPr>
        <w:t xml:space="preserve">For cycling, London </w:t>
      </w:r>
      <w:r w:rsidR="003456AB">
        <w:rPr>
          <w:rFonts w:ascii="Verdana" w:hAnsi="Verdana" w:cs="Arial"/>
        </w:rPr>
        <w:t>has the lowest rates</w:t>
      </w:r>
      <w:r w:rsidRPr="0071749D">
        <w:rPr>
          <w:rFonts w:ascii="Verdana" w:hAnsi="Verdana" w:cs="Arial"/>
        </w:rPr>
        <w:t>, followed by Yorkshire and the Humber</w:t>
      </w:r>
    </w:p>
    <w:p w14:paraId="0622E495" w14:textId="4A943A97" w:rsidR="003702D9" w:rsidRPr="0071749D" w:rsidRDefault="002A200D" w:rsidP="0071749D">
      <w:pPr>
        <w:spacing w:after="0"/>
        <w:rPr>
          <w:rFonts w:ascii="Verdana" w:hAnsi="Verdana"/>
          <w:b/>
          <w:bCs/>
          <w:sz w:val="22"/>
          <w:szCs w:val="22"/>
        </w:rPr>
      </w:pPr>
      <w:r>
        <w:rPr>
          <w:rFonts w:ascii="Verdana" w:hAnsi="Verdana"/>
          <w:b/>
          <w:bCs/>
          <w:sz w:val="22"/>
          <w:szCs w:val="22"/>
        </w:rPr>
        <w:t>The proportion</w:t>
      </w:r>
      <w:r w:rsidR="003702D9" w:rsidRPr="0071749D">
        <w:rPr>
          <w:rFonts w:ascii="Verdana" w:hAnsi="Verdana"/>
          <w:b/>
          <w:bCs/>
          <w:sz w:val="22"/>
          <w:szCs w:val="22"/>
        </w:rPr>
        <w:t xml:space="preserve"> of adults who cycle, by purpose, frequency, and demographic</w:t>
      </w:r>
    </w:p>
    <w:p w14:paraId="03A7D564" w14:textId="78A727B2" w:rsidR="003702D9" w:rsidRPr="0071749D" w:rsidRDefault="003702D9" w:rsidP="0071749D">
      <w:pPr>
        <w:spacing w:before="0"/>
        <w:rPr>
          <w:rFonts w:ascii="Verdana" w:hAnsi="Verdana"/>
          <w:sz w:val="22"/>
          <w:szCs w:val="22"/>
        </w:rPr>
      </w:pPr>
      <w:r w:rsidRPr="0071749D">
        <w:rPr>
          <w:rFonts w:ascii="Verdana" w:hAnsi="Verdana"/>
          <w:sz w:val="22"/>
          <w:szCs w:val="22"/>
        </w:rPr>
        <w:t>This data was initially examined but later excluded from this report due to its size and complexity to keep the present report brief. This gives national-level data for Active Travel on the following demographic groupings,</w:t>
      </w:r>
    </w:p>
    <w:p w14:paraId="58B205B7" w14:textId="77777777" w:rsidR="003702D9" w:rsidRPr="0071749D" w:rsidRDefault="003702D9" w:rsidP="003702D9">
      <w:pPr>
        <w:pStyle w:val="ListParagraph"/>
        <w:numPr>
          <w:ilvl w:val="0"/>
          <w:numId w:val="26"/>
        </w:numPr>
        <w:spacing w:line="276" w:lineRule="auto"/>
        <w:rPr>
          <w:rFonts w:ascii="Verdana" w:hAnsi="Verdana" w:cs="Arial"/>
        </w:rPr>
      </w:pPr>
      <w:r w:rsidRPr="0071749D">
        <w:rPr>
          <w:rFonts w:ascii="Verdana" w:hAnsi="Verdana" w:cs="Arial"/>
        </w:rPr>
        <w:t>Gender</w:t>
      </w:r>
    </w:p>
    <w:p w14:paraId="409213A6" w14:textId="77777777" w:rsidR="003702D9" w:rsidRPr="0071749D" w:rsidRDefault="003702D9" w:rsidP="003702D9">
      <w:pPr>
        <w:pStyle w:val="ListParagraph"/>
        <w:numPr>
          <w:ilvl w:val="0"/>
          <w:numId w:val="26"/>
        </w:numPr>
        <w:spacing w:line="276" w:lineRule="auto"/>
        <w:rPr>
          <w:rFonts w:ascii="Verdana" w:hAnsi="Verdana" w:cs="Arial"/>
        </w:rPr>
      </w:pPr>
      <w:r w:rsidRPr="0071749D">
        <w:rPr>
          <w:rFonts w:ascii="Verdana" w:hAnsi="Verdana" w:cs="Arial"/>
        </w:rPr>
        <w:t>Age</w:t>
      </w:r>
    </w:p>
    <w:p w14:paraId="3F089CCC" w14:textId="77777777" w:rsidR="003702D9" w:rsidRPr="0071749D" w:rsidRDefault="003702D9" w:rsidP="003702D9">
      <w:pPr>
        <w:pStyle w:val="ListParagraph"/>
        <w:numPr>
          <w:ilvl w:val="0"/>
          <w:numId w:val="26"/>
        </w:numPr>
        <w:spacing w:line="276" w:lineRule="auto"/>
        <w:rPr>
          <w:rFonts w:ascii="Verdana" w:hAnsi="Verdana" w:cs="Arial"/>
        </w:rPr>
      </w:pPr>
      <w:r w:rsidRPr="0071749D">
        <w:rPr>
          <w:rFonts w:ascii="Verdana" w:hAnsi="Verdana" w:cs="Arial"/>
        </w:rPr>
        <w:t>Ethnicity</w:t>
      </w:r>
    </w:p>
    <w:p w14:paraId="4874219D" w14:textId="77777777" w:rsidR="003702D9" w:rsidRPr="0071749D" w:rsidRDefault="003702D9" w:rsidP="003702D9">
      <w:pPr>
        <w:pStyle w:val="ListParagraph"/>
        <w:numPr>
          <w:ilvl w:val="0"/>
          <w:numId w:val="26"/>
        </w:numPr>
        <w:spacing w:line="276" w:lineRule="auto"/>
        <w:rPr>
          <w:rFonts w:ascii="Verdana" w:hAnsi="Verdana" w:cs="Arial"/>
        </w:rPr>
      </w:pPr>
      <w:r w:rsidRPr="0071749D">
        <w:rPr>
          <w:rFonts w:ascii="Verdana" w:hAnsi="Verdana" w:cs="Arial"/>
        </w:rPr>
        <w:t>Disability status</w:t>
      </w:r>
    </w:p>
    <w:p w14:paraId="2A3A6645" w14:textId="77777777" w:rsidR="003702D9" w:rsidRPr="0071749D" w:rsidRDefault="003702D9" w:rsidP="003702D9">
      <w:pPr>
        <w:pStyle w:val="ListParagraph"/>
        <w:numPr>
          <w:ilvl w:val="0"/>
          <w:numId w:val="26"/>
        </w:numPr>
        <w:spacing w:line="276" w:lineRule="auto"/>
        <w:rPr>
          <w:rFonts w:ascii="Verdana" w:hAnsi="Verdana" w:cs="Arial"/>
        </w:rPr>
      </w:pPr>
      <w:r w:rsidRPr="0071749D">
        <w:rPr>
          <w:rFonts w:ascii="Verdana" w:hAnsi="Verdana" w:cs="Arial"/>
        </w:rPr>
        <w:t>Socioeconomic class</w:t>
      </w:r>
    </w:p>
    <w:p w14:paraId="1D721D91" w14:textId="3FAAE1AF" w:rsidR="003702D9" w:rsidRPr="0071749D" w:rsidRDefault="003702D9" w:rsidP="003702D9">
      <w:pPr>
        <w:pStyle w:val="ListParagraph"/>
        <w:numPr>
          <w:ilvl w:val="0"/>
          <w:numId w:val="26"/>
        </w:numPr>
        <w:spacing w:line="276" w:lineRule="auto"/>
        <w:rPr>
          <w:rFonts w:ascii="Verdana" w:hAnsi="Verdana" w:cs="Arial"/>
        </w:rPr>
      </w:pPr>
      <w:r w:rsidRPr="0071749D">
        <w:rPr>
          <w:rFonts w:ascii="Verdana" w:hAnsi="Verdana" w:cs="Arial"/>
        </w:rPr>
        <w:t>Deprivation</w:t>
      </w:r>
    </w:p>
    <w:p w14:paraId="27C341CD" w14:textId="056F03FE" w:rsidR="0017520C" w:rsidRPr="006E7150" w:rsidRDefault="003702D9" w:rsidP="006E7150">
      <w:pPr>
        <w:pStyle w:val="ListParagraph"/>
        <w:numPr>
          <w:ilvl w:val="0"/>
          <w:numId w:val="26"/>
        </w:numPr>
        <w:spacing w:line="276" w:lineRule="auto"/>
        <w:rPr>
          <w:rFonts w:ascii="Verdana" w:hAnsi="Verdana" w:cs="Arial"/>
        </w:rPr>
      </w:pPr>
      <w:r w:rsidRPr="0071749D">
        <w:rPr>
          <w:rFonts w:ascii="Verdana" w:hAnsi="Verdana" w:cs="Arial"/>
        </w:rPr>
        <w:t>Rural or Urban living status</w:t>
      </w:r>
    </w:p>
    <w:sectPr w:rsidR="0017520C" w:rsidRPr="006E7150" w:rsidSect="000454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ED06A" w14:textId="77777777" w:rsidR="00A4486A" w:rsidRDefault="00A4486A" w:rsidP="00CE57B9">
      <w:pPr>
        <w:spacing w:after="0" w:line="240" w:lineRule="auto"/>
      </w:pPr>
      <w:r>
        <w:separator/>
      </w:r>
    </w:p>
  </w:endnote>
  <w:endnote w:type="continuationSeparator" w:id="0">
    <w:p w14:paraId="3B844AC9" w14:textId="77777777" w:rsidR="00A4486A" w:rsidRDefault="00A4486A" w:rsidP="00CE57B9">
      <w:pPr>
        <w:spacing w:after="0" w:line="240" w:lineRule="auto"/>
      </w:pPr>
      <w:r>
        <w:continuationSeparator/>
      </w:r>
    </w:p>
  </w:endnote>
  <w:endnote w:type="continuationNotice" w:id="1">
    <w:p w14:paraId="765658E0" w14:textId="77777777" w:rsidR="00A4486A" w:rsidRDefault="00A448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D9A4" w14:textId="1992AB69" w:rsidR="009B6535" w:rsidRPr="004837FE" w:rsidRDefault="009F2D67" w:rsidP="009B6535">
    <w:pPr>
      <w:spacing w:after="160"/>
      <w:jc w:val="right"/>
      <w:rPr>
        <w:rFonts w:asciiTheme="minorHAnsi" w:hAnsiTheme="minorHAnsi"/>
        <w:b/>
        <w:color w:val="2D7C82"/>
        <w:sz w:val="26"/>
        <w:szCs w:val="26"/>
      </w:rPr>
    </w:pPr>
    <w:r w:rsidRPr="004837FE">
      <w:rPr>
        <w:rFonts w:asciiTheme="minorHAnsi" w:hAnsiTheme="minorHAnsi"/>
        <w:b/>
        <w:noProof/>
        <w:sz w:val="26"/>
        <w:szCs w:val="26"/>
      </w:rPr>
      <mc:AlternateContent>
        <mc:Choice Requires="wps">
          <w:drawing>
            <wp:anchor distT="0" distB="0" distL="114300" distR="114300" simplePos="0" relativeHeight="251642880" behindDoc="0" locked="0" layoutInCell="1" allowOverlap="1" wp14:anchorId="36B0E79F" wp14:editId="6AC01547">
              <wp:simplePos x="0" y="0"/>
              <wp:positionH relativeFrom="column">
                <wp:posOffset>199266</wp:posOffset>
              </wp:positionH>
              <wp:positionV relativeFrom="paragraph">
                <wp:posOffset>135766</wp:posOffset>
              </wp:positionV>
              <wp:extent cx="53340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D157B" id="Straight Connector 2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10.7pt" to="435.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" strokecolor="#a75585" strokeweight="1pt"/>
          </w:pict>
        </mc:Fallback>
      </mc:AlternateContent>
    </w:r>
    <w:r w:rsidR="004D47D6" w:rsidRPr="004837FE">
      <w:rPr>
        <w:rFonts w:asciiTheme="minorHAnsi" w:hAnsiTheme="minorHAnsi"/>
        <w:noProof/>
      </w:rPr>
      <w:drawing>
        <wp:anchor distT="0" distB="0" distL="114300" distR="114300" simplePos="0" relativeHeight="251658240" behindDoc="1" locked="0" layoutInCell="1" allowOverlap="1" wp14:anchorId="655FA0A9" wp14:editId="54C6F9ED">
          <wp:simplePos x="0" y="0"/>
          <wp:positionH relativeFrom="column">
            <wp:posOffset>-548640</wp:posOffset>
          </wp:positionH>
          <wp:positionV relativeFrom="paragraph">
            <wp:posOffset>-228600</wp:posOffset>
          </wp:positionV>
          <wp:extent cx="7764780" cy="2179320"/>
          <wp:effectExtent l="0" t="0" r="7620" b="0"/>
          <wp:wrapNone/>
          <wp:docPr id="848577302" name="Picture 84857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polygon_full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780" cy="2179320"/>
                  </a:xfrm>
                  <a:prstGeom prst="rect">
                    <a:avLst/>
                  </a:prstGeom>
                </pic:spPr>
              </pic:pic>
            </a:graphicData>
          </a:graphic>
          <wp14:sizeRelH relativeFrom="page">
            <wp14:pctWidth>0</wp14:pctWidth>
          </wp14:sizeRelH>
          <wp14:sizeRelV relativeFrom="page">
            <wp14:pctHeight>0</wp14:pctHeight>
          </wp14:sizeRelV>
        </wp:anchor>
      </w:drawing>
    </w:r>
    <w:r w:rsidR="009B6535" w:rsidRPr="004837FE">
      <w:rPr>
        <w:rFonts w:asciiTheme="minorHAnsi" w:hAnsiTheme="minorHAnsi"/>
        <w:b/>
        <w:color w:val="2D7C82"/>
        <w:sz w:val="26"/>
        <w:szCs w:val="26"/>
      </w:rPr>
      <w:t>Produced by</w:t>
    </w:r>
  </w:p>
  <w:p w14:paraId="1A5E3192" w14:textId="6500E8A5" w:rsidR="00F745AD" w:rsidRDefault="0009010A" w:rsidP="00F86AB4">
    <w:pPr>
      <w:spacing w:before="0" w:after="0"/>
      <w:jc w:val="right"/>
      <w:rPr>
        <w:rFonts w:asciiTheme="minorHAnsi" w:hAnsiTheme="minorHAnsi"/>
        <w:sz w:val="22"/>
        <w:szCs w:val="22"/>
      </w:rPr>
    </w:pPr>
    <w:r>
      <w:rPr>
        <w:rFonts w:asciiTheme="minorHAnsi" w:hAnsiTheme="minorHAnsi"/>
        <w:sz w:val="22"/>
        <w:szCs w:val="22"/>
      </w:rPr>
      <w:t>Joseph Alberts: Information Officer (</w:t>
    </w:r>
    <w:hyperlink r:id="rId2" w:history="1">
      <w:r w:rsidR="00317464" w:rsidRPr="00C05B59">
        <w:rPr>
          <w:rStyle w:val="Hyperlink"/>
          <w:rFonts w:asciiTheme="minorHAnsi" w:hAnsiTheme="minorHAnsi"/>
          <w:sz w:val="22"/>
          <w:szCs w:val="22"/>
        </w:rPr>
        <w:t>Joseph.Alberts@Kent.gov.uk</w:t>
      </w:r>
    </w:hyperlink>
    <w:r w:rsidR="00F745AD">
      <w:rPr>
        <w:rFonts w:asciiTheme="minorHAnsi" w:hAnsiTheme="minorHAnsi"/>
        <w:sz w:val="22"/>
        <w:szCs w:val="22"/>
      </w:rPr>
      <w:t>)</w:t>
    </w:r>
  </w:p>
  <w:p w14:paraId="5BEB46C3" w14:textId="6CA8DB66" w:rsidR="00FA7145" w:rsidRDefault="006E5018" w:rsidP="00E04561">
    <w:pPr>
      <w:spacing w:before="0" w:after="0"/>
      <w:jc w:val="right"/>
      <w:rPr>
        <w:rFonts w:asciiTheme="minorHAnsi" w:hAnsiTheme="minorHAnsi"/>
      </w:rPr>
    </w:pPr>
    <w:r w:rsidRPr="004837FE">
      <w:rPr>
        <w:rFonts w:asciiTheme="minorHAnsi" w:hAnsiTheme="minorHAnsi"/>
        <w:noProof/>
      </w:rPr>
      <w:drawing>
        <wp:anchor distT="0" distB="0" distL="114300" distR="114300" simplePos="0" relativeHeight="251657216" behindDoc="0" locked="0" layoutInCell="1" allowOverlap="1" wp14:anchorId="4BE03146" wp14:editId="3F444835">
          <wp:simplePos x="0" y="0"/>
          <wp:positionH relativeFrom="column">
            <wp:posOffset>83820</wp:posOffset>
          </wp:positionH>
          <wp:positionV relativeFrom="paragraph">
            <wp:posOffset>78740</wp:posOffset>
          </wp:positionV>
          <wp:extent cx="1097280" cy="714375"/>
          <wp:effectExtent l="0" t="0" r="7620" b="9525"/>
          <wp:wrapNone/>
          <wp:docPr id="2137807473" name="Picture 213780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C Logo -New.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97280" cy="714375"/>
                  </a:xfrm>
                  <a:prstGeom prst="rect">
                    <a:avLst/>
                  </a:prstGeom>
                </pic:spPr>
              </pic:pic>
            </a:graphicData>
          </a:graphic>
          <wp14:sizeRelH relativeFrom="page">
            <wp14:pctWidth>0</wp14:pctWidth>
          </wp14:sizeRelH>
          <wp14:sizeRelV relativeFrom="page">
            <wp14:pctHeight>0</wp14:pctHeight>
          </wp14:sizeRelV>
        </wp:anchor>
      </w:drawing>
    </w:r>
    <w:r w:rsidR="00317464">
      <w:rPr>
        <w:rFonts w:asciiTheme="minorHAnsi" w:hAnsiTheme="minorHAnsi"/>
        <w:sz w:val="22"/>
        <w:szCs w:val="22"/>
      </w:rPr>
      <w:t>Tami Sonubi</w:t>
    </w:r>
    <w:r w:rsidR="00F86AB4">
      <w:rPr>
        <w:rFonts w:asciiTheme="minorHAnsi" w:hAnsiTheme="minorHAnsi"/>
        <w:sz w:val="22"/>
        <w:szCs w:val="22"/>
      </w:rPr>
      <w:t>:</w:t>
    </w:r>
    <w:r w:rsidR="00E35F7C" w:rsidRPr="004837FE">
      <w:rPr>
        <w:rFonts w:asciiTheme="minorHAnsi" w:hAnsiTheme="minorHAnsi"/>
        <w:sz w:val="22"/>
        <w:szCs w:val="22"/>
      </w:rPr>
      <w:t xml:space="preserve"> </w:t>
    </w:r>
    <w:r w:rsidR="00317464">
      <w:rPr>
        <w:rFonts w:asciiTheme="minorHAnsi" w:hAnsiTheme="minorHAnsi"/>
        <w:sz w:val="22"/>
        <w:szCs w:val="22"/>
      </w:rPr>
      <w:t>Senior Analyst</w:t>
    </w:r>
    <w:r w:rsidR="00E35F7C" w:rsidRPr="004837FE">
      <w:rPr>
        <w:rFonts w:asciiTheme="minorHAnsi" w:hAnsiTheme="minorHAnsi"/>
        <w:sz w:val="22"/>
        <w:szCs w:val="22"/>
      </w:rPr>
      <w:t xml:space="preserve"> (</w:t>
    </w:r>
    <w:hyperlink r:id="rId4" w:history="1">
      <w:r w:rsidR="00317464" w:rsidRPr="00C05B59">
        <w:rPr>
          <w:rStyle w:val="Hyperlink"/>
          <w:rFonts w:asciiTheme="minorHAnsi" w:hAnsiTheme="minorHAnsi"/>
          <w:sz w:val="22"/>
          <w:szCs w:val="22"/>
        </w:rPr>
        <w:t>Tami.Sonubi@Kent.gov.uk</w:t>
      </w:r>
    </w:hyperlink>
    <w:r w:rsidR="00E35F7C" w:rsidRPr="004837FE">
      <w:rPr>
        <w:rFonts w:asciiTheme="minorHAnsi" w:hAnsiTheme="minorHAnsi"/>
      </w:rPr>
      <w:t>)</w:t>
    </w:r>
  </w:p>
  <w:p w14:paraId="5F57423F" w14:textId="57320195" w:rsidR="00E35F7C" w:rsidRPr="004837FE" w:rsidRDefault="004D47D6" w:rsidP="00A57BA9">
    <w:pPr>
      <w:spacing w:before="0" w:after="0"/>
      <w:ind w:left="-567"/>
      <w:jc w:val="right"/>
      <w:rPr>
        <w:rFonts w:asciiTheme="minorHAnsi" w:hAnsiTheme="minorHAnsi"/>
      </w:rPr>
    </w:pPr>
    <w:r>
      <w:rPr>
        <w:rFonts w:asciiTheme="minorHAnsi" w:hAnsiTheme="minorHAnsi"/>
      </w:rPr>
      <w:t xml:space="preserve">Correspondence to: </w:t>
    </w:r>
    <w:r w:rsidR="00317464">
      <w:rPr>
        <w:rFonts w:asciiTheme="minorHAnsi" w:hAnsiTheme="minorHAnsi"/>
      </w:rPr>
      <w:t>Joseph Alberts</w:t>
    </w:r>
  </w:p>
  <w:p w14:paraId="319563AC" w14:textId="77777777" w:rsidR="00AE684F" w:rsidRPr="004837FE" w:rsidRDefault="00AE684F" w:rsidP="00A57BA9">
    <w:pPr>
      <w:spacing w:before="0" w:after="0"/>
      <w:ind w:left="-567"/>
      <w:jc w:val="right"/>
      <w:rPr>
        <w:rFonts w:asciiTheme="minorHAnsi" w:hAnsiTheme="minorHAnsi"/>
        <w:sz w:val="22"/>
        <w:szCs w:val="22"/>
      </w:rPr>
    </w:pPr>
  </w:p>
  <w:p w14:paraId="4B1D8FD5" w14:textId="0CCADCEE" w:rsidR="009B6535" w:rsidRDefault="00F86AB4" w:rsidP="00554A21">
    <w:pPr>
      <w:spacing w:before="0" w:after="0"/>
      <w:ind w:left="-567"/>
      <w:jc w:val="right"/>
      <w:rPr>
        <w:rFonts w:asciiTheme="minorHAnsi" w:hAnsiTheme="minorHAnsi"/>
        <w:color w:val="2D7C82"/>
        <w:sz w:val="22"/>
        <w:szCs w:val="22"/>
      </w:rPr>
    </w:pPr>
    <w:r>
      <w:rPr>
        <w:rFonts w:asciiTheme="minorHAnsi" w:hAnsiTheme="minorHAnsi"/>
        <w:color w:val="2D7C82"/>
        <w:sz w:val="22"/>
        <w:szCs w:val="22"/>
      </w:rPr>
      <w:t>Version 1</w:t>
    </w:r>
    <w:r w:rsidR="00857507">
      <w:rPr>
        <w:rFonts w:asciiTheme="minorHAnsi" w:hAnsiTheme="minorHAnsi"/>
        <w:color w:val="2D7C82"/>
        <w:sz w:val="22"/>
        <w:szCs w:val="22"/>
      </w:rPr>
      <w:t>.</w:t>
    </w:r>
    <w:r w:rsidR="000957D6">
      <w:rPr>
        <w:rFonts w:asciiTheme="minorHAnsi" w:hAnsiTheme="minorHAnsi"/>
        <w:color w:val="2D7C82"/>
        <w:sz w:val="22"/>
        <w:szCs w:val="22"/>
      </w:rPr>
      <w:t>5</w:t>
    </w:r>
  </w:p>
  <w:p w14:paraId="4823A9C2" w14:textId="06CC65D0" w:rsidR="00F86AB4" w:rsidRPr="004837FE" w:rsidRDefault="00F86AB4" w:rsidP="00554A21">
    <w:pPr>
      <w:spacing w:before="0" w:after="0"/>
      <w:ind w:left="-567"/>
      <w:jc w:val="right"/>
      <w:rPr>
        <w:rFonts w:asciiTheme="minorHAnsi" w:hAnsiTheme="minorHAnsi"/>
        <w:color w:val="2D7C82"/>
        <w:sz w:val="22"/>
        <w:szCs w:val="22"/>
      </w:rPr>
    </w:pPr>
    <w:r>
      <w:rPr>
        <w:rFonts w:asciiTheme="minorHAnsi" w:hAnsiTheme="minorHAnsi"/>
        <w:color w:val="2D7C82"/>
        <w:sz w:val="22"/>
        <w:szCs w:val="22"/>
      </w:rPr>
      <w:t xml:space="preserve">Last updated: </w:t>
    </w:r>
    <w:r>
      <w:rPr>
        <w:rFonts w:asciiTheme="minorHAnsi" w:hAnsiTheme="minorHAnsi"/>
        <w:color w:val="2D7C82"/>
        <w:sz w:val="22"/>
        <w:szCs w:val="22"/>
      </w:rPr>
      <w:fldChar w:fldCharType="begin"/>
    </w:r>
    <w:r>
      <w:rPr>
        <w:rFonts w:asciiTheme="minorHAnsi" w:hAnsiTheme="minorHAnsi"/>
        <w:color w:val="2D7C82"/>
        <w:sz w:val="22"/>
        <w:szCs w:val="22"/>
      </w:rPr>
      <w:instrText xml:space="preserve"> DATE  \@ "dd MMM. yy"  \* MERGEFORMAT </w:instrText>
    </w:r>
    <w:r>
      <w:rPr>
        <w:rFonts w:asciiTheme="minorHAnsi" w:hAnsiTheme="minorHAnsi"/>
        <w:color w:val="2D7C82"/>
        <w:sz w:val="22"/>
        <w:szCs w:val="22"/>
      </w:rPr>
      <w:fldChar w:fldCharType="separate"/>
    </w:r>
    <w:r w:rsidR="00F31B02">
      <w:rPr>
        <w:rFonts w:asciiTheme="minorHAnsi" w:hAnsiTheme="minorHAnsi"/>
        <w:noProof/>
        <w:color w:val="2D7C82"/>
        <w:sz w:val="22"/>
        <w:szCs w:val="22"/>
      </w:rPr>
      <w:t>09 Dec. 23</w:t>
    </w:r>
    <w:r>
      <w:rPr>
        <w:rFonts w:asciiTheme="minorHAnsi" w:hAnsiTheme="minorHAnsi"/>
        <w:color w:val="2D7C82"/>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rPr>
      <w:id w:val="-2103633456"/>
      <w:docPartObj>
        <w:docPartGallery w:val="Page Numbers (Bottom of Page)"/>
        <w:docPartUnique/>
      </w:docPartObj>
    </w:sdtPr>
    <w:sdtEndPr>
      <w:rPr>
        <w:noProof/>
        <w:color w:val="2D7C82"/>
        <w:sz w:val="22"/>
        <w:szCs w:val="22"/>
      </w:rPr>
    </w:sdtEndPr>
    <w:sdtContent>
      <w:p w14:paraId="4859DE33" w14:textId="77777777" w:rsidR="009043C3" w:rsidRPr="004837FE" w:rsidRDefault="009043C3">
        <w:pPr>
          <w:pStyle w:val="Footer"/>
          <w:jc w:val="right"/>
          <w:rPr>
            <w:rFonts w:asciiTheme="minorHAnsi" w:hAnsiTheme="minorHAnsi"/>
            <w:color w:val="2D7C82"/>
            <w:sz w:val="22"/>
            <w:szCs w:val="22"/>
          </w:rPr>
        </w:pPr>
        <w:r w:rsidRPr="004837FE">
          <w:rPr>
            <w:rFonts w:asciiTheme="minorHAnsi" w:hAnsiTheme="minorHAnsi"/>
            <w:b/>
            <w:noProof/>
            <w:sz w:val="26"/>
            <w:szCs w:val="26"/>
          </w:rPr>
          <mc:AlternateContent>
            <mc:Choice Requires="wps">
              <w:drawing>
                <wp:anchor distT="0" distB="0" distL="114300" distR="114300" simplePos="0" relativeHeight="251653120" behindDoc="0" locked="0" layoutInCell="1" allowOverlap="1" wp14:anchorId="1FB899CC" wp14:editId="65FD3E1A">
                  <wp:simplePos x="0" y="0"/>
                  <wp:positionH relativeFrom="column">
                    <wp:posOffset>-320040</wp:posOffset>
                  </wp:positionH>
                  <wp:positionV relativeFrom="paragraph">
                    <wp:posOffset>111548</wp:posOffset>
                  </wp:positionV>
                  <wp:extent cx="5760000" cy="0"/>
                  <wp:effectExtent l="0" t="0" r="12700" b="19050"/>
                  <wp:wrapNone/>
                  <wp:docPr id="26" name="Straight Connector 26"/>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77C6A" id="Straight Connector 2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8.8pt" to="428.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" strokecolor="#a75585" strokeweight="1pt"/>
              </w:pict>
            </mc:Fallback>
          </mc:AlternateContent>
        </w:r>
        <w:r w:rsidRPr="004837FE">
          <w:rPr>
            <w:rFonts w:asciiTheme="minorHAnsi" w:hAnsiTheme="minorHAnsi"/>
            <w:color w:val="2D7C82"/>
            <w:sz w:val="22"/>
            <w:szCs w:val="22"/>
          </w:rPr>
          <w:fldChar w:fldCharType="begin"/>
        </w:r>
        <w:r w:rsidRPr="004837FE">
          <w:rPr>
            <w:rFonts w:asciiTheme="minorHAnsi" w:hAnsiTheme="minorHAnsi"/>
            <w:color w:val="2D7C82"/>
            <w:sz w:val="22"/>
            <w:szCs w:val="22"/>
          </w:rPr>
          <w:instrText xml:space="preserve"> PAGE   \* MERGEFORMAT </w:instrText>
        </w:r>
        <w:r w:rsidRPr="004837FE">
          <w:rPr>
            <w:rFonts w:asciiTheme="minorHAnsi" w:hAnsiTheme="minorHAnsi"/>
            <w:color w:val="2D7C82"/>
            <w:sz w:val="22"/>
            <w:szCs w:val="22"/>
          </w:rPr>
          <w:fldChar w:fldCharType="separate"/>
        </w:r>
        <w:r w:rsidR="00196EB2">
          <w:rPr>
            <w:rFonts w:asciiTheme="minorHAnsi" w:hAnsiTheme="minorHAnsi"/>
            <w:noProof/>
            <w:color w:val="2D7C82"/>
            <w:sz w:val="22"/>
            <w:szCs w:val="22"/>
          </w:rPr>
          <w:t>3</w:t>
        </w:r>
        <w:r w:rsidRPr="004837FE">
          <w:rPr>
            <w:rFonts w:asciiTheme="minorHAnsi" w:hAnsiTheme="minorHAnsi"/>
            <w:noProof/>
            <w:color w:val="2D7C82"/>
            <w:sz w:val="22"/>
            <w:szCs w:val="22"/>
          </w:rPr>
          <w:fldChar w:fldCharType="end"/>
        </w:r>
      </w:p>
    </w:sdtContent>
  </w:sdt>
  <w:p w14:paraId="3AAE2FE8" w14:textId="074FCF4E" w:rsidR="009043C3" w:rsidRPr="004837FE" w:rsidRDefault="00D76D49" w:rsidP="004837FE">
    <w:pPr>
      <w:pStyle w:val="Footer"/>
      <w:spacing w:before="0"/>
      <w:rPr>
        <w:rFonts w:asciiTheme="minorHAnsi" w:hAnsiTheme="minorHAnsi"/>
        <w:sz w:val="20"/>
        <w:szCs w:val="20"/>
      </w:rPr>
    </w:pPr>
    <w:r>
      <w:rPr>
        <w:rFonts w:asciiTheme="minorHAnsi" w:hAnsiTheme="minorHAnsi"/>
        <w:sz w:val="20"/>
        <w:szCs w:val="20"/>
      </w:rPr>
      <w:t>Active Travel</w:t>
    </w:r>
    <w:r w:rsidR="00EB2F53">
      <w:rPr>
        <w:rFonts w:asciiTheme="minorHAnsi" w:hAnsiTheme="minorHAnsi"/>
        <w:sz w:val="20"/>
        <w:szCs w:val="20"/>
      </w:rPr>
      <w:t xml:space="preserve"> in Kent, </w:t>
    </w:r>
    <w:r w:rsidR="00813431">
      <w:rPr>
        <w:rFonts w:asciiTheme="minorHAnsi" w:hAnsiTheme="minorHAnsi"/>
        <w:sz w:val="20"/>
        <w:szCs w:val="20"/>
      </w:rPr>
      <w:t>July</w:t>
    </w:r>
    <w:r w:rsidR="00EB2F53">
      <w:rPr>
        <w:rFonts w:asciiTheme="minorHAnsi" w:hAnsiTheme="minorHAnsi"/>
        <w:sz w:val="20"/>
        <w:szCs w:val="20"/>
      </w:rPr>
      <w:t xml:space="preserve"> 202</w:t>
    </w:r>
    <w:r w:rsidR="006532EB">
      <w:rPr>
        <w:rFonts w:asciiTheme="minorHAnsi" w:hAnsiTheme="minorHAnsi"/>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359D1" w14:textId="77777777" w:rsidR="00A4486A" w:rsidRDefault="00A4486A" w:rsidP="00CE57B9">
      <w:pPr>
        <w:spacing w:after="0" w:line="240" w:lineRule="auto"/>
      </w:pPr>
      <w:r>
        <w:separator/>
      </w:r>
    </w:p>
  </w:footnote>
  <w:footnote w:type="continuationSeparator" w:id="0">
    <w:p w14:paraId="7ACCFE95" w14:textId="77777777" w:rsidR="00A4486A" w:rsidRDefault="00A4486A" w:rsidP="00CE57B9">
      <w:pPr>
        <w:spacing w:after="0" w:line="240" w:lineRule="auto"/>
      </w:pPr>
      <w:r>
        <w:continuationSeparator/>
      </w:r>
    </w:p>
  </w:footnote>
  <w:footnote w:type="continuationNotice" w:id="1">
    <w:p w14:paraId="7648AA02" w14:textId="77777777" w:rsidR="00A4486A" w:rsidRDefault="00A448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B3F2" w14:textId="77777777" w:rsidR="00D73D33" w:rsidRDefault="00A72405">
    <w:pPr>
      <w:pStyle w:val="Header"/>
    </w:pPr>
    <w:r>
      <w:rPr>
        <w:b/>
        <w:noProof/>
        <w:color w:val="2D7C82"/>
        <w:sz w:val="36"/>
        <w:szCs w:val="36"/>
      </w:rPr>
      <w:drawing>
        <wp:anchor distT="0" distB="0" distL="114300" distR="114300" simplePos="0" relativeHeight="251662848" behindDoc="1" locked="0" layoutInCell="1" allowOverlap="1" wp14:anchorId="1180E7CA" wp14:editId="3992EE26">
          <wp:simplePos x="0" y="0"/>
          <wp:positionH relativeFrom="column">
            <wp:posOffset>4610100</wp:posOffset>
          </wp:positionH>
          <wp:positionV relativeFrom="paragraph">
            <wp:posOffset>-20955</wp:posOffset>
          </wp:positionV>
          <wp:extent cx="1516380" cy="365236"/>
          <wp:effectExtent l="0" t="0" r="7620" b="0"/>
          <wp:wrapNone/>
          <wp:docPr id="1063887639" name="Picture 106388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ho-logo-TEAL-12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6380" cy="3652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7892"/>
    <w:multiLevelType w:val="hybridMultilevel"/>
    <w:tmpl w:val="7E5AB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704A6"/>
    <w:multiLevelType w:val="hybridMultilevel"/>
    <w:tmpl w:val="1DD6E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E683E"/>
    <w:multiLevelType w:val="hybridMultilevel"/>
    <w:tmpl w:val="AB56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26405"/>
    <w:multiLevelType w:val="hybridMultilevel"/>
    <w:tmpl w:val="1C9E4E52"/>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BF90C7B"/>
    <w:multiLevelType w:val="hybridMultilevel"/>
    <w:tmpl w:val="5B4AB8EA"/>
    <w:lvl w:ilvl="0" w:tplc="73CCEE9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1344E"/>
    <w:multiLevelType w:val="hybridMultilevel"/>
    <w:tmpl w:val="B3961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044EA"/>
    <w:multiLevelType w:val="hybridMultilevel"/>
    <w:tmpl w:val="2BE69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B058E3"/>
    <w:multiLevelType w:val="hybridMultilevel"/>
    <w:tmpl w:val="9BBE3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74B72"/>
    <w:multiLevelType w:val="multilevel"/>
    <w:tmpl w:val="15A4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77662"/>
    <w:multiLevelType w:val="multilevel"/>
    <w:tmpl w:val="C6A89342"/>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3A0892"/>
    <w:multiLevelType w:val="hybridMultilevel"/>
    <w:tmpl w:val="D5F2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248DC"/>
    <w:multiLevelType w:val="hybridMultilevel"/>
    <w:tmpl w:val="B80C5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862C5"/>
    <w:multiLevelType w:val="hybridMultilevel"/>
    <w:tmpl w:val="C91C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D74BA8"/>
    <w:multiLevelType w:val="hybridMultilevel"/>
    <w:tmpl w:val="4F500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C02AF5"/>
    <w:multiLevelType w:val="hybridMultilevel"/>
    <w:tmpl w:val="2270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107AAC"/>
    <w:multiLevelType w:val="hybridMultilevel"/>
    <w:tmpl w:val="D5CA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5A1558"/>
    <w:multiLevelType w:val="multilevel"/>
    <w:tmpl w:val="204E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7742B2"/>
    <w:multiLevelType w:val="hybridMultilevel"/>
    <w:tmpl w:val="ED3CD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241A57"/>
    <w:multiLevelType w:val="hybridMultilevel"/>
    <w:tmpl w:val="ACEAF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9A3CF2"/>
    <w:multiLevelType w:val="hybridMultilevel"/>
    <w:tmpl w:val="56CA1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4A0379"/>
    <w:multiLevelType w:val="hybridMultilevel"/>
    <w:tmpl w:val="BDDC53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D5C26FA"/>
    <w:multiLevelType w:val="hybridMultilevel"/>
    <w:tmpl w:val="E71473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FE61D57"/>
    <w:multiLevelType w:val="hybridMultilevel"/>
    <w:tmpl w:val="A0ECE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C61358"/>
    <w:multiLevelType w:val="hybridMultilevel"/>
    <w:tmpl w:val="BA248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561F20"/>
    <w:multiLevelType w:val="multilevel"/>
    <w:tmpl w:val="8256AE5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C94614"/>
    <w:multiLevelType w:val="hybridMultilevel"/>
    <w:tmpl w:val="42D2C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275439"/>
    <w:multiLevelType w:val="hybridMultilevel"/>
    <w:tmpl w:val="B5EA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651289"/>
    <w:multiLevelType w:val="hybridMultilevel"/>
    <w:tmpl w:val="AF48F4B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52E42DE"/>
    <w:multiLevelType w:val="hybridMultilevel"/>
    <w:tmpl w:val="F350C3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B3E5894"/>
    <w:multiLevelType w:val="hybridMultilevel"/>
    <w:tmpl w:val="B878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A11B4A"/>
    <w:multiLevelType w:val="hybridMultilevel"/>
    <w:tmpl w:val="24E2418C"/>
    <w:lvl w:ilvl="0" w:tplc="631E04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755D7B"/>
    <w:multiLevelType w:val="hybridMultilevel"/>
    <w:tmpl w:val="DF74E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F80C0D"/>
    <w:multiLevelType w:val="hybridMultilevel"/>
    <w:tmpl w:val="E1B8D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8E354D"/>
    <w:multiLevelType w:val="multilevel"/>
    <w:tmpl w:val="C81C5998"/>
    <w:lvl w:ilvl="0">
      <w:start w:val="1"/>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4" w15:restartNumberingAfterBreak="0">
    <w:nsid w:val="55170A13"/>
    <w:multiLevelType w:val="hybridMultilevel"/>
    <w:tmpl w:val="765AE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101908"/>
    <w:multiLevelType w:val="hybridMultilevel"/>
    <w:tmpl w:val="1E0AB2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28B30DC"/>
    <w:multiLevelType w:val="hybridMultilevel"/>
    <w:tmpl w:val="31642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E57A9D"/>
    <w:multiLevelType w:val="hybridMultilevel"/>
    <w:tmpl w:val="EBE095BA"/>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65110B20"/>
    <w:multiLevelType w:val="hybridMultilevel"/>
    <w:tmpl w:val="F956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7D6270"/>
    <w:multiLevelType w:val="hybridMultilevel"/>
    <w:tmpl w:val="8910AC72"/>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69DB4A8F"/>
    <w:multiLevelType w:val="hybridMultilevel"/>
    <w:tmpl w:val="D6C4A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115C94"/>
    <w:multiLevelType w:val="multilevel"/>
    <w:tmpl w:val="A39E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FD2210A"/>
    <w:multiLevelType w:val="multilevel"/>
    <w:tmpl w:val="72AC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AF2BFF"/>
    <w:multiLevelType w:val="hybridMultilevel"/>
    <w:tmpl w:val="2FDEC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4C3D7F"/>
    <w:multiLevelType w:val="hybridMultilevel"/>
    <w:tmpl w:val="CCF6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849287">
    <w:abstractNumId w:val="34"/>
  </w:num>
  <w:num w:numId="2" w16cid:durableId="966739335">
    <w:abstractNumId w:val="24"/>
  </w:num>
  <w:num w:numId="3" w16cid:durableId="810438867">
    <w:abstractNumId w:val="7"/>
  </w:num>
  <w:num w:numId="4" w16cid:durableId="644965752">
    <w:abstractNumId w:val="28"/>
  </w:num>
  <w:num w:numId="5" w16cid:durableId="1351761846">
    <w:abstractNumId w:val="14"/>
  </w:num>
  <w:num w:numId="6" w16cid:durableId="1499231921">
    <w:abstractNumId w:val="5"/>
  </w:num>
  <w:num w:numId="7" w16cid:durableId="666710163">
    <w:abstractNumId w:val="0"/>
  </w:num>
  <w:num w:numId="8" w16cid:durableId="1097210332">
    <w:abstractNumId w:val="1"/>
  </w:num>
  <w:num w:numId="9" w16cid:durableId="903838474">
    <w:abstractNumId w:val="23"/>
  </w:num>
  <w:num w:numId="10" w16cid:durableId="252275976">
    <w:abstractNumId w:val="36"/>
  </w:num>
  <w:num w:numId="11" w16cid:durableId="1137988368">
    <w:abstractNumId w:val="43"/>
  </w:num>
  <w:num w:numId="12" w16cid:durableId="1675496454">
    <w:abstractNumId w:val="32"/>
  </w:num>
  <w:num w:numId="13" w16cid:durableId="672341875">
    <w:abstractNumId w:val="12"/>
  </w:num>
  <w:num w:numId="14" w16cid:durableId="596597439">
    <w:abstractNumId w:val="25"/>
  </w:num>
  <w:num w:numId="15" w16cid:durableId="1337538003">
    <w:abstractNumId w:val="2"/>
  </w:num>
  <w:num w:numId="16" w16cid:durableId="1996642583">
    <w:abstractNumId w:val="6"/>
  </w:num>
  <w:num w:numId="17" w16cid:durableId="1436244953">
    <w:abstractNumId w:val="31"/>
  </w:num>
  <w:num w:numId="18" w16cid:durableId="1670016962">
    <w:abstractNumId w:val="26"/>
  </w:num>
  <w:num w:numId="19" w16cid:durableId="2121366200">
    <w:abstractNumId w:val="30"/>
  </w:num>
  <w:num w:numId="20" w16cid:durableId="1694072516">
    <w:abstractNumId w:val="9"/>
  </w:num>
  <w:num w:numId="21" w16cid:durableId="131796821">
    <w:abstractNumId w:val="44"/>
  </w:num>
  <w:num w:numId="22" w16cid:durableId="1234045736">
    <w:abstractNumId w:val="41"/>
  </w:num>
  <w:num w:numId="23" w16cid:durableId="100297052">
    <w:abstractNumId w:val="22"/>
  </w:num>
  <w:num w:numId="24" w16cid:durableId="334378542">
    <w:abstractNumId w:val="19"/>
  </w:num>
  <w:num w:numId="25" w16cid:durableId="1518349790">
    <w:abstractNumId w:val="10"/>
  </w:num>
  <w:num w:numId="26" w16cid:durableId="664747327">
    <w:abstractNumId w:val="29"/>
  </w:num>
  <w:num w:numId="27" w16cid:durableId="1554467323">
    <w:abstractNumId w:val="33"/>
  </w:num>
  <w:num w:numId="28" w16cid:durableId="960840270">
    <w:abstractNumId w:val="40"/>
  </w:num>
  <w:num w:numId="29" w16cid:durableId="448161089">
    <w:abstractNumId w:val="20"/>
  </w:num>
  <w:num w:numId="30" w16cid:durableId="32778490">
    <w:abstractNumId w:val="21"/>
  </w:num>
  <w:num w:numId="31" w16cid:durableId="1335569176">
    <w:abstractNumId w:val="35"/>
  </w:num>
  <w:num w:numId="32" w16cid:durableId="1670595239">
    <w:abstractNumId w:val="18"/>
  </w:num>
  <w:num w:numId="33" w16cid:durableId="987589915">
    <w:abstractNumId w:val="37"/>
  </w:num>
  <w:num w:numId="34" w16cid:durableId="1502164411">
    <w:abstractNumId w:val="3"/>
  </w:num>
  <w:num w:numId="35" w16cid:durableId="1047949007">
    <w:abstractNumId w:val="39"/>
  </w:num>
  <w:num w:numId="36" w16cid:durableId="1651907894">
    <w:abstractNumId w:val="38"/>
  </w:num>
  <w:num w:numId="37" w16cid:durableId="1756855195">
    <w:abstractNumId w:val="15"/>
  </w:num>
  <w:num w:numId="38" w16cid:durableId="986669549">
    <w:abstractNumId w:val="4"/>
  </w:num>
  <w:num w:numId="39" w16cid:durableId="115754229">
    <w:abstractNumId w:val="13"/>
  </w:num>
  <w:num w:numId="40" w16cid:durableId="278686193">
    <w:abstractNumId w:val="42"/>
  </w:num>
  <w:num w:numId="41" w16cid:durableId="1702364072">
    <w:abstractNumId w:val="8"/>
  </w:num>
  <w:num w:numId="42" w16cid:durableId="2121679997">
    <w:abstractNumId w:val="11"/>
  </w:num>
  <w:num w:numId="43" w16cid:durableId="337389401">
    <w:abstractNumId w:val="17"/>
  </w:num>
  <w:num w:numId="44" w16cid:durableId="1448086386">
    <w:abstractNumId w:val="27"/>
  </w:num>
  <w:num w:numId="45" w16cid:durableId="3297205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5018"/>
    <w:rsid w:val="00000B31"/>
    <w:rsid w:val="00006C61"/>
    <w:rsid w:val="00007342"/>
    <w:rsid w:val="00011D25"/>
    <w:rsid w:val="000156CC"/>
    <w:rsid w:val="000205B4"/>
    <w:rsid w:val="00020890"/>
    <w:rsid w:val="00020D67"/>
    <w:rsid w:val="00023708"/>
    <w:rsid w:val="0002553A"/>
    <w:rsid w:val="00025C56"/>
    <w:rsid w:val="00027FED"/>
    <w:rsid w:val="00030359"/>
    <w:rsid w:val="00030956"/>
    <w:rsid w:val="000327F7"/>
    <w:rsid w:val="00033B54"/>
    <w:rsid w:val="00033C7E"/>
    <w:rsid w:val="00037F35"/>
    <w:rsid w:val="00040537"/>
    <w:rsid w:val="00040616"/>
    <w:rsid w:val="00040881"/>
    <w:rsid w:val="0004256F"/>
    <w:rsid w:val="00042763"/>
    <w:rsid w:val="00042FCA"/>
    <w:rsid w:val="000436AB"/>
    <w:rsid w:val="00043A83"/>
    <w:rsid w:val="0004540E"/>
    <w:rsid w:val="0004629E"/>
    <w:rsid w:val="00047CD4"/>
    <w:rsid w:val="00050BD6"/>
    <w:rsid w:val="00051DE4"/>
    <w:rsid w:val="00052094"/>
    <w:rsid w:val="00053C14"/>
    <w:rsid w:val="00061AFB"/>
    <w:rsid w:val="000626EB"/>
    <w:rsid w:val="00063538"/>
    <w:rsid w:val="00063542"/>
    <w:rsid w:val="000643AC"/>
    <w:rsid w:val="00065257"/>
    <w:rsid w:val="0006710A"/>
    <w:rsid w:val="00067415"/>
    <w:rsid w:val="000725C6"/>
    <w:rsid w:val="00073F52"/>
    <w:rsid w:val="000771F9"/>
    <w:rsid w:val="00080DB8"/>
    <w:rsid w:val="0008465D"/>
    <w:rsid w:val="000854CF"/>
    <w:rsid w:val="00085DE2"/>
    <w:rsid w:val="00086202"/>
    <w:rsid w:val="00086D0D"/>
    <w:rsid w:val="0009010A"/>
    <w:rsid w:val="00094EB3"/>
    <w:rsid w:val="000957D6"/>
    <w:rsid w:val="00096A3A"/>
    <w:rsid w:val="00096D83"/>
    <w:rsid w:val="000A4222"/>
    <w:rsid w:val="000A68E6"/>
    <w:rsid w:val="000A76F6"/>
    <w:rsid w:val="000B0E02"/>
    <w:rsid w:val="000B144C"/>
    <w:rsid w:val="000B2C9F"/>
    <w:rsid w:val="000B5B71"/>
    <w:rsid w:val="000B5D54"/>
    <w:rsid w:val="000B6327"/>
    <w:rsid w:val="000B6974"/>
    <w:rsid w:val="000B6B90"/>
    <w:rsid w:val="000B71AC"/>
    <w:rsid w:val="000C1110"/>
    <w:rsid w:val="000C271E"/>
    <w:rsid w:val="000C272C"/>
    <w:rsid w:val="000C5947"/>
    <w:rsid w:val="000C59C6"/>
    <w:rsid w:val="000C63A2"/>
    <w:rsid w:val="000D18A0"/>
    <w:rsid w:val="000D27C0"/>
    <w:rsid w:val="000D3E21"/>
    <w:rsid w:val="000D4D07"/>
    <w:rsid w:val="000D5996"/>
    <w:rsid w:val="000D785E"/>
    <w:rsid w:val="000E223F"/>
    <w:rsid w:val="000E2C3E"/>
    <w:rsid w:val="000E698D"/>
    <w:rsid w:val="000F0494"/>
    <w:rsid w:val="000F1537"/>
    <w:rsid w:val="000F1AEF"/>
    <w:rsid w:val="000F23F5"/>
    <w:rsid w:val="000F245B"/>
    <w:rsid w:val="000F56E9"/>
    <w:rsid w:val="000F6465"/>
    <w:rsid w:val="000F7CEC"/>
    <w:rsid w:val="00100BD1"/>
    <w:rsid w:val="00105A24"/>
    <w:rsid w:val="00114BD0"/>
    <w:rsid w:val="0011626A"/>
    <w:rsid w:val="00116FFB"/>
    <w:rsid w:val="00120369"/>
    <w:rsid w:val="001209F8"/>
    <w:rsid w:val="00121ABB"/>
    <w:rsid w:val="00122968"/>
    <w:rsid w:val="0013217C"/>
    <w:rsid w:val="001330C8"/>
    <w:rsid w:val="001333F3"/>
    <w:rsid w:val="00137092"/>
    <w:rsid w:val="00137257"/>
    <w:rsid w:val="00137E25"/>
    <w:rsid w:val="001401AF"/>
    <w:rsid w:val="00140E04"/>
    <w:rsid w:val="00141B68"/>
    <w:rsid w:val="00141D09"/>
    <w:rsid w:val="00141FCE"/>
    <w:rsid w:val="00142226"/>
    <w:rsid w:val="00145909"/>
    <w:rsid w:val="001462B3"/>
    <w:rsid w:val="0015011C"/>
    <w:rsid w:val="0015045D"/>
    <w:rsid w:val="0015089B"/>
    <w:rsid w:val="00151C70"/>
    <w:rsid w:val="00152557"/>
    <w:rsid w:val="00155AEC"/>
    <w:rsid w:val="00155DA5"/>
    <w:rsid w:val="0015750B"/>
    <w:rsid w:val="0016221A"/>
    <w:rsid w:val="00167BB9"/>
    <w:rsid w:val="00172068"/>
    <w:rsid w:val="001724BE"/>
    <w:rsid w:val="00172AE0"/>
    <w:rsid w:val="00174592"/>
    <w:rsid w:val="0017520C"/>
    <w:rsid w:val="001761AB"/>
    <w:rsid w:val="001767CD"/>
    <w:rsid w:val="00177A9F"/>
    <w:rsid w:val="00180AFE"/>
    <w:rsid w:val="0018118F"/>
    <w:rsid w:val="00182101"/>
    <w:rsid w:val="00183148"/>
    <w:rsid w:val="00183C97"/>
    <w:rsid w:val="0018566F"/>
    <w:rsid w:val="00186BFE"/>
    <w:rsid w:val="0018713C"/>
    <w:rsid w:val="0018716B"/>
    <w:rsid w:val="00190CBC"/>
    <w:rsid w:val="001918BF"/>
    <w:rsid w:val="001936EA"/>
    <w:rsid w:val="001943EB"/>
    <w:rsid w:val="00195DFA"/>
    <w:rsid w:val="00196EB2"/>
    <w:rsid w:val="001A0423"/>
    <w:rsid w:val="001A0B13"/>
    <w:rsid w:val="001A1CF8"/>
    <w:rsid w:val="001A2018"/>
    <w:rsid w:val="001A2763"/>
    <w:rsid w:val="001A30C2"/>
    <w:rsid w:val="001A5ABE"/>
    <w:rsid w:val="001B3681"/>
    <w:rsid w:val="001B3E9E"/>
    <w:rsid w:val="001C01B7"/>
    <w:rsid w:val="001C1787"/>
    <w:rsid w:val="001C29CD"/>
    <w:rsid w:val="001C5476"/>
    <w:rsid w:val="001D2F81"/>
    <w:rsid w:val="001D3D5F"/>
    <w:rsid w:val="001D549E"/>
    <w:rsid w:val="001D63B5"/>
    <w:rsid w:val="001D6B85"/>
    <w:rsid w:val="001E0B0D"/>
    <w:rsid w:val="001E2DE6"/>
    <w:rsid w:val="001E4358"/>
    <w:rsid w:val="001E4416"/>
    <w:rsid w:val="001E6212"/>
    <w:rsid w:val="001E6A3E"/>
    <w:rsid w:val="001E75D2"/>
    <w:rsid w:val="001F0E1E"/>
    <w:rsid w:val="001F10E0"/>
    <w:rsid w:val="001F1358"/>
    <w:rsid w:val="001F1359"/>
    <w:rsid w:val="001F3FAA"/>
    <w:rsid w:val="001F4FBA"/>
    <w:rsid w:val="001F7D82"/>
    <w:rsid w:val="002040ED"/>
    <w:rsid w:val="00205561"/>
    <w:rsid w:val="0020757D"/>
    <w:rsid w:val="0021017D"/>
    <w:rsid w:val="002102D2"/>
    <w:rsid w:val="002104A2"/>
    <w:rsid w:val="00211558"/>
    <w:rsid w:val="00211B6C"/>
    <w:rsid w:val="00211ED8"/>
    <w:rsid w:val="00212C6D"/>
    <w:rsid w:val="00213CB1"/>
    <w:rsid w:val="0021742C"/>
    <w:rsid w:val="00217451"/>
    <w:rsid w:val="002202F3"/>
    <w:rsid w:val="0022057E"/>
    <w:rsid w:val="00220FA9"/>
    <w:rsid w:val="002214A3"/>
    <w:rsid w:val="00223631"/>
    <w:rsid w:val="00225964"/>
    <w:rsid w:val="002302F0"/>
    <w:rsid w:val="00233065"/>
    <w:rsid w:val="00236E58"/>
    <w:rsid w:val="00240BCC"/>
    <w:rsid w:val="00240F57"/>
    <w:rsid w:val="00242598"/>
    <w:rsid w:val="002456D9"/>
    <w:rsid w:val="00246D1C"/>
    <w:rsid w:val="002472D7"/>
    <w:rsid w:val="00247B18"/>
    <w:rsid w:val="00250A77"/>
    <w:rsid w:val="00251DEF"/>
    <w:rsid w:val="00252E40"/>
    <w:rsid w:val="002546F3"/>
    <w:rsid w:val="002556AF"/>
    <w:rsid w:val="00255B67"/>
    <w:rsid w:val="00260B0F"/>
    <w:rsid w:val="00261345"/>
    <w:rsid w:val="00262752"/>
    <w:rsid w:val="0026293D"/>
    <w:rsid w:val="00262F7A"/>
    <w:rsid w:val="00264B73"/>
    <w:rsid w:val="00266728"/>
    <w:rsid w:val="00267D0A"/>
    <w:rsid w:val="00270DED"/>
    <w:rsid w:val="00272999"/>
    <w:rsid w:val="00272F21"/>
    <w:rsid w:val="00274E3D"/>
    <w:rsid w:val="00280129"/>
    <w:rsid w:val="002815C7"/>
    <w:rsid w:val="00283CC3"/>
    <w:rsid w:val="0028404F"/>
    <w:rsid w:val="002855F5"/>
    <w:rsid w:val="00285903"/>
    <w:rsid w:val="00286AE1"/>
    <w:rsid w:val="00287601"/>
    <w:rsid w:val="0029180B"/>
    <w:rsid w:val="002929BF"/>
    <w:rsid w:val="00293F1F"/>
    <w:rsid w:val="00293F3E"/>
    <w:rsid w:val="002944E3"/>
    <w:rsid w:val="002947B3"/>
    <w:rsid w:val="00295950"/>
    <w:rsid w:val="00295EE4"/>
    <w:rsid w:val="00297FE2"/>
    <w:rsid w:val="002A1A31"/>
    <w:rsid w:val="002A200D"/>
    <w:rsid w:val="002A292D"/>
    <w:rsid w:val="002A30FD"/>
    <w:rsid w:val="002A46C8"/>
    <w:rsid w:val="002A5FE5"/>
    <w:rsid w:val="002B145F"/>
    <w:rsid w:val="002B2655"/>
    <w:rsid w:val="002B2FBC"/>
    <w:rsid w:val="002B3843"/>
    <w:rsid w:val="002B4565"/>
    <w:rsid w:val="002B4621"/>
    <w:rsid w:val="002B4B16"/>
    <w:rsid w:val="002B62E3"/>
    <w:rsid w:val="002C0EE9"/>
    <w:rsid w:val="002C3145"/>
    <w:rsid w:val="002C620C"/>
    <w:rsid w:val="002C634A"/>
    <w:rsid w:val="002D24D3"/>
    <w:rsid w:val="002D3315"/>
    <w:rsid w:val="002D35F4"/>
    <w:rsid w:val="002D3B58"/>
    <w:rsid w:val="002D40AB"/>
    <w:rsid w:val="002D6A23"/>
    <w:rsid w:val="002D6C6B"/>
    <w:rsid w:val="002E0AD1"/>
    <w:rsid w:val="002E1E7D"/>
    <w:rsid w:val="002E3518"/>
    <w:rsid w:val="002E3BED"/>
    <w:rsid w:val="002E734D"/>
    <w:rsid w:val="002F0CF3"/>
    <w:rsid w:val="002F1A86"/>
    <w:rsid w:val="002F3C32"/>
    <w:rsid w:val="002F4A79"/>
    <w:rsid w:val="002F4EF7"/>
    <w:rsid w:val="002F653B"/>
    <w:rsid w:val="002F6D47"/>
    <w:rsid w:val="00302727"/>
    <w:rsid w:val="0030458D"/>
    <w:rsid w:val="0030591E"/>
    <w:rsid w:val="00305A15"/>
    <w:rsid w:val="00305A27"/>
    <w:rsid w:val="00305B8A"/>
    <w:rsid w:val="00306088"/>
    <w:rsid w:val="00306FC0"/>
    <w:rsid w:val="0031423A"/>
    <w:rsid w:val="00317464"/>
    <w:rsid w:val="00321706"/>
    <w:rsid w:val="00321E8C"/>
    <w:rsid w:val="00322318"/>
    <w:rsid w:val="00322880"/>
    <w:rsid w:val="003242E1"/>
    <w:rsid w:val="00326EDE"/>
    <w:rsid w:val="003318C1"/>
    <w:rsid w:val="00332779"/>
    <w:rsid w:val="003330F9"/>
    <w:rsid w:val="003342AF"/>
    <w:rsid w:val="00335B47"/>
    <w:rsid w:val="00336CF5"/>
    <w:rsid w:val="0033721E"/>
    <w:rsid w:val="00337B17"/>
    <w:rsid w:val="0034151E"/>
    <w:rsid w:val="00342788"/>
    <w:rsid w:val="00344F4E"/>
    <w:rsid w:val="0034509D"/>
    <w:rsid w:val="003456AB"/>
    <w:rsid w:val="00347110"/>
    <w:rsid w:val="00350810"/>
    <w:rsid w:val="003544D1"/>
    <w:rsid w:val="00355A15"/>
    <w:rsid w:val="00362FB3"/>
    <w:rsid w:val="0036367E"/>
    <w:rsid w:val="00363DB8"/>
    <w:rsid w:val="0036514F"/>
    <w:rsid w:val="003669CC"/>
    <w:rsid w:val="00366C42"/>
    <w:rsid w:val="00367419"/>
    <w:rsid w:val="00367760"/>
    <w:rsid w:val="003702D9"/>
    <w:rsid w:val="00370FEE"/>
    <w:rsid w:val="003712E2"/>
    <w:rsid w:val="00371A40"/>
    <w:rsid w:val="003735E4"/>
    <w:rsid w:val="00373FA2"/>
    <w:rsid w:val="00374AC5"/>
    <w:rsid w:val="00374FF9"/>
    <w:rsid w:val="003750CB"/>
    <w:rsid w:val="003758E6"/>
    <w:rsid w:val="00380D17"/>
    <w:rsid w:val="00383A4C"/>
    <w:rsid w:val="003847D1"/>
    <w:rsid w:val="00384B64"/>
    <w:rsid w:val="00387544"/>
    <w:rsid w:val="00387823"/>
    <w:rsid w:val="00393421"/>
    <w:rsid w:val="00393B4E"/>
    <w:rsid w:val="003959FE"/>
    <w:rsid w:val="00395BED"/>
    <w:rsid w:val="00397601"/>
    <w:rsid w:val="003A02AD"/>
    <w:rsid w:val="003A13EA"/>
    <w:rsid w:val="003A2FE4"/>
    <w:rsid w:val="003A329F"/>
    <w:rsid w:val="003A496A"/>
    <w:rsid w:val="003B0DCF"/>
    <w:rsid w:val="003B0FD3"/>
    <w:rsid w:val="003B19FA"/>
    <w:rsid w:val="003B34AB"/>
    <w:rsid w:val="003B42C6"/>
    <w:rsid w:val="003B46B1"/>
    <w:rsid w:val="003B50CC"/>
    <w:rsid w:val="003B5FCC"/>
    <w:rsid w:val="003B678D"/>
    <w:rsid w:val="003B7F2E"/>
    <w:rsid w:val="003C2BAE"/>
    <w:rsid w:val="003C33BA"/>
    <w:rsid w:val="003C347B"/>
    <w:rsid w:val="003C4307"/>
    <w:rsid w:val="003C492B"/>
    <w:rsid w:val="003C63B8"/>
    <w:rsid w:val="003C74A7"/>
    <w:rsid w:val="003C76BC"/>
    <w:rsid w:val="003D3F20"/>
    <w:rsid w:val="003E0D78"/>
    <w:rsid w:val="003E4362"/>
    <w:rsid w:val="003E45EC"/>
    <w:rsid w:val="003E4EA3"/>
    <w:rsid w:val="003E6FF2"/>
    <w:rsid w:val="003E70EA"/>
    <w:rsid w:val="003F0BEC"/>
    <w:rsid w:val="003F1249"/>
    <w:rsid w:val="003F1E7D"/>
    <w:rsid w:val="003F3486"/>
    <w:rsid w:val="003F4A20"/>
    <w:rsid w:val="003F4CD8"/>
    <w:rsid w:val="003F5F78"/>
    <w:rsid w:val="003F609E"/>
    <w:rsid w:val="003F6F9D"/>
    <w:rsid w:val="003F7031"/>
    <w:rsid w:val="0040195B"/>
    <w:rsid w:val="00401DFC"/>
    <w:rsid w:val="004023E8"/>
    <w:rsid w:val="00403E6B"/>
    <w:rsid w:val="00404127"/>
    <w:rsid w:val="00405879"/>
    <w:rsid w:val="00405DB0"/>
    <w:rsid w:val="00406C95"/>
    <w:rsid w:val="00407E1A"/>
    <w:rsid w:val="00413EE6"/>
    <w:rsid w:val="0041457A"/>
    <w:rsid w:val="00416046"/>
    <w:rsid w:val="004208CB"/>
    <w:rsid w:val="004210FE"/>
    <w:rsid w:val="0042206E"/>
    <w:rsid w:val="00423D6D"/>
    <w:rsid w:val="00424783"/>
    <w:rsid w:val="00425E49"/>
    <w:rsid w:val="00426370"/>
    <w:rsid w:val="0043589A"/>
    <w:rsid w:val="004367A4"/>
    <w:rsid w:val="00437556"/>
    <w:rsid w:val="00440D14"/>
    <w:rsid w:val="004416B8"/>
    <w:rsid w:val="004420EA"/>
    <w:rsid w:val="00442222"/>
    <w:rsid w:val="00442746"/>
    <w:rsid w:val="00443F03"/>
    <w:rsid w:val="00445DC6"/>
    <w:rsid w:val="004470D2"/>
    <w:rsid w:val="00447BE1"/>
    <w:rsid w:val="00451827"/>
    <w:rsid w:val="00451DA8"/>
    <w:rsid w:val="004537A7"/>
    <w:rsid w:val="00454086"/>
    <w:rsid w:val="004556AD"/>
    <w:rsid w:val="00455E71"/>
    <w:rsid w:val="00457785"/>
    <w:rsid w:val="00462048"/>
    <w:rsid w:val="0046239C"/>
    <w:rsid w:val="0046363E"/>
    <w:rsid w:val="00465F40"/>
    <w:rsid w:val="00465FA9"/>
    <w:rsid w:val="0047133E"/>
    <w:rsid w:val="00471CB2"/>
    <w:rsid w:val="0047268C"/>
    <w:rsid w:val="00474168"/>
    <w:rsid w:val="00477929"/>
    <w:rsid w:val="004801FB"/>
    <w:rsid w:val="00483780"/>
    <w:rsid w:val="004837FE"/>
    <w:rsid w:val="00486699"/>
    <w:rsid w:val="004878C4"/>
    <w:rsid w:val="00494086"/>
    <w:rsid w:val="00494543"/>
    <w:rsid w:val="004956CC"/>
    <w:rsid w:val="00496D38"/>
    <w:rsid w:val="004A070F"/>
    <w:rsid w:val="004A0F6A"/>
    <w:rsid w:val="004A2C16"/>
    <w:rsid w:val="004A343C"/>
    <w:rsid w:val="004A430F"/>
    <w:rsid w:val="004A64DC"/>
    <w:rsid w:val="004B5659"/>
    <w:rsid w:val="004B6651"/>
    <w:rsid w:val="004C10EA"/>
    <w:rsid w:val="004C2916"/>
    <w:rsid w:val="004C3410"/>
    <w:rsid w:val="004C55D1"/>
    <w:rsid w:val="004C67A7"/>
    <w:rsid w:val="004C6CE7"/>
    <w:rsid w:val="004C6E08"/>
    <w:rsid w:val="004C7DFA"/>
    <w:rsid w:val="004D0595"/>
    <w:rsid w:val="004D2E79"/>
    <w:rsid w:val="004D35AE"/>
    <w:rsid w:val="004D39BD"/>
    <w:rsid w:val="004D466B"/>
    <w:rsid w:val="004D47D6"/>
    <w:rsid w:val="004D6308"/>
    <w:rsid w:val="004D6A74"/>
    <w:rsid w:val="004D6BC4"/>
    <w:rsid w:val="004D6C94"/>
    <w:rsid w:val="004D7BD6"/>
    <w:rsid w:val="004E057F"/>
    <w:rsid w:val="004E06C1"/>
    <w:rsid w:val="004E0707"/>
    <w:rsid w:val="004E2BAD"/>
    <w:rsid w:val="004E608F"/>
    <w:rsid w:val="004E627C"/>
    <w:rsid w:val="004E7059"/>
    <w:rsid w:val="004E7CFF"/>
    <w:rsid w:val="004F01BB"/>
    <w:rsid w:val="004F01D1"/>
    <w:rsid w:val="004F023C"/>
    <w:rsid w:val="004F0CC6"/>
    <w:rsid w:val="004F1952"/>
    <w:rsid w:val="004F2F48"/>
    <w:rsid w:val="004F3173"/>
    <w:rsid w:val="004F4135"/>
    <w:rsid w:val="004F4762"/>
    <w:rsid w:val="004F7A17"/>
    <w:rsid w:val="004F7A82"/>
    <w:rsid w:val="004F7D2E"/>
    <w:rsid w:val="0050216E"/>
    <w:rsid w:val="0050347A"/>
    <w:rsid w:val="00507420"/>
    <w:rsid w:val="00507F6A"/>
    <w:rsid w:val="005103E5"/>
    <w:rsid w:val="00512469"/>
    <w:rsid w:val="00513341"/>
    <w:rsid w:val="005171EB"/>
    <w:rsid w:val="00517314"/>
    <w:rsid w:val="0052073F"/>
    <w:rsid w:val="00520CDD"/>
    <w:rsid w:val="005210CB"/>
    <w:rsid w:val="00521957"/>
    <w:rsid w:val="00521FF1"/>
    <w:rsid w:val="00522F42"/>
    <w:rsid w:val="00524316"/>
    <w:rsid w:val="00524546"/>
    <w:rsid w:val="00524E45"/>
    <w:rsid w:val="0052732A"/>
    <w:rsid w:val="005307BD"/>
    <w:rsid w:val="00531626"/>
    <w:rsid w:val="00531EED"/>
    <w:rsid w:val="00533C4C"/>
    <w:rsid w:val="00534507"/>
    <w:rsid w:val="00535ABE"/>
    <w:rsid w:val="005366BB"/>
    <w:rsid w:val="00537514"/>
    <w:rsid w:val="00542AA4"/>
    <w:rsid w:val="00542F0B"/>
    <w:rsid w:val="005431BC"/>
    <w:rsid w:val="005433A7"/>
    <w:rsid w:val="005445F2"/>
    <w:rsid w:val="00546E61"/>
    <w:rsid w:val="0054748D"/>
    <w:rsid w:val="00550A36"/>
    <w:rsid w:val="00551978"/>
    <w:rsid w:val="00554A21"/>
    <w:rsid w:val="005551D2"/>
    <w:rsid w:val="00555317"/>
    <w:rsid w:val="00555424"/>
    <w:rsid w:val="005558E5"/>
    <w:rsid w:val="00555914"/>
    <w:rsid w:val="00555D38"/>
    <w:rsid w:val="00556E6D"/>
    <w:rsid w:val="00557DBD"/>
    <w:rsid w:val="00561A10"/>
    <w:rsid w:val="00561C2A"/>
    <w:rsid w:val="00562594"/>
    <w:rsid w:val="00564149"/>
    <w:rsid w:val="00565740"/>
    <w:rsid w:val="00565FD1"/>
    <w:rsid w:val="0056622D"/>
    <w:rsid w:val="00566373"/>
    <w:rsid w:val="005760C4"/>
    <w:rsid w:val="0057784D"/>
    <w:rsid w:val="005808B2"/>
    <w:rsid w:val="0058229C"/>
    <w:rsid w:val="00582481"/>
    <w:rsid w:val="005836D6"/>
    <w:rsid w:val="00584630"/>
    <w:rsid w:val="005856C3"/>
    <w:rsid w:val="005901EB"/>
    <w:rsid w:val="00592EE0"/>
    <w:rsid w:val="00593D0E"/>
    <w:rsid w:val="005950B7"/>
    <w:rsid w:val="0059605F"/>
    <w:rsid w:val="005963C5"/>
    <w:rsid w:val="005964D4"/>
    <w:rsid w:val="005974E2"/>
    <w:rsid w:val="005A26F5"/>
    <w:rsid w:val="005A39C6"/>
    <w:rsid w:val="005A3E46"/>
    <w:rsid w:val="005A7ECE"/>
    <w:rsid w:val="005B052E"/>
    <w:rsid w:val="005B05E4"/>
    <w:rsid w:val="005B06D0"/>
    <w:rsid w:val="005B0DF4"/>
    <w:rsid w:val="005B1693"/>
    <w:rsid w:val="005B18FC"/>
    <w:rsid w:val="005B6C37"/>
    <w:rsid w:val="005B77A8"/>
    <w:rsid w:val="005B7C2E"/>
    <w:rsid w:val="005C1C14"/>
    <w:rsid w:val="005C2494"/>
    <w:rsid w:val="005C2A68"/>
    <w:rsid w:val="005C2D0B"/>
    <w:rsid w:val="005C4462"/>
    <w:rsid w:val="005C59AA"/>
    <w:rsid w:val="005C6029"/>
    <w:rsid w:val="005C6EE7"/>
    <w:rsid w:val="005D1284"/>
    <w:rsid w:val="005D12CD"/>
    <w:rsid w:val="005D4D62"/>
    <w:rsid w:val="005E1548"/>
    <w:rsid w:val="005E17C8"/>
    <w:rsid w:val="005E2170"/>
    <w:rsid w:val="005E524A"/>
    <w:rsid w:val="005E5E39"/>
    <w:rsid w:val="005E61C7"/>
    <w:rsid w:val="005E6E17"/>
    <w:rsid w:val="005E7CD7"/>
    <w:rsid w:val="005E7E3E"/>
    <w:rsid w:val="005F204B"/>
    <w:rsid w:val="005F2A44"/>
    <w:rsid w:val="005F460C"/>
    <w:rsid w:val="005F4715"/>
    <w:rsid w:val="005F65E6"/>
    <w:rsid w:val="005F6C56"/>
    <w:rsid w:val="00600B58"/>
    <w:rsid w:val="0060366C"/>
    <w:rsid w:val="006057AF"/>
    <w:rsid w:val="0060707F"/>
    <w:rsid w:val="0061187A"/>
    <w:rsid w:val="00612EA8"/>
    <w:rsid w:val="00612FD8"/>
    <w:rsid w:val="006132D0"/>
    <w:rsid w:val="00613651"/>
    <w:rsid w:val="00615D95"/>
    <w:rsid w:val="00616394"/>
    <w:rsid w:val="0062085A"/>
    <w:rsid w:val="00620D59"/>
    <w:rsid w:val="00621356"/>
    <w:rsid w:val="00624049"/>
    <w:rsid w:val="00625207"/>
    <w:rsid w:val="006268A7"/>
    <w:rsid w:val="006268D2"/>
    <w:rsid w:val="00627164"/>
    <w:rsid w:val="006336F4"/>
    <w:rsid w:val="00633844"/>
    <w:rsid w:val="00634DEA"/>
    <w:rsid w:val="006362A8"/>
    <w:rsid w:val="006374BC"/>
    <w:rsid w:val="00640626"/>
    <w:rsid w:val="0064082A"/>
    <w:rsid w:val="006417F0"/>
    <w:rsid w:val="006419A9"/>
    <w:rsid w:val="00642A9C"/>
    <w:rsid w:val="00642F12"/>
    <w:rsid w:val="00643A47"/>
    <w:rsid w:val="00645B76"/>
    <w:rsid w:val="006462DA"/>
    <w:rsid w:val="0064649D"/>
    <w:rsid w:val="00647179"/>
    <w:rsid w:val="00650037"/>
    <w:rsid w:val="006510CF"/>
    <w:rsid w:val="006532EB"/>
    <w:rsid w:val="00654AB1"/>
    <w:rsid w:val="00654C65"/>
    <w:rsid w:val="006559E3"/>
    <w:rsid w:val="00655C6E"/>
    <w:rsid w:val="00657552"/>
    <w:rsid w:val="00657A2A"/>
    <w:rsid w:val="00661998"/>
    <w:rsid w:val="00661F67"/>
    <w:rsid w:val="00662A9F"/>
    <w:rsid w:val="00663F15"/>
    <w:rsid w:val="006640F3"/>
    <w:rsid w:val="006648FD"/>
    <w:rsid w:val="0066579C"/>
    <w:rsid w:val="00666E14"/>
    <w:rsid w:val="00667202"/>
    <w:rsid w:val="00667A0C"/>
    <w:rsid w:val="006730F9"/>
    <w:rsid w:val="00673417"/>
    <w:rsid w:val="00673518"/>
    <w:rsid w:val="00676F7B"/>
    <w:rsid w:val="00677676"/>
    <w:rsid w:val="006779A5"/>
    <w:rsid w:val="00677AEF"/>
    <w:rsid w:val="00680086"/>
    <w:rsid w:val="00681BA6"/>
    <w:rsid w:val="00683579"/>
    <w:rsid w:val="00684F89"/>
    <w:rsid w:val="006851E2"/>
    <w:rsid w:val="00687131"/>
    <w:rsid w:val="00687FF8"/>
    <w:rsid w:val="00692C96"/>
    <w:rsid w:val="006938B2"/>
    <w:rsid w:val="00695F7B"/>
    <w:rsid w:val="006970D0"/>
    <w:rsid w:val="006A01A8"/>
    <w:rsid w:val="006A0D75"/>
    <w:rsid w:val="006A230D"/>
    <w:rsid w:val="006A3983"/>
    <w:rsid w:val="006A44AB"/>
    <w:rsid w:val="006A60B6"/>
    <w:rsid w:val="006B075F"/>
    <w:rsid w:val="006B1A28"/>
    <w:rsid w:val="006B1FAB"/>
    <w:rsid w:val="006B3306"/>
    <w:rsid w:val="006B394B"/>
    <w:rsid w:val="006B7F5B"/>
    <w:rsid w:val="006C00A6"/>
    <w:rsid w:val="006C066A"/>
    <w:rsid w:val="006C0E02"/>
    <w:rsid w:val="006C1376"/>
    <w:rsid w:val="006C1C38"/>
    <w:rsid w:val="006C57CA"/>
    <w:rsid w:val="006C5C00"/>
    <w:rsid w:val="006D10A0"/>
    <w:rsid w:val="006D1967"/>
    <w:rsid w:val="006D5139"/>
    <w:rsid w:val="006D5154"/>
    <w:rsid w:val="006E5018"/>
    <w:rsid w:val="006E516E"/>
    <w:rsid w:val="006E7150"/>
    <w:rsid w:val="006E76E2"/>
    <w:rsid w:val="006F0938"/>
    <w:rsid w:val="006F1511"/>
    <w:rsid w:val="006F1A8A"/>
    <w:rsid w:val="006F2BA7"/>
    <w:rsid w:val="006F2C7F"/>
    <w:rsid w:val="006F5608"/>
    <w:rsid w:val="006F573A"/>
    <w:rsid w:val="006F7D92"/>
    <w:rsid w:val="0070009D"/>
    <w:rsid w:val="00700A69"/>
    <w:rsid w:val="00700B8C"/>
    <w:rsid w:val="007038E4"/>
    <w:rsid w:val="00703C65"/>
    <w:rsid w:val="00704295"/>
    <w:rsid w:val="00704920"/>
    <w:rsid w:val="00704C2C"/>
    <w:rsid w:val="00707C71"/>
    <w:rsid w:val="00711A3E"/>
    <w:rsid w:val="007129E0"/>
    <w:rsid w:val="0071749D"/>
    <w:rsid w:val="0072081F"/>
    <w:rsid w:val="00721814"/>
    <w:rsid w:val="007262F1"/>
    <w:rsid w:val="007264B1"/>
    <w:rsid w:val="00727490"/>
    <w:rsid w:val="007314B2"/>
    <w:rsid w:val="007318D3"/>
    <w:rsid w:val="00731EA7"/>
    <w:rsid w:val="00734C25"/>
    <w:rsid w:val="00735387"/>
    <w:rsid w:val="00735E1C"/>
    <w:rsid w:val="00736001"/>
    <w:rsid w:val="00742C92"/>
    <w:rsid w:val="00745CA9"/>
    <w:rsid w:val="00745EA7"/>
    <w:rsid w:val="00753044"/>
    <w:rsid w:val="007547FC"/>
    <w:rsid w:val="00754976"/>
    <w:rsid w:val="00755A76"/>
    <w:rsid w:val="00757D58"/>
    <w:rsid w:val="0076217D"/>
    <w:rsid w:val="0076395A"/>
    <w:rsid w:val="00767242"/>
    <w:rsid w:val="007676D0"/>
    <w:rsid w:val="00772DEF"/>
    <w:rsid w:val="0077414D"/>
    <w:rsid w:val="0077420B"/>
    <w:rsid w:val="0077431C"/>
    <w:rsid w:val="00776A80"/>
    <w:rsid w:val="0077774B"/>
    <w:rsid w:val="00780535"/>
    <w:rsid w:val="00780622"/>
    <w:rsid w:val="0078335C"/>
    <w:rsid w:val="00785C47"/>
    <w:rsid w:val="00786609"/>
    <w:rsid w:val="007866F5"/>
    <w:rsid w:val="00787223"/>
    <w:rsid w:val="0078746B"/>
    <w:rsid w:val="00787A84"/>
    <w:rsid w:val="00790FB4"/>
    <w:rsid w:val="007910F2"/>
    <w:rsid w:val="00791CDE"/>
    <w:rsid w:val="00793505"/>
    <w:rsid w:val="007947F5"/>
    <w:rsid w:val="00795691"/>
    <w:rsid w:val="00796B77"/>
    <w:rsid w:val="007A407A"/>
    <w:rsid w:val="007A4232"/>
    <w:rsid w:val="007A4233"/>
    <w:rsid w:val="007A4F02"/>
    <w:rsid w:val="007A6B99"/>
    <w:rsid w:val="007B16FC"/>
    <w:rsid w:val="007B222E"/>
    <w:rsid w:val="007B2A05"/>
    <w:rsid w:val="007B2A76"/>
    <w:rsid w:val="007B2F30"/>
    <w:rsid w:val="007B3C1A"/>
    <w:rsid w:val="007B45B6"/>
    <w:rsid w:val="007B5554"/>
    <w:rsid w:val="007B6210"/>
    <w:rsid w:val="007B72F8"/>
    <w:rsid w:val="007C047E"/>
    <w:rsid w:val="007C0706"/>
    <w:rsid w:val="007C1C32"/>
    <w:rsid w:val="007C2711"/>
    <w:rsid w:val="007C3CBF"/>
    <w:rsid w:val="007C4867"/>
    <w:rsid w:val="007C5D4C"/>
    <w:rsid w:val="007C6FB2"/>
    <w:rsid w:val="007C7BE5"/>
    <w:rsid w:val="007D0801"/>
    <w:rsid w:val="007D1088"/>
    <w:rsid w:val="007D1550"/>
    <w:rsid w:val="007D24A8"/>
    <w:rsid w:val="007D7DA5"/>
    <w:rsid w:val="007E122C"/>
    <w:rsid w:val="007E158C"/>
    <w:rsid w:val="007E3726"/>
    <w:rsid w:val="007E3991"/>
    <w:rsid w:val="007E5D39"/>
    <w:rsid w:val="007F14DD"/>
    <w:rsid w:val="007F20BD"/>
    <w:rsid w:val="007F4246"/>
    <w:rsid w:val="007F6C61"/>
    <w:rsid w:val="007F74AA"/>
    <w:rsid w:val="00800A2F"/>
    <w:rsid w:val="00801166"/>
    <w:rsid w:val="00804742"/>
    <w:rsid w:val="00804C1D"/>
    <w:rsid w:val="00807F32"/>
    <w:rsid w:val="00812010"/>
    <w:rsid w:val="0081334F"/>
    <w:rsid w:val="00813431"/>
    <w:rsid w:val="00814E20"/>
    <w:rsid w:val="008174CD"/>
    <w:rsid w:val="0082008B"/>
    <w:rsid w:val="00824F1E"/>
    <w:rsid w:val="008250B1"/>
    <w:rsid w:val="008256F7"/>
    <w:rsid w:val="00825BF8"/>
    <w:rsid w:val="00825D34"/>
    <w:rsid w:val="008266C0"/>
    <w:rsid w:val="00827B9B"/>
    <w:rsid w:val="0083057B"/>
    <w:rsid w:val="008311B6"/>
    <w:rsid w:val="008320C4"/>
    <w:rsid w:val="008338AC"/>
    <w:rsid w:val="00837100"/>
    <w:rsid w:val="008403AD"/>
    <w:rsid w:val="00842DF6"/>
    <w:rsid w:val="00843E2E"/>
    <w:rsid w:val="00845868"/>
    <w:rsid w:val="00847C21"/>
    <w:rsid w:val="0085182E"/>
    <w:rsid w:val="00851972"/>
    <w:rsid w:val="00852373"/>
    <w:rsid w:val="0085370B"/>
    <w:rsid w:val="008566DD"/>
    <w:rsid w:val="008568BD"/>
    <w:rsid w:val="00857507"/>
    <w:rsid w:val="00857ED5"/>
    <w:rsid w:val="00860718"/>
    <w:rsid w:val="0086404F"/>
    <w:rsid w:val="00866539"/>
    <w:rsid w:val="00866E6E"/>
    <w:rsid w:val="00867A33"/>
    <w:rsid w:val="00870762"/>
    <w:rsid w:val="0087262D"/>
    <w:rsid w:val="00873F6F"/>
    <w:rsid w:val="008755E6"/>
    <w:rsid w:val="008775F5"/>
    <w:rsid w:val="00882A3D"/>
    <w:rsid w:val="0088340A"/>
    <w:rsid w:val="00884AA8"/>
    <w:rsid w:val="00886573"/>
    <w:rsid w:val="00886C16"/>
    <w:rsid w:val="00890BE1"/>
    <w:rsid w:val="00890E66"/>
    <w:rsid w:val="0089243C"/>
    <w:rsid w:val="00892E8B"/>
    <w:rsid w:val="00892FA8"/>
    <w:rsid w:val="00893260"/>
    <w:rsid w:val="00894F8F"/>
    <w:rsid w:val="00894FFB"/>
    <w:rsid w:val="008961A4"/>
    <w:rsid w:val="00896613"/>
    <w:rsid w:val="00897466"/>
    <w:rsid w:val="00897AC8"/>
    <w:rsid w:val="00897FDB"/>
    <w:rsid w:val="008A0577"/>
    <w:rsid w:val="008A0F79"/>
    <w:rsid w:val="008A2F97"/>
    <w:rsid w:val="008A60DC"/>
    <w:rsid w:val="008A7568"/>
    <w:rsid w:val="008A784D"/>
    <w:rsid w:val="008A7C26"/>
    <w:rsid w:val="008B1208"/>
    <w:rsid w:val="008B1290"/>
    <w:rsid w:val="008B3200"/>
    <w:rsid w:val="008B39B1"/>
    <w:rsid w:val="008B3C2D"/>
    <w:rsid w:val="008B3D22"/>
    <w:rsid w:val="008B4A05"/>
    <w:rsid w:val="008C06A7"/>
    <w:rsid w:val="008C0B79"/>
    <w:rsid w:val="008C148F"/>
    <w:rsid w:val="008C2D3A"/>
    <w:rsid w:val="008C3209"/>
    <w:rsid w:val="008C393E"/>
    <w:rsid w:val="008C4703"/>
    <w:rsid w:val="008C4AC4"/>
    <w:rsid w:val="008C6ACC"/>
    <w:rsid w:val="008C7E58"/>
    <w:rsid w:val="008D3698"/>
    <w:rsid w:val="008D4169"/>
    <w:rsid w:val="008D5361"/>
    <w:rsid w:val="008D62C3"/>
    <w:rsid w:val="008D6C4B"/>
    <w:rsid w:val="008E15E3"/>
    <w:rsid w:val="008E2CD3"/>
    <w:rsid w:val="008E43C0"/>
    <w:rsid w:val="008E4942"/>
    <w:rsid w:val="008E65B6"/>
    <w:rsid w:val="008E66B3"/>
    <w:rsid w:val="008E7939"/>
    <w:rsid w:val="008F0654"/>
    <w:rsid w:val="008F10E6"/>
    <w:rsid w:val="008F1D83"/>
    <w:rsid w:val="008F23F5"/>
    <w:rsid w:val="008F316C"/>
    <w:rsid w:val="008F39C6"/>
    <w:rsid w:val="008F3EAC"/>
    <w:rsid w:val="00900EC4"/>
    <w:rsid w:val="0090179E"/>
    <w:rsid w:val="00902549"/>
    <w:rsid w:val="00902D56"/>
    <w:rsid w:val="00903410"/>
    <w:rsid w:val="00903896"/>
    <w:rsid w:val="009043C3"/>
    <w:rsid w:val="009062EB"/>
    <w:rsid w:val="009107E3"/>
    <w:rsid w:val="00911944"/>
    <w:rsid w:val="00912A94"/>
    <w:rsid w:val="0091443E"/>
    <w:rsid w:val="009145EF"/>
    <w:rsid w:val="00915411"/>
    <w:rsid w:val="00915929"/>
    <w:rsid w:val="00915DC0"/>
    <w:rsid w:val="00915EEA"/>
    <w:rsid w:val="00916342"/>
    <w:rsid w:val="0092280E"/>
    <w:rsid w:val="00922B12"/>
    <w:rsid w:val="0093247D"/>
    <w:rsid w:val="00932644"/>
    <w:rsid w:val="009327B3"/>
    <w:rsid w:val="00932B70"/>
    <w:rsid w:val="00934E73"/>
    <w:rsid w:val="00935637"/>
    <w:rsid w:val="00936797"/>
    <w:rsid w:val="00936D2B"/>
    <w:rsid w:val="00936FED"/>
    <w:rsid w:val="009375F6"/>
    <w:rsid w:val="00940A49"/>
    <w:rsid w:val="00940B94"/>
    <w:rsid w:val="00942F41"/>
    <w:rsid w:val="00943A4D"/>
    <w:rsid w:val="00943E15"/>
    <w:rsid w:val="00945EF4"/>
    <w:rsid w:val="009530D6"/>
    <w:rsid w:val="00954828"/>
    <w:rsid w:val="00955439"/>
    <w:rsid w:val="00955FE9"/>
    <w:rsid w:val="00956485"/>
    <w:rsid w:val="00956E1A"/>
    <w:rsid w:val="009603DA"/>
    <w:rsid w:val="009678FB"/>
    <w:rsid w:val="009713C1"/>
    <w:rsid w:val="00971622"/>
    <w:rsid w:val="00972236"/>
    <w:rsid w:val="00973359"/>
    <w:rsid w:val="009734C1"/>
    <w:rsid w:val="00974277"/>
    <w:rsid w:val="00975A0F"/>
    <w:rsid w:val="00975BD0"/>
    <w:rsid w:val="00976656"/>
    <w:rsid w:val="00983026"/>
    <w:rsid w:val="009860EF"/>
    <w:rsid w:val="00987B6F"/>
    <w:rsid w:val="00990B9A"/>
    <w:rsid w:val="00994ADB"/>
    <w:rsid w:val="00994D12"/>
    <w:rsid w:val="00995DFD"/>
    <w:rsid w:val="0099642F"/>
    <w:rsid w:val="009979A6"/>
    <w:rsid w:val="00997FE0"/>
    <w:rsid w:val="009A012F"/>
    <w:rsid w:val="009A0F1A"/>
    <w:rsid w:val="009A4FE7"/>
    <w:rsid w:val="009B1758"/>
    <w:rsid w:val="009B2559"/>
    <w:rsid w:val="009B3BFE"/>
    <w:rsid w:val="009B5153"/>
    <w:rsid w:val="009B6535"/>
    <w:rsid w:val="009B73EF"/>
    <w:rsid w:val="009C262D"/>
    <w:rsid w:val="009C3181"/>
    <w:rsid w:val="009C3B69"/>
    <w:rsid w:val="009C6E45"/>
    <w:rsid w:val="009C70E5"/>
    <w:rsid w:val="009D0939"/>
    <w:rsid w:val="009D2010"/>
    <w:rsid w:val="009D3062"/>
    <w:rsid w:val="009D3712"/>
    <w:rsid w:val="009D4927"/>
    <w:rsid w:val="009D4AB0"/>
    <w:rsid w:val="009D5EFA"/>
    <w:rsid w:val="009D6942"/>
    <w:rsid w:val="009E13D2"/>
    <w:rsid w:val="009E1F8F"/>
    <w:rsid w:val="009E22A7"/>
    <w:rsid w:val="009E2DED"/>
    <w:rsid w:val="009E44FA"/>
    <w:rsid w:val="009F186B"/>
    <w:rsid w:val="009F2D67"/>
    <w:rsid w:val="009F75FA"/>
    <w:rsid w:val="009F7F39"/>
    <w:rsid w:val="00A00A9B"/>
    <w:rsid w:val="00A01400"/>
    <w:rsid w:val="00A01782"/>
    <w:rsid w:val="00A019B8"/>
    <w:rsid w:val="00A01D0F"/>
    <w:rsid w:val="00A02C02"/>
    <w:rsid w:val="00A04941"/>
    <w:rsid w:val="00A04AA6"/>
    <w:rsid w:val="00A05476"/>
    <w:rsid w:val="00A0649C"/>
    <w:rsid w:val="00A110ED"/>
    <w:rsid w:val="00A12A80"/>
    <w:rsid w:val="00A152FE"/>
    <w:rsid w:val="00A164D1"/>
    <w:rsid w:val="00A17704"/>
    <w:rsid w:val="00A214E1"/>
    <w:rsid w:val="00A21608"/>
    <w:rsid w:val="00A22B87"/>
    <w:rsid w:val="00A25268"/>
    <w:rsid w:val="00A2661E"/>
    <w:rsid w:val="00A26B58"/>
    <w:rsid w:val="00A26DDB"/>
    <w:rsid w:val="00A315C3"/>
    <w:rsid w:val="00A33A8A"/>
    <w:rsid w:val="00A33CF9"/>
    <w:rsid w:val="00A34C2C"/>
    <w:rsid w:val="00A3554C"/>
    <w:rsid w:val="00A37296"/>
    <w:rsid w:val="00A37549"/>
    <w:rsid w:val="00A37687"/>
    <w:rsid w:val="00A3771B"/>
    <w:rsid w:val="00A378C0"/>
    <w:rsid w:val="00A37B8D"/>
    <w:rsid w:val="00A401A0"/>
    <w:rsid w:val="00A40324"/>
    <w:rsid w:val="00A40D57"/>
    <w:rsid w:val="00A43307"/>
    <w:rsid w:val="00A43920"/>
    <w:rsid w:val="00A4486A"/>
    <w:rsid w:val="00A4686C"/>
    <w:rsid w:val="00A52360"/>
    <w:rsid w:val="00A52F56"/>
    <w:rsid w:val="00A557F1"/>
    <w:rsid w:val="00A558CF"/>
    <w:rsid w:val="00A56CB2"/>
    <w:rsid w:val="00A57040"/>
    <w:rsid w:val="00A57BA9"/>
    <w:rsid w:val="00A60140"/>
    <w:rsid w:val="00A60F30"/>
    <w:rsid w:val="00A61080"/>
    <w:rsid w:val="00A62FFF"/>
    <w:rsid w:val="00A6324F"/>
    <w:rsid w:val="00A633E1"/>
    <w:rsid w:val="00A64AF1"/>
    <w:rsid w:val="00A6578E"/>
    <w:rsid w:val="00A670D1"/>
    <w:rsid w:val="00A6764C"/>
    <w:rsid w:val="00A70A9C"/>
    <w:rsid w:val="00A7152E"/>
    <w:rsid w:val="00A71BB3"/>
    <w:rsid w:val="00A71E13"/>
    <w:rsid w:val="00A72405"/>
    <w:rsid w:val="00A741D4"/>
    <w:rsid w:val="00A74F4E"/>
    <w:rsid w:val="00A8266F"/>
    <w:rsid w:val="00A82ED3"/>
    <w:rsid w:val="00A83F52"/>
    <w:rsid w:val="00A85419"/>
    <w:rsid w:val="00A9002D"/>
    <w:rsid w:val="00A9053C"/>
    <w:rsid w:val="00A90882"/>
    <w:rsid w:val="00A918AD"/>
    <w:rsid w:val="00A96A69"/>
    <w:rsid w:val="00AA24F0"/>
    <w:rsid w:val="00AA2C26"/>
    <w:rsid w:val="00AA5830"/>
    <w:rsid w:val="00AA62E1"/>
    <w:rsid w:val="00AA6BAD"/>
    <w:rsid w:val="00AA6BC1"/>
    <w:rsid w:val="00AA77FD"/>
    <w:rsid w:val="00AA7A06"/>
    <w:rsid w:val="00AB1DFC"/>
    <w:rsid w:val="00AB3861"/>
    <w:rsid w:val="00AB4EB0"/>
    <w:rsid w:val="00AB4FD8"/>
    <w:rsid w:val="00AB63C6"/>
    <w:rsid w:val="00AB6B07"/>
    <w:rsid w:val="00AB6F5F"/>
    <w:rsid w:val="00AC027E"/>
    <w:rsid w:val="00AC195E"/>
    <w:rsid w:val="00AC1F8C"/>
    <w:rsid w:val="00AC2120"/>
    <w:rsid w:val="00AC2DB5"/>
    <w:rsid w:val="00AC4715"/>
    <w:rsid w:val="00AC6182"/>
    <w:rsid w:val="00AC7896"/>
    <w:rsid w:val="00AC7C1B"/>
    <w:rsid w:val="00AD07AD"/>
    <w:rsid w:val="00AD3CE6"/>
    <w:rsid w:val="00AD5327"/>
    <w:rsid w:val="00AD635E"/>
    <w:rsid w:val="00AD6681"/>
    <w:rsid w:val="00AD6955"/>
    <w:rsid w:val="00AD7AE3"/>
    <w:rsid w:val="00AD7DE6"/>
    <w:rsid w:val="00AE0177"/>
    <w:rsid w:val="00AE07D6"/>
    <w:rsid w:val="00AE0E1B"/>
    <w:rsid w:val="00AE1063"/>
    <w:rsid w:val="00AE1E26"/>
    <w:rsid w:val="00AE2702"/>
    <w:rsid w:val="00AE336A"/>
    <w:rsid w:val="00AE3DF1"/>
    <w:rsid w:val="00AE54FA"/>
    <w:rsid w:val="00AE5F80"/>
    <w:rsid w:val="00AE684F"/>
    <w:rsid w:val="00AE7D93"/>
    <w:rsid w:val="00AE7FBB"/>
    <w:rsid w:val="00AF13B3"/>
    <w:rsid w:val="00AF193A"/>
    <w:rsid w:val="00AF1DB9"/>
    <w:rsid w:val="00AF2B9F"/>
    <w:rsid w:val="00AF4A49"/>
    <w:rsid w:val="00AF6118"/>
    <w:rsid w:val="00AF66C2"/>
    <w:rsid w:val="00AF746D"/>
    <w:rsid w:val="00AF7832"/>
    <w:rsid w:val="00B010BB"/>
    <w:rsid w:val="00B0184C"/>
    <w:rsid w:val="00B01A5F"/>
    <w:rsid w:val="00B04542"/>
    <w:rsid w:val="00B057C3"/>
    <w:rsid w:val="00B06BCD"/>
    <w:rsid w:val="00B07292"/>
    <w:rsid w:val="00B07A78"/>
    <w:rsid w:val="00B10152"/>
    <w:rsid w:val="00B12DF9"/>
    <w:rsid w:val="00B12F11"/>
    <w:rsid w:val="00B13D8F"/>
    <w:rsid w:val="00B148D6"/>
    <w:rsid w:val="00B14B9F"/>
    <w:rsid w:val="00B166B3"/>
    <w:rsid w:val="00B2112E"/>
    <w:rsid w:val="00B219CE"/>
    <w:rsid w:val="00B22172"/>
    <w:rsid w:val="00B22894"/>
    <w:rsid w:val="00B232F8"/>
    <w:rsid w:val="00B23543"/>
    <w:rsid w:val="00B251D2"/>
    <w:rsid w:val="00B2677D"/>
    <w:rsid w:val="00B27DEB"/>
    <w:rsid w:val="00B30941"/>
    <w:rsid w:val="00B31789"/>
    <w:rsid w:val="00B33500"/>
    <w:rsid w:val="00B353AB"/>
    <w:rsid w:val="00B35B28"/>
    <w:rsid w:val="00B37C8D"/>
    <w:rsid w:val="00B439B4"/>
    <w:rsid w:val="00B43D9A"/>
    <w:rsid w:val="00B4667E"/>
    <w:rsid w:val="00B4689E"/>
    <w:rsid w:val="00B47B6B"/>
    <w:rsid w:val="00B51060"/>
    <w:rsid w:val="00B51B2D"/>
    <w:rsid w:val="00B539F4"/>
    <w:rsid w:val="00B55883"/>
    <w:rsid w:val="00B56C97"/>
    <w:rsid w:val="00B5771C"/>
    <w:rsid w:val="00B6042B"/>
    <w:rsid w:val="00B60C24"/>
    <w:rsid w:val="00B62293"/>
    <w:rsid w:val="00B625D7"/>
    <w:rsid w:val="00B63FDF"/>
    <w:rsid w:val="00B67D6E"/>
    <w:rsid w:val="00B705F0"/>
    <w:rsid w:val="00B716F8"/>
    <w:rsid w:val="00B71DEB"/>
    <w:rsid w:val="00B72C68"/>
    <w:rsid w:val="00B73BFD"/>
    <w:rsid w:val="00B752EC"/>
    <w:rsid w:val="00B75B5D"/>
    <w:rsid w:val="00B77C70"/>
    <w:rsid w:val="00B81387"/>
    <w:rsid w:val="00B82CA8"/>
    <w:rsid w:val="00B847DE"/>
    <w:rsid w:val="00B84E86"/>
    <w:rsid w:val="00B85671"/>
    <w:rsid w:val="00B85CAA"/>
    <w:rsid w:val="00B8629A"/>
    <w:rsid w:val="00B864AA"/>
    <w:rsid w:val="00B912A6"/>
    <w:rsid w:val="00B91448"/>
    <w:rsid w:val="00B93150"/>
    <w:rsid w:val="00B933C7"/>
    <w:rsid w:val="00B9374E"/>
    <w:rsid w:val="00B93B98"/>
    <w:rsid w:val="00B93FED"/>
    <w:rsid w:val="00B94AE7"/>
    <w:rsid w:val="00B96155"/>
    <w:rsid w:val="00B97FBC"/>
    <w:rsid w:val="00BA09A3"/>
    <w:rsid w:val="00BA28BD"/>
    <w:rsid w:val="00BA33E1"/>
    <w:rsid w:val="00BA616A"/>
    <w:rsid w:val="00BA61C6"/>
    <w:rsid w:val="00BA725B"/>
    <w:rsid w:val="00BB06DB"/>
    <w:rsid w:val="00BB20D1"/>
    <w:rsid w:val="00BB2348"/>
    <w:rsid w:val="00BB4432"/>
    <w:rsid w:val="00BB5346"/>
    <w:rsid w:val="00BB654D"/>
    <w:rsid w:val="00BC1B96"/>
    <w:rsid w:val="00BC32DF"/>
    <w:rsid w:val="00BC35B5"/>
    <w:rsid w:val="00BC459A"/>
    <w:rsid w:val="00BC5155"/>
    <w:rsid w:val="00BC7393"/>
    <w:rsid w:val="00BD383D"/>
    <w:rsid w:val="00BD4199"/>
    <w:rsid w:val="00BD54E7"/>
    <w:rsid w:val="00BD5570"/>
    <w:rsid w:val="00BD5E7C"/>
    <w:rsid w:val="00BD7284"/>
    <w:rsid w:val="00BD7D60"/>
    <w:rsid w:val="00BE170E"/>
    <w:rsid w:val="00BE62C8"/>
    <w:rsid w:val="00BE7724"/>
    <w:rsid w:val="00BF0526"/>
    <w:rsid w:val="00BF0575"/>
    <w:rsid w:val="00BF5507"/>
    <w:rsid w:val="00BF7012"/>
    <w:rsid w:val="00C00797"/>
    <w:rsid w:val="00C01F05"/>
    <w:rsid w:val="00C025A9"/>
    <w:rsid w:val="00C03897"/>
    <w:rsid w:val="00C04459"/>
    <w:rsid w:val="00C060B9"/>
    <w:rsid w:val="00C07041"/>
    <w:rsid w:val="00C0762E"/>
    <w:rsid w:val="00C10E79"/>
    <w:rsid w:val="00C116BF"/>
    <w:rsid w:val="00C12032"/>
    <w:rsid w:val="00C12F60"/>
    <w:rsid w:val="00C134BF"/>
    <w:rsid w:val="00C14862"/>
    <w:rsid w:val="00C1607D"/>
    <w:rsid w:val="00C16BD2"/>
    <w:rsid w:val="00C16C74"/>
    <w:rsid w:val="00C1731D"/>
    <w:rsid w:val="00C2148B"/>
    <w:rsid w:val="00C2471E"/>
    <w:rsid w:val="00C25F86"/>
    <w:rsid w:val="00C26859"/>
    <w:rsid w:val="00C331E1"/>
    <w:rsid w:val="00C33270"/>
    <w:rsid w:val="00C362F6"/>
    <w:rsid w:val="00C36D02"/>
    <w:rsid w:val="00C37FB5"/>
    <w:rsid w:val="00C405F8"/>
    <w:rsid w:val="00C417C3"/>
    <w:rsid w:val="00C458EE"/>
    <w:rsid w:val="00C45F83"/>
    <w:rsid w:val="00C46685"/>
    <w:rsid w:val="00C560ED"/>
    <w:rsid w:val="00C5642F"/>
    <w:rsid w:val="00C568FB"/>
    <w:rsid w:val="00C60F4C"/>
    <w:rsid w:val="00C61218"/>
    <w:rsid w:val="00C617C0"/>
    <w:rsid w:val="00C61873"/>
    <w:rsid w:val="00C61F92"/>
    <w:rsid w:val="00C64A4E"/>
    <w:rsid w:val="00C6644F"/>
    <w:rsid w:val="00C679D2"/>
    <w:rsid w:val="00C70006"/>
    <w:rsid w:val="00C70C55"/>
    <w:rsid w:val="00C73786"/>
    <w:rsid w:val="00C75046"/>
    <w:rsid w:val="00C76120"/>
    <w:rsid w:val="00C77462"/>
    <w:rsid w:val="00C81CB2"/>
    <w:rsid w:val="00C83390"/>
    <w:rsid w:val="00C84BDF"/>
    <w:rsid w:val="00C85166"/>
    <w:rsid w:val="00C8668F"/>
    <w:rsid w:val="00C86E7E"/>
    <w:rsid w:val="00C95AAC"/>
    <w:rsid w:val="00C9620F"/>
    <w:rsid w:val="00CA043D"/>
    <w:rsid w:val="00CA0728"/>
    <w:rsid w:val="00CA0FFF"/>
    <w:rsid w:val="00CA21BA"/>
    <w:rsid w:val="00CA3872"/>
    <w:rsid w:val="00CA498A"/>
    <w:rsid w:val="00CA5BF7"/>
    <w:rsid w:val="00CA710D"/>
    <w:rsid w:val="00CA7212"/>
    <w:rsid w:val="00CA75F0"/>
    <w:rsid w:val="00CB23DF"/>
    <w:rsid w:val="00CB267F"/>
    <w:rsid w:val="00CB3048"/>
    <w:rsid w:val="00CC0D00"/>
    <w:rsid w:val="00CC10EE"/>
    <w:rsid w:val="00CC2DF6"/>
    <w:rsid w:val="00CC48F2"/>
    <w:rsid w:val="00CC4D1A"/>
    <w:rsid w:val="00CC4E10"/>
    <w:rsid w:val="00CC4F6E"/>
    <w:rsid w:val="00CC5596"/>
    <w:rsid w:val="00CC7BFD"/>
    <w:rsid w:val="00CC7E1A"/>
    <w:rsid w:val="00CD0BE7"/>
    <w:rsid w:val="00CD3FAB"/>
    <w:rsid w:val="00CD4194"/>
    <w:rsid w:val="00CD474F"/>
    <w:rsid w:val="00CD54E0"/>
    <w:rsid w:val="00CD5A8E"/>
    <w:rsid w:val="00CD78B1"/>
    <w:rsid w:val="00CD7BA1"/>
    <w:rsid w:val="00CE0BFF"/>
    <w:rsid w:val="00CE16F0"/>
    <w:rsid w:val="00CE3C46"/>
    <w:rsid w:val="00CE3E6F"/>
    <w:rsid w:val="00CE3F28"/>
    <w:rsid w:val="00CE5181"/>
    <w:rsid w:val="00CE57B9"/>
    <w:rsid w:val="00CE6D84"/>
    <w:rsid w:val="00CE7EAC"/>
    <w:rsid w:val="00CF01B0"/>
    <w:rsid w:val="00CF32DB"/>
    <w:rsid w:val="00CF5D32"/>
    <w:rsid w:val="00D0047E"/>
    <w:rsid w:val="00D05A40"/>
    <w:rsid w:val="00D05FEF"/>
    <w:rsid w:val="00D06562"/>
    <w:rsid w:val="00D074B4"/>
    <w:rsid w:val="00D111D6"/>
    <w:rsid w:val="00D12DA2"/>
    <w:rsid w:val="00D15B28"/>
    <w:rsid w:val="00D168DD"/>
    <w:rsid w:val="00D21126"/>
    <w:rsid w:val="00D2414B"/>
    <w:rsid w:val="00D25798"/>
    <w:rsid w:val="00D2745D"/>
    <w:rsid w:val="00D31831"/>
    <w:rsid w:val="00D31DA0"/>
    <w:rsid w:val="00D32E31"/>
    <w:rsid w:val="00D33F42"/>
    <w:rsid w:val="00D3708A"/>
    <w:rsid w:val="00D3712B"/>
    <w:rsid w:val="00D37975"/>
    <w:rsid w:val="00D37CBF"/>
    <w:rsid w:val="00D37E18"/>
    <w:rsid w:val="00D37FFC"/>
    <w:rsid w:val="00D41655"/>
    <w:rsid w:val="00D418D8"/>
    <w:rsid w:val="00D432B4"/>
    <w:rsid w:val="00D448DB"/>
    <w:rsid w:val="00D44C85"/>
    <w:rsid w:val="00D466A9"/>
    <w:rsid w:val="00D466CA"/>
    <w:rsid w:val="00D47976"/>
    <w:rsid w:val="00D52551"/>
    <w:rsid w:val="00D533F9"/>
    <w:rsid w:val="00D54691"/>
    <w:rsid w:val="00D54B97"/>
    <w:rsid w:val="00D5540B"/>
    <w:rsid w:val="00D5656B"/>
    <w:rsid w:val="00D57989"/>
    <w:rsid w:val="00D57E45"/>
    <w:rsid w:val="00D6076F"/>
    <w:rsid w:val="00D617B9"/>
    <w:rsid w:val="00D633FE"/>
    <w:rsid w:val="00D659CB"/>
    <w:rsid w:val="00D66E71"/>
    <w:rsid w:val="00D675AB"/>
    <w:rsid w:val="00D67A6B"/>
    <w:rsid w:val="00D67B30"/>
    <w:rsid w:val="00D7181B"/>
    <w:rsid w:val="00D73825"/>
    <w:rsid w:val="00D73D33"/>
    <w:rsid w:val="00D74051"/>
    <w:rsid w:val="00D74A09"/>
    <w:rsid w:val="00D74A6C"/>
    <w:rsid w:val="00D75523"/>
    <w:rsid w:val="00D756CF"/>
    <w:rsid w:val="00D76D49"/>
    <w:rsid w:val="00D76E32"/>
    <w:rsid w:val="00D772C3"/>
    <w:rsid w:val="00D80C8B"/>
    <w:rsid w:val="00D82FD1"/>
    <w:rsid w:val="00D82FE4"/>
    <w:rsid w:val="00D835AC"/>
    <w:rsid w:val="00D84189"/>
    <w:rsid w:val="00D854F7"/>
    <w:rsid w:val="00D85A1E"/>
    <w:rsid w:val="00D85DBB"/>
    <w:rsid w:val="00D86E16"/>
    <w:rsid w:val="00D92C19"/>
    <w:rsid w:val="00D92DC3"/>
    <w:rsid w:val="00D9687C"/>
    <w:rsid w:val="00DA1B7A"/>
    <w:rsid w:val="00DA627C"/>
    <w:rsid w:val="00DA6BAE"/>
    <w:rsid w:val="00DA7754"/>
    <w:rsid w:val="00DB2FA4"/>
    <w:rsid w:val="00DB6F7A"/>
    <w:rsid w:val="00DB739E"/>
    <w:rsid w:val="00DC0BC7"/>
    <w:rsid w:val="00DC1B3F"/>
    <w:rsid w:val="00DC2B71"/>
    <w:rsid w:val="00DC6D95"/>
    <w:rsid w:val="00DC7011"/>
    <w:rsid w:val="00DC73BF"/>
    <w:rsid w:val="00DC76D5"/>
    <w:rsid w:val="00DD0565"/>
    <w:rsid w:val="00DD0EFB"/>
    <w:rsid w:val="00DD2A45"/>
    <w:rsid w:val="00DD3C88"/>
    <w:rsid w:val="00DD4303"/>
    <w:rsid w:val="00DD4837"/>
    <w:rsid w:val="00DD4EDC"/>
    <w:rsid w:val="00DD540C"/>
    <w:rsid w:val="00DD660B"/>
    <w:rsid w:val="00DD6688"/>
    <w:rsid w:val="00DE21F2"/>
    <w:rsid w:val="00DE3750"/>
    <w:rsid w:val="00DE3B5D"/>
    <w:rsid w:val="00DE45A2"/>
    <w:rsid w:val="00DE4F9E"/>
    <w:rsid w:val="00DE69CE"/>
    <w:rsid w:val="00DE7544"/>
    <w:rsid w:val="00DF0642"/>
    <w:rsid w:val="00DF1BA1"/>
    <w:rsid w:val="00DF3855"/>
    <w:rsid w:val="00DF54D5"/>
    <w:rsid w:val="00DF5583"/>
    <w:rsid w:val="00E020AB"/>
    <w:rsid w:val="00E033A3"/>
    <w:rsid w:val="00E04561"/>
    <w:rsid w:val="00E11520"/>
    <w:rsid w:val="00E12152"/>
    <w:rsid w:val="00E13D72"/>
    <w:rsid w:val="00E13D86"/>
    <w:rsid w:val="00E140ED"/>
    <w:rsid w:val="00E16101"/>
    <w:rsid w:val="00E16FA5"/>
    <w:rsid w:val="00E22649"/>
    <w:rsid w:val="00E23E7D"/>
    <w:rsid w:val="00E2536F"/>
    <w:rsid w:val="00E25460"/>
    <w:rsid w:val="00E26327"/>
    <w:rsid w:val="00E306CA"/>
    <w:rsid w:val="00E30922"/>
    <w:rsid w:val="00E3205D"/>
    <w:rsid w:val="00E341B9"/>
    <w:rsid w:val="00E35F7C"/>
    <w:rsid w:val="00E372F9"/>
    <w:rsid w:val="00E40082"/>
    <w:rsid w:val="00E401CE"/>
    <w:rsid w:val="00E4218B"/>
    <w:rsid w:val="00E44BA8"/>
    <w:rsid w:val="00E45038"/>
    <w:rsid w:val="00E45705"/>
    <w:rsid w:val="00E478E2"/>
    <w:rsid w:val="00E50E1F"/>
    <w:rsid w:val="00E54765"/>
    <w:rsid w:val="00E54BBC"/>
    <w:rsid w:val="00E552F3"/>
    <w:rsid w:val="00E613D7"/>
    <w:rsid w:val="00E620A1"/>
    <w:rsid w:val="00E6292B"/>
    <w:rsid w:val="00E62AE3"/>
    <w:rsid w:val="00E65A40"/>
    <w:rsid w:val="00E65E53"/>
    <w:rsid w:val="00E667D2"/>
    <w:rsid w:val="00E67803"/>
    <w:rsid w:val="00E7074B"/>
    <w:rsid w:val="00E726F4"/>
    <w:rsid w:val="00E727E9"/>
    <w:rsid w:val="00E727EF"/>
    <w:rsid w:val="00E74342"/>
    <w:rsid w:val="00E76A36"/>
    <w:rsid w:val="00E771C9"/>
    <w:rsid w:val="00E805FB"/>
    <w:rsid w:val="00E808D8"/>
    <w:rsid w:val="00E82288"/>
    <w:rsid w:val="00E83937"/>
    <w:rsid w:val="00E85662"/>
    <w:rsid w:val="00E8676D"/>
    <w:rsid w:val="00E86F10"/>
    <w:rsid w:val="00E8782A"/>
    <w:rsid w:val="00E87DBF"/>
    <w:rsid w:val="00E921E9"/>
    <w:rsid w:val="00E93C44"/>
    <w:rsid w:val="00E94F70"/>
    <w:rsid w:val="00E9528E"/>
    <w:rsid w:val="00E95DE7"/>
    <w:rsid w:val="00EA068C"/>
    <w:rsid w:val="00EA1564"/>
    <w:rsid w:val="00EA18A0"/>
    <w:rsid w:val="00EA194F"/>
    <w:rsid w:val="00EA1CF6"/>
    <w:rsid w:val="00EA55A4"/>
    <w:rsid w:val="00EA5AAB"/>
    <w:rsid w:val="00EA6F14"/>
    <w:rsid w:val="00EA71B2"/>
    <w:rsid w:val="00EA7F0A"/>
    <w:rsid w:val="00EB088A"/>
    <w:rsid w:val="00EB14A1"/>
    <w:rsid w:val="00EB2F53"/>
    <w:rsid w:val="00EB3FEB"/>
    <w:rsid w:val="00EB44A9"/>
    <w:rsid w:val="00EC203A"/>
    <w:rsid w:val="00EC41B2"/>
    <w:rsid w:val="00EC53AC"/>
    <w:rsid w:val="00EC5D48"/>
    <w:rsid w:val="00EC6EBF"/>
    <w:rsid w:val="00EC7433"/>
    <w:rsid w:val="00ED01E1"/>
    <w:rsid w:val="00ED04CB"/>
    <w:rsid w:val="00ED0817"/>
    <w:rsid w:val="00ED0DE5"/>
    <w:rsid w:val="00ED0FD6"/>
    <w:rsid w:val="00ED2470"/>
    <w:rsid w:val="00ED3A43"/>
    <w:rsid w:val="00ED40D7"/>
    <w:rsid w:val="00ED665D"/>
    <w:rsid w:val="00ED72BA"/>
    <w:rsid w:val="00EE67B8"/>
    <w:rsid w:val="00EF099D"/>
    <w:rsid w:val="00EF1C42"/>
    <w:rsid w:val="00EF1D4A"/>
    <w:rsid w:val="00EF3894"/>
    <w:rsid w:val="00EF50EE"/>
    <w:rsid w:val="00EF7143"/>
    <w:rsid w:val="00F03A8B"/>
    <w:rsid w:val="00F03C4B"/>
    <w:rsid w:val="00F04598"/>
    <w:rsid w:val="00F054FE"/>
    <w:rsid w:val="00F070EA"/>
    <w:rsid w:val="00F0721F"/>
    <w:rsid w:val="00F0760C"/>
    <w:rsid w:val="00F102E5"/>
    <w:rsid w:val="00F12BFB"/>
    <w:rsid w:val="00F14ACB"/>
    <w:rsid w:val="00F15A77"/>
    <w:rsid w:val="00F175DF"/>
    <w:rsid w:val="00F20C26"/>
    <w:rsid w:val="00F21AA5"/>
    <w:rsid w:val="00F22CB3"/>
    <w:rsid w:val="00F2326E"/>
    <w:rsid w:val="00F2339F"/>
    <w:rsid w:val="00F23439"/>
    <w:rsid w:val="00F24CF1"/>
    <w:rsid w:val="00F27259"/>
    <w:rsid w:val="00F27EEE"/>
    <w:rsid w:val="00F30273"/>
    <w:rsid w:val="00F31B02"/>
    <w:rsid w:val="00F368CD"/>
    <w:rsid w:val="00F36C0D"/>
    <w:rsid w:val="00F36E52"/>
    <w:rsid w:val="00F379C9"/>
    <w:rsid w:val="00F417B3"/>
    <w:rsid w:val="00F41E6F"/>
    <w:rsid w:val="00F422BA"/>
    <w:rsid w:val="00F427B8"/>
    <w:rsid w:val="00F431B8"/>
    <w:rsid w:val="00F43B7C"/>
    <w:rsid w:val="00F44952"/>
    <w:rsid w:val="00F46FC7"/>
    <w:rsid w:val="00F47151"/>
    <w:rsid w:val="00F47224"/>
    <w:rsid w:val="00F47BCA"/>
    <w:rsid w:val="00F47E03"/>
    <w:rsid w:val="00F501C9"/>
    <w:rsid w:val="00F50858"/>
    <w:rsid w:val="00F5440E"/>
    <w:rsid w:val="00F563B2"/>
    <w:rsid w:val="00F57042"/>
    <w:rsid w:val="00F6106B"/>
    <w:rsid w:val="00F632DC"/>
    <w:rsid w:val="00F65430"/>
    <w:rsid w:val="00F65692"/>
    <w:rsid w:val="00F65EDE"/>
    <w:rsid w:val="00F675A6"/>
    <w:rsid w:val="00F717C5"/>
    <w:rsid w:val="00F71B6A"/>
    <w:rsid w:val="00F726EF"/>
    <w:rsid w:val="00F72B55"/>
    <w:rsid w:val="00F745AD"/>
    <w:rsid w:val="00F74F22"/>
    <w:rsid w:val="00F776F4"/>
    <w:rsid w:val="00F77CCF"/>
    <w:rsid w:val="00F77FB7"/>
    <w:rsid w:val="00F81641"/>
    <w:rsid w:val="00F81D03"/>
    <w:rsid w:val="00F8263C"/>
    <w:rsid w:val="00F8318C"/>
    <w:rsid w:val="00F84164"/>
    <w:rsid w:val="00F85F6A"/>
    <w:rsid w:val="00F8610F"/>
    <w:rsid w:val="00F869D5"/>
    <w:rsid w:val="00F86AB4"/>
    <w:rsid w:val="00F90E1D"/>
    <w:rsid w:val="00F93D04"/>
    <w:rsid w:val="00F96523"/>
    <w:rsid w:val="00F97062"/>
    <w:rsid w:val="00F971C0"/>
    <w:rsid w:val="00F97D5B"/>
    <w:rsid w:val="00FA2D2C"/>
    <w:rsid w:val="00FA2F7E"/>
    <w:rsid w:val="00FA3525"/>
    <w:rsid w:val="00FA3B85"/>
    <w:rsid w:val="00FA46BF"/>
    <w:rsid w:val="00FA4ACA"/>
    <w:rsid w:val="00FA4E46"/>
    <w:rsid w:val="00FA6943"/>
    <w:rsid w:val="00FA7145"/>
    <w:rsid w:val="00FB2104"/>
    <w:rsid w:val="00FB24CE"/>
    <w:rsid w:val="00FB728D"/>
    <w:rsid w:val="00FC0672"/>
    <w:rsid w:val="00FC374E"/>
    <w:rsid w:val="00FC442A"/>
    <w:rsid w:val="00FC6F52"/>
    <w:rsid w:val="00FC77F4"/>
    <w:rsid w:val="00FC7B1A"/>
    <w:rsid w:val="00FD3C0C"/>
    <w:rsid w:val="00FD4AD6"/>
    <w:rsid w:val="00FD503C"/>
    <w:rsid w:val="00FD6A0D"/>
    <w:rsid w:val="00FD7EB6"/>
    <w:rsid w:val="00FE2AB0"/>
    <w:rsid w:val="00FE3D88"/>
    <w:rsid w:val="00FE488E"/>
    <w:rsid w:val="00FF037B"/>
    <w:rsid w:val="00FF1140"/>
    <w:rsid w:val="00FF1BB8"/>
    <w:rsid w:val="00FF484C"/>
    <w:rsid w:val="00FF4EEA"/>
    <w:rsid w:val="00FF616A"/>
    <w:rsid w:val="00FF6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5CC9F"/>
  <w15:docId w15:val="{ECEC7CAF-7D11-42BE-B8A7-9D76C9524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37"/>
    <w:pPr>
      <w:spacing w:before="120" w:after="120"/>
    </w:pPr>
    <w:rPr>
      <w:rFonts w:ascii="Arial" w:hAnsi="Arial" w:cs="Arial"/>
      <w:sz w:val="24"/>
      <w:szCs w:val="24"/>
    </w:rPr>
  </w:style>
  <w:style w:type="paragraph" w:styleId="Heading1">
    <w:name w:val="heading 1"/>
    <w:basedOn w:val="Normal"/>
    <w:next w:val="Normal"/>
    <w:link w:val="Heading1Char"/>
    <w:uiPriority w:val="9"/>
    <w:qFormat/>
    <w:rsid w:val="00D73D33"/>
    <w:pPr>
      <w:keepNext/>
      <w:keepLines/>
      <w:spacing w:before="360" w:after="240"/>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033B54"/>
    <w:pPr>
      <w:keepNext/>
      <w:keepLines/>
      <w:spacing w:before="200"/>
      <w:outlineLvl w:val="1"/>
    </w:pPr>
    <w:rPr>
      <w:rFonts w:eastAsiaTheme="majorEastAsia"/>
      <w:b/>
      <w:bCs/>
      <w:color w:val="2D7C82"/>
      <w:sz w:val="28"/>
      <w:szCs w:val="28"/>
    </w:rPr>
  </w:style>
  <w:style w:type="paragraph" w:styleId="Heading3">
    <w:name w:val="heading 3"/>
    <w:basedOn w:val="Normal"/>
    <w:next w:val="Normal"/>
    <w:link w:val="Heading3Char"/>
    <w:uiPriority w:val="9"/>
    <w:unhideWhenUsed/>
    <w:qFormat/>
    <w:rsid w:val="003C347B"/>
    <w:pPr>
      <w:outlineLvl w:val="2"/>
    </w:pPr>
    <w:rPr>
      <w:b/>
    </w:rPr>
  </w:style>
  <w:style w:type="paragraph" w:styleId="Heading4">
    <w:name w:val="heading 4"/>
    <w:basedOn w:val="Normal"/>
    <w:next w:val="Normal"/>
    <w:link w:val="Heading4Char"/>
    <w:uiPriority w:val="9"/>
    <w:semiHidden/>
    <w:unhideWhenUsed/>
    <w:rsid w:val="008F39C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D33"/>
    <w:rPr>
      <w:rFonts w:ascii="Arial" w:eastAsiaTheme="majorEastAsia" w:hAnsi="Arial" w:cs="Arial"/>
      <w:b/>
      <w:bCs/>
      <w:sz w:val="32"/>
      <w:szCs w:val="32"/>
    </w:rPr>
  </w:style>
  <w:style w:type="paragraph" w:styleId="BalloonText">
    <w:name w:val="Balloon Text"/>
    <w:basedOn w:val="Normal"/>
    <w:link w:val="BalloonTextChar"/>
    <w:uiPriority w:val="99"/>
    <w:semiHidden/>
    <w:unhideWhenUsed/>
    <w:rsid w:val="00956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E1A"/>
    <w:rPr>
      <w:rFonts w:ascii="Tahoma" w:hAnsi="Tahoma" w:cs="Tahoma"/>
      <w:sz w:val="16"/>
      <w:szCs w:val="16"/>
    </w:rPr>
  </w:style>
  <w:style w:type="character" w:customStyle="1" w:styleId="Heading2Char">
    <w:name w:val="Heading 2 Char"/>
    <w:basedOn w:val="DefaultParagraphFont"/>
    <w:link w:val="Heading2"/>
    <w:uiPriority w:val="9"/>
    <w:rsid w:val="00033B54"/>
    <w:rPr>
      <w:rFonts w:ascii="Arial" w:eastAsiaTheme="majorEastAsia" w:hAnsi="Arial" w:cs="Arial"/>
      <w:b/>
      <w:bCs/>
      <w:color w:val="2D7C82"/>
      <w:sz w:val="28"/>
      <w:szCs w:val="28"/>
    </w:rPr>
  </w:style>
  <w:style w:type="paragraph" w:styleId="TOCHeading">
    <w:name w:val="TOC Heading"/>
    <w:basedOn w:val="Heading1"/>
    <w:next w:val="Normal"/>
    <w:uiPriority w:val="39"/>
    <w:semiHidden/>
    <w:unhideWhenUsed/>
    <w:qFormat/>
    <w:rsid w:val="00F2326E"/>
    <w:pPr>
      <w:spacing w:before="480" w:after="0"/>
      <w:outlineLvl w:val="9"/>
    </w:pPr>
    <w:rPr>
      <w:rFonts w:asciiTheme="majorHAnsi"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CB3048"/>
    <w:pPr>
      <w:tabs>
        <w:tab w:val="right" w:leader="dot" w:pos="9016"/>
      </w:tabs>
      <w:spacing w:before="360" w:after="240"/>
    </w:pPr>
    <w:rPr>
      <w:rFonts w:ascii="Verdana" w:hAnsi="Verdana"/>
      <w:b/>
      <w:sz w:val="36"/>
      <w:szCs w:val="28"/>
    </w:rPr>
  </w:style>
  <w:style w:type="paragraph" w:styleId="TOC2">
    <w:name w:val="toc 2"/>
    <w:basedOn w:val="Normal"/>
    <w:next w:val="Normal"/>
    <w:autoRedefine/>
    <w:uiPriority w:val="39"/>
    <w:unhideWhenUsed/>
    <w:rsid w:val="00302727"/>
    <w:pPr>
      <w:spacing w:after="100"/>
      <w:ind w:left="240"/>
    </w:pPr>
    <w:rPr>
      <w:rFonts w:asciiTheme="minorHAnsi" w:hAnsiTheme="minorHAnsi"/>
    </w:rPr>
  </w:style>
  <w:style w:type="character" w:styleId="Hyperlink">
    <w:name w:val="Hyperlink"/>
    <w:basedOn w:val="DefaultParagraphFont"/>
    <w:uiPriority w:val="99"/>
    <w:unhideWhenUsed/>
    <w:rsid w:val="00F2326E"/>
    <w:rPr>
      <w:color w:val="0000FF" w:themeColor="hyperlink"/>
      <w:u w:val="single"/>
    </w:rPr>
  </w:style>
  <w:style w:type="paragraph" w:styleId="Header">
    <w:name w:val="header"/>
    <w:basedOn w:val="Normal"/>
    <w:link w:val="HeaderChar"/>
    <w:uiPriority w:val="99"/>
    <w:unhideWhenUsed/>
    <w:rsid w:val="00CE5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7B9"/>
    <w:rPr>
      <w:rFonts w:ascii="Arial" w:hAnsi="Arial" w:cs="Arial"/>
      <w:sz w:val="24"/>
      <w:szCs w:val="24"/>
    </w:rPr>
  </w:style>
  <w:style w:type="paragraph" w:styleId="Footer">
    <w:name w:val="footer"/>
    <w:basedOn w:val="Normal"/>
    <w:link w:val="FooterChar"/>
    <w:uiPriority w:val="99"/>
    <w:unhideWhenUsed/>
    <w:rsid w:val="00CE5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7B9"/>
    <w:rPr>
      <w:rFonts w:ascii="Arial" w:hAnsi="Arial" w:cs="Arial"/>
      <w:sz w:val="24"/>
      <w:szCs w:val="24"/>
    </w:rPr>
  </w:style>
  <w:style w:type="paragraph" w:styleId="TOC3">
    <w:name w:val="toc 3"/>
    <w:basedOn w:val="Normal"/>
    <w:next w:val="Normal"/>
    <w:autoRedefine/>
    <w:uiPriority w:val="39"/>
    <w:unhideWhenUsed/>
    <w:rsid w:val="00061AFB"/>
    <w:pPr>
      <w:spacing w:after="100"/>
      <w:ind w:left="440"/>
    </w:pPr>
    <w:rPr>
      <w:rFonts w:asciiTheme="minorHAnsi" w:hAnsiTheme="minorHAnsi" w:cstheme="minorBidi"/>
      <w:sz w:val="22"/>
      <w:szCs w:val="22"/>
      <w:lang w:val="en-US" w:eastAsia="ja-JP"/>
    </w:rPr>
  </w:style>
  <w:style w:type="character" w:customStyle="1" w:styleId="Heading3Char">
    <w:name w:val="Heading 3 Char"/>
    <w:basedOn w:val="DefaultParagraphFont"/>
    <w:link w:val="Heading3"/>
    <w:uiPriority w:val="9"/>
    <w:rsid w:val="003C347B"/>
    <w:rPr>
      <w:rFonts w:ascii="Arial" w:hAnsi="Arial" w:cs="Arial"/>
      <w:b/>
      <w:sz w:val="24"/>
      <w:szCs w:val="24"/>
    </w:rPr>
  </w:style>
  <w:style w:type="table" w:styleId="TableGrid">
    <w:name w:val="Table Grid"/>
    <w:basedOn w:val="TableNormal"/>
    <w:uiPriority w:val="59"/>
    <w:rsid w:val="0083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HO2ndattempt">
    <w:name w:val="KPHO 2nd attempt"/>
    <w:basedOn w:val="TableNormal"/>
    <w:uiPriority w:val="99"/>
    <w:rsid w:val="00866539"/>
    <w:pPr>
      <w:spacing w:before="120" w:after="120" w:line="240" w:lineRule="auto"/>
    </w:pPr>
    <w:rPr>
      <w:rFonts w:ascii="Arial" w:hAnsi="Arial"/>
      <w:sz w:val="24"/>
    </w:rPr>
    <w:tblPr>
      <w:tblStyleRowBandSize w:val="1"/>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FFFFFF" w:themeColor="background1"/>
        <w:insideV w:val="single" w:sz="12" w:space="0" w:color="FFFFFF" w:themeColor="background1"/>
      </w:tblBorders>
    </w:tblPr>
    <w:tblStylePr w:type="firstRow">
      <w:rPr>
        <w:b/>
      </w:rPr>
      <w:tblPr/>
      <w:tcPr>
        <w:tcBorders>
          <w:top w:val="single" w:sz="8" w:space="0" w:color="D9D9D9" w:themeColor="background1" w:themeShade="D9"/>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tblStylePr w:type="lastRow">
      <w:tblPr/>
      <w:tcPr>
        <w:tcBorders>
          <w:top w:val="nil"/>
          <w:left w:val="single" w:sz="12" w:space="0" w:color="D9D9D9" w:themeColor="background1" w:themeShade="D9"/>
          <w:bottom w:val="single" w:sz="12" w:space="0" w:color="D9D9D9" w:themeColor="background1" w:themeShade="D9"/>
          <w:right w:val="single" w:sz="12" w:space="0" w:color="D9D9D9" w:themeColor="background1" w:themeShade="D9"/>
          <w:insideH w:val="nil"/>
          <w:insideV w:val="single" w:sz="12" w:space="0" w:color="FFFFFF" w:themeColor="background1"/>
          <w:tl2br w:val="nil"/>
          <w:tr2bl w:val="nil"/>
        </w:tcBorders>
      </w:tcPr>
    </w:tblStylePr>
    <w:tblStylePr w:type="band1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tcPr>
    </w:tblStylePr>
    <w:tblStylePr w:type="band2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style>
  <w:style w:type="table" w:styleId="MediumShading1">
    <w:name w:val="Medium Shading 1"/>
    <w:basedOn w:val="TableNormal"/>
    <w:uiPriority w:val="63"/>
    <w:rsid w:val="007A6B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1F3FA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F3FAA"/>
    <w:rPr>
      <w:rFonts w:ascii="Arial" w:hAnsi="Arial" w:cs="Arial"/>
      <w:sz w:val="20"/>
      <w:szCs w:val="20"/>
    </w:rPr>
  </w:style>
  <w:style w:type="character" w:styleId="FootnoteReference">
    <w:name w:val="footnote reference"/>
    <w:basedOn w:val="DefaultParagraphFont"/>
    <w:uiPriority w:val="99"/>
    <w:semiHidden/>
    <w:unhideWhenUsed/>
    <w:rsid w:val="001F3FAA"/>
    <w:rPr>
      <w:vertAlign w:val="superscript"/>
    </w:rPr>
  </w:style>
  <w:style w:type="paragraph" w:styleId="NormalWeb">
    <w:name w:val="Normal (Web)"/>
    <w:basedOn w:val="Normal"/>
    <w:uiPriority w:val="99"/>
    <w:unhideWhenUsed/>
    <w:rsid w:val="00AE336A"/>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F745AD"/>
    <w:rPr>
      <w:color w:val="605E5C"/>
      <w:shd w:val="clear" w:color="auto" w:fill="E1DFDD"/>
    </w:rPr>
  </w:style>
  <w:style w:type="paragraph" w:styleId="NoSpacing">
    <w:name w:val="No Spacing"/>
    <w:uiPriority w:val="1"/>
    <w:qFormat/>
    <w:rsid w:val="00537514"/>
    <w:pPr>
      <w:spacing w:after="0" w:line="240" w:lineRule="auto"/>
    </w:pPr>
    <w:rPr>
      <w:rFonts w:ascii="Arial" w:hAnsi="Arial" w:cs="Arial"/>
      <w:sz w:val="24"/>
      <w:szCs w:val="24"/>
    </w:rPr>
  </w:style>
  <w:style w:type="paragraph" w:styleId="ListParagraph">
    <w:name w:val="List Paragraph"/>
    <w:basedOn w:val="Normal"/>
    <w:uiPriority w:val="34"/>
    <w:qFormat/>
    <w:rsid w:val="0093247D"/>
    <w:pPr>
      <w:spacing w:before="0" w:after="160" w:line="259" w:lineRule="auto"/>
      <w:ind w:left="720"/>
      <w:contextualSpacing/>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C116BF"/>
    <w:rPr>
      <w:color w:val="800080" w:themeColor="followedHyperlink"/>
      <w:u w:val="single"/>
    </w:rPr>
  </w:style>
  <w:style w:type="character" w:styleId="CommentReference">
    <w:name w:val="annotation reference"/>
    <w:basedOn w:val="DefaultParagraphFont"/>
    <w:uiPriority w:val="99"/>
    <w:semiHidden/>
    <w:unhideWhenUsed/>
    <w:rsid w:val="00305A27"/>
    <w:rPr>
      <w:sz w:val="16"/>
      <w:szCs w:val="16"/>
    </w:rPr>
  </w:style>
  <w:style w:type="paragraph" w:styleId="CommentText">
    <w:name w:val="annotation text"/>
    <w:basedOn w:val="Normal"/>
    <w:link w:val="CommentTextChar"/>
    <w:uiPriority w:val="99"/>
    <w:unhideWhenUsed/>
    <w:rsid w:val="00305A27"/>
    <w:pPr>
      <w:spacing w:line="240" w:lineRule="auto"/>
    </w:pPr>
    <w:rPr>
      <w:sz w:val="20"/>
      <w:szCs w:val="20"/>
    </w:rPr>
  </w:style>
  <w:style w:type="character" w:customStyle="1" w:styleId="CommentTextChar">
    <w:name w:val="Comment Text Char"/>
    <w:basedOn w:val="DefaultParagraphFont"/>
    <w:link w:val="CommentText"/>
    <w:uiPriority w:val="99"/>
    <w:rsid w:val="00305A2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05A27"/>
    <w:rPr>
      <w:b/>
      <w:bCs/>
    </w:rPr>
  </w:style>
  <w:style w:type="character" w:customStyle="1" w:styleId="CommentSubjectChar">
    <w:name w:val="Comment Subject Char"/>
    <w:basedOn w:val="CommentTextChar"/>
    <w:link w:val="CommentSubject"/>
    <w:uiPriority w:val="99"/>
    <w:semiHidden/>
    <w:rsid w:val="00305A27"/>
    <w:rPr>
      <w:rFonts w:ascii="Arial" w:hAnsi="Arial" w:cs="Arial"/>
      <w:b/>
      <w:bCs/>
      <w:sz w:val="20"/>
      <w:szCs w:val="20"/>
    </w:rPr>
  </w:style>
  <w:style w:type="character" w:customStyle="1" w:styleId="Heading4Char">
    <w:name w:val="Heading 4 Char"/>
    <w:basedOn w:val="DefaultParagraphFont"/>
    <w:link w:val="Heading4"/>
    <w:uiPriority w:val="9"/>
    <w:semiHidden/>
    <w:rsid w:val="008F39C6"/>
    <w:rPr>
      <w:rFonts w:asciiTheme="majorHAnsi" w:eastAsiaTheme="majorEastAsia" w:hAnsiTheme="majorHAnsi" w:cstheme="majorBidi"/>
      <w:i/>
      <w:iCs/>
      <w:color w:val="365F91" w:themeColor="accent1" w:themeShade="BF"/>
      <w:sz w:val="24"/>
      <w:szCs w:val="24"/>
    </w:rPr>
  </w:style>
  <w:style w:type="character" w:customStyle="1" w:styleId="body-text">
    <w:name w:val="body-text"/>
    <w:basedOn w:val="DefaultParagraphFont"/>
    <w:rsid w:val="00D21126"/>
  </w:style>
  <w:style w:type="character" w:customStyle="1" w:styleId="accordion-panel">
    <w:name w:val="accordion-panel"/>
    <w:basedOn w:val="DefaultParagraphFont"/>
    <w:rsid w:val="00D21126"/>
  </w:style>
  <w:style w:type="character" w:customStyle="1" w:styleId="cf01">
    <w:name w:val="cf01"/>
    <w:basedOn w:val="DefaultParagraphFont"/>
    <w:rsid w:val="007F20BD"/>
    <w:rPr>
      <w:rFonts w:ascii="Segoe UI" w:hAnsi="Segoe UI" w:cs="Segoe UI" w:hint="default"/>
      <w:sz w:val="18"/>
      <w:szCs w:val="18"/>
    </w:rPr>
  </w:style>
  <w:style w:type="paragraph" w:customStyle="1" w:styleId="pf0">
    <w:name w:val="pf0"/>
    <w:basedOn w:val="Normal"/>
    <w:rsid w:val="00F379C9"/>
    <w:pPr>
      <w:spacing w:before="100" w:beforeAutospacing="1" w:after="100" w:afterAutospacing="1" w:line="240" w:lineRule="auto"/>
    </w:pPr>
    <w:rPr>
      <w:rFonts w:ascii="Times New Roman" w:eastAsia="Times New Roman" w:hAnsi="Times New Roman" w:cs="Times New Roman"/>
    </w:rPr>
  </w:style>
  <w:style w:type="paragraph" w:customStyle="1" w:styleId="Heading40">
    <w:name w:val="Heading4"/>
    <w:basedOn w:val="Heading4"/>
    <w:next w:val="Normal"/>
    <w:link w:val="Heading4Char0"/>
    <w:qFormat/>
    <w:rsid w:val="007D7DA5"/>
  </w:style>
  <w:style w:type="character" w:customStyle="1" w:styleId="Heading4Char0">
    <w:name w:val="Heading4 Char"/>
    <w:basedOn w:val="DefaultParagraphFont"/>
    <w:link w:val="Heading40"/>
    <w:rsid w:val="00915411"/>
    <w:rPr>
      <w:rFonts w:asciiTheme="majorHAnsi" w:eastAsiaTheme="majorEastAsia" w:hAnsiTheme="majorHAnsi" w:cstheme="majorBidi"/>
      <w:i/>
      <w:iCs/>
      <w:color w:val="365F91" w:themeColor="accent1" w:themeShade="BF"/>
      <w:sz w:val="24"/>
      <w:szCs w:val="24"/>
    </w:rPr>
  </w:style>
  <w:style w:type="paragraph" w:styleId="Title">
    <w:name w:val="Title"/>
    <w:basedOn w:val="Normal"/>
    <w:next w:val="Normal"/>
    <w:link w:val="TitleChar"/>
    <w:uiPriority w:val="10"/>
    <w:rsid w:val="00D675AB"/>
    <w:pPr>
      <w:spacing w:before="0" w:after="0" w:line="240" w:lineRule="auto"/>
      <w:contextualSpacing/>
    </w:pPr>
    <w:rPr>
      <w:rFonts w:ascii="Verdana" w:eastAsiaTheme="majorEastAsia" w:hAnsi="Verdana" w:cstheme="majorBidi"/>
      <w:b/>
      <w:color w:val="2D7C82"/>
      <w:spacing w:val="-10"/>
      <w:kern w:val="28"/>
      <w:sz w:val="44"/>
      <w:szCs w:val="56"/>
    </w:rPr>
  </w:style>
  <w:style w:type="character" w:customStyle="1" w:styleId="TitleChar">
    <w:name w:val="Title Char"/>
    <w:basedOn w:val="DefaultParagraphFont"/>
    <w:link w:val="Title"/>
    <w:uiPriority w:val="10"/>
    <w:rsid w:val="00D675AB"/>
    <w:rPr>
      <w:rFonts w:ascii="Verdana" w:eastAsiaTheme="majorEastAsia" w:hAnsi="Verdana" w:cstheme="majorBidi"/>
      <w:b/>
      <w:color w:val="2D7C82"/>
      <w:spacing w:val="-10"/>
      <w:kern w:val="28"/>
      <w:sz w:val="44"/>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907">
      <w:bodyDiv w:val="1"/>
      <w:marLeft w:val="0"/>
      <w:marRight w:val="0"/>
      <w:marTop w:val="0"/>
      <w:marBottom w:val="0"/>
      <w:divBdr>
        <w:top w:val="none" w:sz="0" w:space="0" w:color="auto"/>
        <w:left w:val="none" w:sz="0" w:space="0" w:color="auto"/>
        <w:bottom w:val="none" w:sz="0" w:space="0" w:color="auto"/>
        <w:right w:val="none" w:sz="0" w:space="0" w:color="auto"/>
      </w:divBdr>
    </w:div>
    <w:div w:id="35785948">
      <w:bodyDiv w:val="1"/>
      <w:marLeft w:val="0"/>
      <w:marRight w:val="0"/>
      <w:marTop w:val="0"/>
      <w:marBottom w:val="0"/>
      <w:divBdr>
        <w:top w:val="none" w:sz="0" w:space="0" w:color="auto"/>
        <w:left w:val="none" w:sz="0" w:space="0" w:color="auto"/>
        <w:bottom w:val="none" w:sz="0" w:space="0" w:color="auto"/>
        <w:right w:val="none" w:sz="0" w:space="0" w:color="auto"/>
      </w:divBdr>
    </w:div>
    <w:div w:id="140930711">
      <w:bodyDiv w:val="1"/>
      <w:marLeft w:val="0"/>
      <w:marRight w:val="0"/>
      <w:marTop w:val="0"/>
      <w:marBottom w:val="0"/>
      <w:divBdr>
        <w:top w:val="none" w:sz="0" w:space="0" w:color="auto"/>
        <w:left w:val="none" w:sz="0" w:space="0" w:color="auto"/>
        <w:bottom w:val="none" w:sz="0" w:space="0" w:color="auto"/>
        <w:right w:val="none" w:sz="0" w:space="0" w:color="auto"/>
      </w:divBdr>
    </w:div>
    <w:div w:id="365446697">
      <w:bodyDiv w:val="1"/>
      <w:marLeft w:val="0"/>
      <w:marRight w:val="0"/>
      <w:marTop w:val="0"/>
      <w:marBottom w:val="0"/>
      <w:divBdr>
        <w:top w:val="none" w:sz="0" w:space="0" w:color="auto"/>
        <w:left w:val="none" w:sz="0" w:space="0" w:color="auto"/>
        <w:bottom w:val="none" w:sz="0" w:space="0" w:color="auto"/>
        <w:right w:val="none" w:sz="0" w:space="0" w:color="auto"/>
      </w:divBdr>
    </w:div>
    <w:div w:id="390622227">
      <w:bodyDiv w:val="1"/>
      <w:marLeft w:val="0"/>
      <w:marRight w:val="0"/>
      <w:marTop w:val="0"/>
      <w:marBottom w:val="0"/>
      <w:divBdr>
        <w:top w:val="none" w:sz="0" w:space="0" w:color="auto"/>
        <w:left w:val="none" w:sz="0" w:space="0" w:color="auto"/>
        <w:bottom w:val="none" w:sz="0" w:space="0" w:color="auto"/>
        <w:right w:val="none" w:sz="0" w:space="0" w:color="auto"/>
      </w:divBdr>
    </w:div>
    <w:div w:id="571474266">
      <w:bodyDiv w:val="1"/>
      <w:marLeft w:val="0"/>
      <w:marRight w:val="0"/>
      <w:marTop w:val="0"/>
      <w:marBottom w:val="0"/>
      <w:divBdr>
        <w:top w:val="none" w:sz="0" w:space="0" w:color="auto"/>
        <w:left w:val="none" w:sz="0" w:space="0" w:color="auto"/>
        <w:bottom w:val="none" w:sz="0" w:space="0" w:color="auto"/>
        <w:right w:val="none" w:sz="0" w:space="0" w:color="auto"/>
      </w:divBdr>
    </w:div>
    <w:div w:id="629554049">
      <w:bodyDiv w:val="1"/>
      <w:marLeft w:val="0"/>
      <w:marRight w:val="0"/>
      <w:marTop w:val="0"/>
      <w:marBottom w:val="0"/>
      <w:divBdr>
        <w:top w:val="none" w:sz="0" w:space="0" w:color="auto"/>
        <w:left w:val="none" w:sz="0" w:space="0" w:color="auto"/>
        <w:bottom w:val="none" w:sz="0" w:space="0" w:color="auto"/>
        <w:right w:val="none" w:sz="0" w:space="0" w:color="auto"/>
      </w:divBdr>
    </w:div>
    <w:div w:id="646469323">
      <w:bodyDiv w:val="1"/>
      <w:marLeft w:val="0"/>
      <w:marRight w:val="0"/>
      <w:marTop w:val="0"/>
      <w:marBottom w:val="0"/>
      <w:divBdr>
        <w:top w:val="none" w:sz="0" w:space="0" w:color="auto"/>
        <w:left w:val="none" w:sz="0" w:space="0" w:color="auto"/>
        <w:bottom w:val="none" w:sz="0" w:space="0" w:color="auto"/>
        <w:right w:val="none" w:sz="0" w:space="0" w:color="auto"/>
      </w:divBdr>
    </w:div>
    <w:div w:id="750783442">
      <w:bodyDiv w:val="1"/>
      <w:marLeft w:val="0"/>
      <w:marRight w:val="0"/>
      <w:marTop w:val="0"/>
      <w:marBottom w:val="0"/>
      <w:divBdr>
        <w:top w:val="none" w:sz="0" w:space="0" w:color="auto"/>
        <w:left w:val="none" w:sz="0" w:space="0" w:color="auto"/>
        <w:bottom w:val="none" w:sz="0" w:space="0" w:color="auto"/>
        <w:right w:val="none" w:sz="0" w:space="0" w:color="auto"/>
      </w:divBdr>
    </w:div>
    <w:div w:id="841356173">
      <w:bodyDiv w:val="1"/>
      <w:marLeft w:val="0"/>
      <w:marRight w:val="0"/>
      <w:marTop w:val="0"/>
      <w:marBottom w:val="0"/>
      <w:divBdr>
        <w:top w:val="none" w:sz="0" w:space="0" w:color="auto"/>
        <w:left w:val="none" w:sz="0" w:space="0" w:color="auto"/>
        <w:bottom w:val="none" w:sz="0" w:space="0" w:color="auto"/>
        <w:right w:val="none" w:sz="0" w:space="0" w:color="auto"/>
      </w:divBdr>
    </w:div>
    <w:div w:id="922031836">
      <w:bodyDiv w:val="1"/>
      <w:marLeft w:val="0"/>
      <w:marRight w:val="0"/>
      <w:marTop w:val="0"/>
      <w:marBottom w:val="0"/>
      <w:divBdr>
        <w:top w:val="none" w:sz="0" w:space="0" w:color="auto"/>
        <w:left w:val="none" w:sz="0" w:space="0" w:color="auto"/>
        <w:bottom w:val="none" w:sz="0" w:space="0" w:color="auto"/>
        <w:right w:val="none" w:sz="0" w:space="0" w:color="auto"/>
      </w:divBdr>
    </w:div>
    <w:div w:id="922907700">
      <w:bodyDiv w:val="1"/>
      <w:marLeft w:val="0"/>
      <w:marRight w:val="0"/>
      <w:marTop w:val="0"/>
      <w:marBottom w:val="0"/>
      <w:divBdr>
        <w:top w:val="none" w:sz="0" w:space="0" w:color="auto"/>
        <w:left w:val="none" w:sz="0" w:space="0" w:color="auto"/>
        <w:bottom w:val="none" w:sz="0" w:space="0" w:color="auto"/>
        <w:right w:val="none" w:sz="0" w:space="0" w:color="auto"/>
      </w:divBdr>
    </w:div>
    <w:div w:id="929891186">
      <w:bodyDiv w:val="1"/>
      <w:marLeft w:val="0"/>
      <w:marRight w:val="0"/>
      <w:marTop w:val="0"/>
      <w:marBottom w:val="0"/>
      <w:divBdr>
        <w:top w:val="none" w:sz="0" w:space="0" w:color="auto"/>
        <w:left w:val="none" w:sz="0" w:space="0" w:color="auto"/>
        <w:bottom w:val="none" w:sz="0" w:space="0" w:color="auto"/>
        <w:right w:val="none" w:sz="0" w:space="0" w:color="auto"/>
      </w:divBdr>
    </w:div>
    <w:div w:id="1049306914">
      <w:bodyDiv w:val="1"/>
      <w:marLeft w:val="0"/>
      <w:marRight w:val="0"/>
      <w:marTop w:val="0"/>
      <w:marBottom w:val="0"/>
      <w:divBdr>
        <w:top w:val="none" w:sz="0" w:space="0" w:color="auto"/>
        <w:left w:val="none" w:sz="0" w:space="0" w:color="auto"/>
        <w:bottom w:val="none" w:sz="0" w:space="0" w:color="auto"/>
        <w:right w:val="none" w:sz="0" w:space="0" w:color="auto"/>
      </w:divBdr>
    </w:div>
    <w:div w:id="1110003429">
      <w:bodyDiv w:val="1"/>
      <w:marLeft w:val="0"/>
      <w:marRight w:val="0"/>
      <w:marTop w:val="0"/>
      <w:marBottom w:val="0"/>
      <w:divBdr>
        <w:top w:val="none" w:sz="0" w:space="0" w:color="auto"/>
        <w:left w:val="none" w:sz="0" w:space="0" w:color="auto"/>
        <w:bottom w:val="none" w:sz="0" w:space="0" w:color="auto"/>
        <w:right w:val="none" w:sz="0" w:space="0" w:color="auto"/>
      </w:divBdr>
    </w:div>
    <w:div w:id="1159231953">
      <w:bodyDiv w:val="1"/>
      <w:marLeft w:val="0"/>
      <w:marRight w:val="0"/>
      <w:marTop w:val="0"/>
      <w:marBottom w:val="0"/>
      <w:divBdr>
        <w:top w:val="none" w:sz="0" w:space="0" w:color="auto"/>
        <w:left w:val="none" w:sz="0" w:space="0" w:color="auto"/>
        <w:bottom w:val="none" w:sz="0" w:space="0" w:color="auto"/>
        <w:right w:val="none" w:sz="0" w:space="0" w:color="auto"/>
      </w:divBdr>
    </w:div>
    <w:div w:id="1192690612">
      <w:bodyDiv w:val="1"/>
      <w:marLeft w:val="0"/>
      <w:marRight w:val="0"/>
      <w:marTop w:val="0"/>
      <w:marBottom w:val="0"/>
      <w:divBdr>
        <w:top w:val="none" w:sz="0" w:space="0" w:color="auto"/>
        <w:left w:val="none" w:sz="0" w:space="0" w:color="auto"/>
        <w:bottom w:val="none" w:sz="0" w:space="0" w:color="auto"/>
        <w:right w:val="none" w:sz="0" w:space="0" w:color="auto"/>
      </w:divBdr>
    </w:div>
    <w:div w:id="1306396623">
      <w:bodyDiv w:val="1"/>
      <w:marLeft w:val="0"/>
      <w:marRight w:val="0"/>
      <w:marTop w:val="0"/>
      <w:marBottom w:val="0"/>
      <w:divBdr>
        <w:top w:val="none" w:sz="0" w:space="0" w:color="auto"/>
        <w:left w:val="none" w:sz="0" w:space="0" w:color="auto"/>
        <w:bottom w:val="none" w:sz="0" w:space="0" w:color="auto"/>
        <w:right w:val="none" w:sz="0" w:space="0" w:color="auto"/>
      </w:divBdr>
    </w:div>
    <w:div w:id="1381130462">
      <w:bodyDiv w:val="1"/>
      <w:marLeft w:val="0"/>
      <w:marRight w:val="0"/>
      <w:marTop w:val="0"/>
      <w:marBottom w:val="0"/>
      <w:divBdr>
        <w:top w:val="none" w:sz="0" w:space="0" w:color="auto"/>
        <w:left w:val="none" w:sz="0" w:space="0" w:color="auto"/>
        <w:bottom w:val="none" w:sz="0" w:space="0" w:color="auto"/>
        <w:right w:val="none" w:sz="0" w:space="0" w:color="auto"/>
      </w:divBdr>
    </w:div>
    <w:div w:id="1385327689">
      <w:bodyDiv w:val="1"/>
      <w:marLeft w:val="0"/>
      <w:marRight w:val="0"/>
      <w:marTop w:val="0"/>
      <w:marBottom w:val="0"/>
      <w:divBdr>
        <w:top w:val="none" w:sz="0" w:space="0" w:color="auto"/>
        <w:left w:val="none" w:sz="0" w:space="0" w:color="auto"/>
        <w:bottom w:val="none" w:sz="0" w:space="0" w:color="auto"/>
        <w:right w:val="none" w:sz="0" w:space="0" w:color="auto"/>
      </w:divBdr>
    </w:div>
    <w:div w:id="1395661745">
      <w:bodyDiv w:val="1"/>
      <w:marLeft w:val="0"/>
      <w:marRight w:val="0"/>
      <w:marTop w:val="0"/>
      <w:marBottom w:val="0"/>
      <w:divBdr>
        <w:top w:val="none" w:sz="0" w:space="0" w:color="auto"/>
        <w:left w:val="none" w:sz="0" w:space="0" w:color="auto"/>
        <w:bottom w:val="none" w:sz="0" w:space="0" w:color="auto"/>
        <w:right w:val="none" w:sz="0" w:space="0" w:color="auto"/>
      </w:divBdr>
    </w:div>
    <w:div w:id="1410809290">
      <w:bodyDiv w:val="1"/>
      <w:marLeft w:val="0"/>
      <w:marRight w:val="0"/>
      <w:marTop w:val="0"/>
      <w:marBottom w:val="0"/>
      <w:divBdr>
        <w:top w:val="none" w:sz="0" w:space="0" w:color="auto"/>
        <w:left w:val="none" w:sz="0" w:space="0" w:color="auto"/>
        <w:bottom w:val="none" w:sz="0" w:space="0" w:color="auto"/>
        <w:right w:val="none" w:sz="0" w:space="0" w:color="auto"/>
      </w:divBdr>
    </w:div>
    <w:div w:id="1435129409">
      <w:bodyDiv w:val="1"/>
      <w:marLeft w:val="0"/>
      <w:marRight w:val="0"/>
      <w:marTop w:val="0"/>
      <w:marBottom w:val="0"/>
      <w:divBdr>
        <w:top w:val="none" w:sz="0" w:space="0" w:color="auto"/>
        <w:left w:val="none" w:sz="0" w:space="0" w:color="auto"/>
        <w:bottom w:val="none" w:sz="0" w:space="0" w:color="auto"/>
        <w:right w:val="none" w:sz="0" w:space="0" w:color="auto"/>
      </w:divBdr>
    </w:div>
    <w:div w:id="1459491848">
      <w:bodyDiv w:val="1"/>
      <w:marLeft w:val="0"/>
      <w:marRight w:val="0"/>
      <w:marTop w:val="0"/>
      <w:marBottom w:val="0"/>
      <w:divBdr>
        <w:top w:val="none" w:sz="0" w:space="0" w:color="auto"/>
        <w:left w:val="none" w:sz="0" w:space="0" w:color="auto"/>
        <w:bottom w:val="none" w:sz="0" w:space="0" w:color="auto"/>
        <w:right w:val="none" w:sz="0" w:space="0" w:color="auto"/>
      </w:divBdr>
    </w:div>
    <w:div w:id="1519929265">
      <w:bodyDiv w:val="1"/>
      <w:marLeft w:val="0"/>
      <w:marRight w:val="0"/>
      <w:marTop w:val="0"/>
      <w:marBottom w:val="0"/>
      <w:divBdr>
        <w:top w:val="none" w:sz="0" w:space="0" w:color="auto"/>
        <w:left w:val="none" w:sz="0" w:space="0" w:color="auto"/>
        <w:bottom w:val="none" w:sz="0" w:space="0" w:color="auto"/>
        <w:right w:val="none" w:sz="0" w:space="0" w:color="auto"/>
      </w:divBdr>
    </w:div>
    <w:div w:id="1640065763">
      <w:bodyDiv w:val="1"/>
      <w:marLeft w:val="0"/>
      <w:marRight w:val="0"/>
      <w:marTop w:val="0"/>
      <w:marBottom w:val="0"/>
      <w:divBdr>
        <w:top w:val="none" w:sz="0" w:space="0" w:color="auto"/>
        <w:left w:val="none" w:sz="0" w:space="0" w:color="auto"/>
        <w:bottom w:val="none" w:sz="0" w:space="0" w:color="auto"/>
        <w:right w:val="none" w:sz="0" w:space="0" w:color="auto"/>
      </w:divBdr>
    </w:div>
    <w:div w:id="1675303113">
      <w:bodyDiv w:val="1"/>
      <w:marLeft w:val="0"/>
      <w:marRight w:val="0"/>
      <w:marTop w:val="0"/>
      <w:marBottom w:val="0"/>
      <w:divBdr>
        <w:top w:val="none" w:sz="0" w:space="0" w:color="auto"/>
        <w:left w:val="none" w:sz="0" w:space="0" w:color="auto"/>
        <w:bottom w:val="none" w:sz="0" w:space="0" w:color="auto"/>
        <w:right w:val="none" w:sz="0" w:space="0" w:color="auto"/>
      </w:divBdr>
    </w:div>
    <w:div w:id="1726223070">
      <w:bodyDiv w:val="1"/>
      <w:marLeft w:val="0"/>
      <w:marRight w:val="0"/>
      <w:marTop w:val="0"/>
      <w:marBottom w:val="0"/>
      <w:divBdr>
        <w:top w:val="none" w:sz="0" w:space="0" w:color="auto"/>
        <w:left w:val="none" w:sz="0" w:space="0" w:color="auto"/>
        <w:bottom w:val="none" w:sz="0" w:space="0" w:color="auto"/>
        <w:right w:val="none" w:sz="0" w:space="0" w:color="auto"/>
      </w:divBdr>
    </w:div>
    <w:div w:id="1743527114">
      <w:bodyDiv w:val="1"/>
      <w:marLeft w:val="0"/>
      <w:marRight w:val="0"/>
      <w:marTop w:val="0"/>
      <w:marBottom w:val="0"/>
      <w:divBdr>
        <w:top w:val="none" w:sz="0" w:space="0" w:color="auto"/>
        <w:left w:val="none" w:sz="0" w:space="0" w:color="auto"/>
        <w:bottom w:val="none" w:sz="0" w:space="0" w:color="auto"/>
        <w:right w:val="none" w:sz="0" w:space="0" w:color="auto"/>
      </w:divBdr>
    </w:div>
    <w:div w:id="1776442708">
      <w:bodyDiv w:val="1"/>
      <w:marLeft w:val="0"/>
      <w:marRight w:val="0"/>
      <w:marTop w:val="0"/>
      <w:marBottom w:val="0"/>
      <w:divBdr>
        <w:top w:val="none" w:sz="0" w:space="0" w:color="auto"/>
        <w:left w:val="none" w:sz="0" w:space="0" w:color="auto"/>
        <w:bottom w:val="none" w:sz="0" w:space="0" w:color="auto"/>
        <w:right w:val="none" w:sz="0" w:space="0" w:color="auto"/>
      </w:divBdr>
    </w:div>
    <w:div w:id="1785727161">
      <w:bodyDiv w:val="1"/>
      <w:marLeft w:val="0"/>
      <w:marRight w:val="0"/>
      <w:marTop w:val="0"/>
      <w:marBottom w:val="0"/>
      <w:divBdr>
        <w:top w:val="none" w:sz="0" w:space="0" w:color="auto"/>
        <w:left w:val="none" w:sz="0" w:space="0" w:color="auto"/>
        <w:bottom w:val="none" w:sz="0" w:space="0" w:color="auto"/>
        <w:right w:val="none" w:sz="0" w:space="0" w:color="auto"/>
      </w:divBdr>
    </w:div>
    <w:div w:id="1792935735">
      <w:bodyDiv w:val="1"/>
      <w:marLeft w:val="0"/>
      <w:marRight w:val="0"/>
      <w:marTop w:val="0"/>
      <w:marBottom w:val="0"/>
      <w:divBdr>
        <w:top w:val="none" w:sz="0" w:space="0" w:color="auto"/>
        <w:left w:val="none" w:sz="0" w:space="0" w:color="auto"/>
        <w:bottom w:val="none" w:sz="0" w:space="0" w:color="auto"/>
        <w:right w:val="none" w:sz="0" w:space="0" w:color="auto"/>
      </w:divBdr>
    </w:div>
    <w:div w:id="1795829981">
      <w:bodyDiv w:val="1"/>
      <w:marLeft w:val="0"/>
      <w:marRight w:val="0"/>
      <w:marTop w:val="0"/>
      <w:marBottom w:val="0"/>
      <w:divBdr>
        <w:top w:val="none" w:sz="0" w:space="0" w:color="auto"/>
        <w:left w:val="none" w:sz="0" w:space="0" w:color="auto"/>
        <w:bottom w:val="none" w:sz="0" w:space="0" w:color="auto"/>
        <w:right w:val="none" w:sz="0" w:space="0" w:color="auto"/>
      </w:divBdr>
      <w:divsChild>
        <w:div w:id="639775234">
          <w:marLeft w:val="0"/>
          <w:marRight w:val="0"/>
          <w:marTop w:val="0"/>
          <w:marBottom w:val="0"/>
          <w:divBdr>
            <w:top w:val="none" w:sz="0" w:space="0" w:color="auto"/>
            <w:left w:val="none" w:sz="0" w:space="0" w:color="auto"/>
            <w:bottom w:val="none" w:sz="0" w:space="0" w:color="auto"/>
            <w:right w:val="none" w:sz="0" w:space="0" w:color="auto"/>
          </w:divBdr>
        </w:div>
        <w:div w:id="143474643">
          <w:marLeft w:val="0"/>
          <w:marRight w:val="0"/>
          <w:marTop w:val="0"/>
          <w:marBottom w:val="0"/>
          <w:divBdr>
            <w:top w:val="none" w:sz="0" w:space="0" w:color="auto"/>
            <w:left w:val="none" w:sz="0" w:space="0" w:color="auto"/>
            <w:bottom w:val="none" w:sz="0" w:space="0" w:color="auto"/>
            <w:right w:val="none" w:sz="0" w:space="0" w:color="auto"/>
          </w:divBdr>
        </w:div>
      </w:divsChild>
    </w:div>
    <w:div w:id="1884513842">
      <w:bodyDiv w:val="1"/>
      <w:marLeft w:val="0"/>
      <w:marRight w:val="0"/>
      <w:marTop w:val="0"/>
      <w:marBottom w:val="0"/>
      <w:divBdr>
        <w:top w:val="none" w:sz="0" w:space="0" w:color="auto"/>
        <w:left w:val="none" w:sz="0" w:space="0" w:color="auto"/>
        <w:bottom w:val="none" w:sz="0" w:space="0" w:color="auto"/>
        <w:right w:val="none" w:sz="0" w:space="0" w:color="auto"/>
      </w:divBdr>
    </w:div>
    <w:div w:id="1951089923">
      <w:bodyDiv w:val="1"/>
      <w:marLeft w:val="0"/>
      <w:marRight w:val="0"/>
      <w:marTop w:val="0"/>
      <w:marBottom w:val="0"/>
      <w:divBdr>
        <w:top w:val="none" w:sz="0" w:space="0" w:color="auto"/>
        <w:left w:val="none" w:sz="0" w:space="0" w:color="auto"/>
        <w:bottom w:val="none" w:sz="0" w:space="0" w:color="auto"/>
        <w:right w:val="none" w:sz="0" w:space="0" w:color="auto"/>
      </w:divBdr>
    </w:div>
    <w:div w:id="1953977117">
      <w:bodyDiv w:val="1"/>
      <w:marLeft w:val="0"/>
      <w:marRight w:val="0"/>
      <w:marTop w:val="0"/>
      <w:marBottom w:val="0"/>
      <w:divBdr>
        <w:top w:val="none" w:sz="0" w:space="0" w:color="auto"/>
        <w:left w:val="none" w:sz="0" w:space="0" w:color="auto"/>
        <w:bottom w:val="none" w:sz="0" w:space="0" w:color="auto"/>
        <w:right w:val="none" w:sz="0" w:space="0" w:color="auto"/>
      </w:divBdr>
    </w:div>
    <w:div w:id="2035111006">
      <w:bodyDiv w:val="1"/>
      <w:marLeft w:val="0"/>
      <w:marRight w:val="0"/>
      <w:marTop w:val="0"/>
      <w:marBottom w:val="0"/>
      <w:divBdr>
        <w:top w:val="none" w:sz="0" w:space="0" w:color="auto"/>
        <w:left w:val="none" w:sz="0" w:space="0" w:color="auto"/>
        <w:bottom w:val="none" w:sz="0" w:space="0" w:color="auto"/>
        <w:right w:val="none" w:sz="0" w:space="0" w:color="auto"/>
      </w:divBdr>
    </w:div>
    <w:div w:id="2044817922">
      <w:bodyDiv w:val="1"/>
      <w:marLeft w:val="0"/>
      <w:marRight w:val="0"/>
      <w:marTop w:val="0"/>
      <w:marBottom w:val="0"/>
      <w:divBdr>
        <w:top w:val="none" w:sz="0" w:space="0" w:color="auto"/>
        <w:left w:val="none" w:sz="0" w:space="0" w:color="auto"/>
        <w:bottom w:val="none" w:sz="0" w:space="0" w:color="auto"/>
        <w:right w:val="none" w:sz="0" w:space="0" w:color="auto"/>
      </w:divBdr>
    </w:div>
    <w:div w:id="206170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hyperlink" Target="https://www.gov.uk/government/news/local-covid-19-alert-level-update-15-october-2020"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who.int/europe/news/item/07-06-2022-cycling-and-walking-can-help-reduce-physical-inactivity-and-air-pollution--save-lives-and-mitigate-climate-change" TargetMode="External"/><Relationship Id="rId42"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hyperlink" Target="https://www.gov.uk/government/publications/active-travel-local-authority-toolkit/active-travel-local-authority-toolkit" TargetMode="External"/><Relationship Id="rId38" Type="http://schemas.openxmlformats.org/officeDocument/2006/relationships/hyperlink" Target="https://www.gov.uk/government/statistics/walking-and-cycling-statistics-england-2020/the-impact-of-the-coronavirus-pandemic-on-walking-and-cycling-statistics-england-2020" TargetMode="External"/><Relationship Id="rId2" Type="http://schemas.openxmlformats.org/officeDocument/2006/relationships/numbering" Target="numbering.xml"/><Relationship Id="rId16" Type="http://schemas.openxmlformats.org/officeDocument/2006/relationships/hyperlink" Target="https://www.gov.uk/government/statistics/walking-and-cycling-statistics-england-2021"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arup.com/perspectives/publications/research/section/cycling-for-everyone-a-guide-for-inclusive-cycling-in-cities-and-tow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cipfa.org/services/cipfastats/nearest-neighbour-model" TargetMode="External"/><Relationship Id="rId40" Type="http://schemas.openxmlformats.org/officeDocument/2006/relationships/hyperlink" Target="https://www.ons.gov.uk/employmentandlabourmarket/peopleinwork/employmentandemployeetypes/articles/homeworkingintheukregionalpatterns/2019to2022" TargetMode="External"/><Relationship Id="rId5" Type="http://schemas.openxmlformats.org/officeDocument/2006/relationships/webSettings" Target="webSettings.xml"/><Relationship Id="rId15" Type="http://schemas.openxmlformats.org/officeDocument/2006/relationships/hyperlink" Target="https://www.sportengland.org/research-and-data/data/active-live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gov.uk/government/statistics/national-travel-survey-2021/national-travel-survey-2021-mode-share-journey-lengths-and-public-transport-use"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pho.org.uk" TargetMode="External"/><Relationship Id="rId14" Type="http://schemas.openxmlformats.org/officeDocument/2006/relationships/hyperlink" Target="https://www.gov.uk/government/collections/national-travel-survey-statistic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activekent.org/support-resources/insight-2/active-lives-adults-survey/"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mailto:Joseph.Alberts@Kent.gov.uk" TargetMode="External"/><Relationship Id="rId1" Type="http://schemas.openxmlformats.org/officeDocument/2006/relationships/image" Target="media/image5.png"/><Relationship Id="rId4" Type="http://schemas.openxmlformats.org/officeDocument/2006/relationships/hyperlink" Target="mailto:Tami.Sonubi@Kent.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DDF1F3"/>
        </a:solidFill>
        <a:ln>
          <a:solidFill>
            <a:srgbClr val="2D7C82"/>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D1FDF-F065-461F-9303-A68ADB4ED7FB}">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12</TotalTime>
  <Pages>27</Pages>
  <Words>5209</Words>
  <Characters>29694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Analysis of Active Travel in Kent (2016-2021)</vt:lpstr>
    </vt:vector>
  </TitlesOfParts>
  <Company>Kent County Council</Company>
  <LinksUpToDate>false</LinksUpToDate>
  <CharactersWithSpaces>34834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Active Travel in Kent (2016-2021)</dc:title>
  <dc:creator>Joseph.Alberts@kent.gov.uk</dc:creator>
  <cp:lastModifiedBy>Mark Chambers  - CED SPRCA</cp:lastModifiedBy>
  <cp:revision>4</cp:revision>
  <cp:lastPrinted>2015-09-16T13:17:00Z</cp:lastPrinted>
  <dcterms:created xsi:type="dcterms:W3CDTF">2023-07-21T09:45:00Z</dcterms:created>
  <dcterms:modified xsi:type="dcterms:W3CDTF">2023-12-09T08:24:00Z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563c2d266bbd60355089e70fb6e7b7803954755a4c401e4178983b28926e8f3d</vt:lpwstr>
  </property>
</Properties>
</file>