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41E" w14:textId="77777777" w:rsidR="00956E1A" w:rsidRDefault="00447BE1" w:rsidP="00B85671">
      <w:r>
        <w:rPr>
          <w:noProof/>
        </w:rPr>
        <w:drawing>
          <wp:anchor distT="0" distB="0" distL="114300" distR="114300" simplePos="0" relativeHeight="251658240" behindDoc="1" locked="0" layoutInCell="1" allowOverlap="1" wp14:anchorId="4134C625" wp14:editId="0736D57A">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DFAC2" wp14:editId="24B7E9F7">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9B267E" wp14:editId="3E976A4B">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57784CB" w14:textId="77777777" w:rsidR="00956E1A" w:rsidRDefault="00956E1A" w:rsidP="00B85671"/>
    <w:p w14:paraId="652E4E0A" w14:textId="77777777" w:rsidR="00956E1A" w:rsidRDefault="00956E1A" w:rsidP="00B85671"/>
    <w:p w14:paraId="3C74BDDC" w14:textId="77777777" w:rsidR="00956E1A" w:rsidRDefault="00956E1A" w:rsidP="00B85671"/>
    <w:p w14:paraId="65A46DCC" w14:textId="77777777" w:rsidR="00956E1A" w:rsidRDefault="00956E1A" w:rsidP="00B85671"/>
    <w:p w14:paraId="701512E2" w14:textId="77777777" w:rsidR="00956E1A" w:rsidRDefault="00956E1A" w:rsidP="00B85671"/>
    <w:p w14:paraId="738257E4" w14:textId="77777777" w:rsidR="00956E1A" w:rsidRDefault="00956E1A" w:rsidP="00B85671"/>
    <w:p w14:paraId="6A72C654" w14:textId="77777777" w:rsidR="00956E1A" w:rsidRDefault="00956E1A" w:rsidP="00B85671"/>
    <w:p w14:paraId="502F7223" w14:textId="77777777" w:rsidR="00956E1A" w:rsidRDefault="00956E1A" w:rsidP="00956E1A"/>
    <w:p w14:paraId="473A7897" w14:textId="77777777" w:rsidR="00EE67B8" w:rsidRDefault="00EE67B8" w:rsidP="00EE67B8">
      <w:pPr>
        <w:spacing w:after="0"/>
        <w:jc w:val="center"/>
        <w:rPr>
          <w:b/>
          <w:color w:val="2D7C82"/>
          <w:sz w:val="48"/>
          <w:szCs w:val="48"/>
        </w:rPr>
      </w:pPr>
    </w:p>
    <w:p w14:paraId="29310476" w14:textId="77777777" w:rsidR="00692C96" w:rsidRDefault="00692C96" w:rsidP="00692C96">
      <w:pPr>
        <w:rPr>
          <w:b/>
          <w:color w:val="2D7C82"/>
          <w:sz w:val="48"/>
          <w:szCs w:val="48"/>
        </w:rPr>
      </w:pPr>
    </w:p>
    <w:p w14:paraId="5884E0E8" w14:textId="77777777"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72576" behindDoc="0" locked="0" layoutInCell="1" allowOverlap="1" wp14:anchorId="59D5951E" wp14:editId="36E556C2">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66FC9096" w14:textId="0BE58291" w:rsidR="00F50D3E" w:rsidRPr="00F50D3E" w:rsidRDefault="00F50D3E" w:rsidP="00F50D3E">
                            <w:pPr>
                              <w:jc w:val="center"/>
                              <w:rPr>
                                <w:rFonts w:asciiTheme="minorHAnsi" w:hAnsiTheme="minorHAnsi"/>
                                <w:b/>
                                <w:color w:val="2D7C82"/>
                                <w:sz w:val="48"/>
                                <w:szCs w:val="48"/>
                              </w:rPr>
                            </w:pPr>
                            <w:r w:rsidRPr="00F50D3E">
                              <w:rPr>
                                <w:rFonts w:asciiTheme="minorHAnsi" w:hAnsiTheme="minorHAnsi"/>
                                <w:b/>
                                <w:color w:val="2D7C82"/>
                                <w:sz w:val="48"/>
                                <w:szCs w:val="48"/>
                              </w:rPr>
                              <w:t>Measures of independence for stroke survivors- Evidence Summary</w:t>
                            </w:r>
                          </w:p>
                          <w:p w14:paraId="0425C6D2" w14:textId="77777777" w:rsidR="00E87DBF" w:rsidRPr="004837FE" w:rsidRDefault="00E87DBF" w:rsidP="00621356">
                            <w:pPr>
                              <w:jc w:val="center"/>
                              <w:rPr>
                                <w:rFonts w:asciiTheme="minorHAnsi" w:hAnsi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951E"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66FC9096" w14:textId="0BE58291" w:rsidR="00F50D3E" w:rsidRPr="00F50D3E" w:rsidRDefault="00F50D3E" w:rsidP="00F50D3E">
                      <w:pPr>
                        <w:jc w:val="center"/>
                        <w:rPr>
                          <w:rFonts w:asciiTheme="minorHAnsi" w:hAnsiTheme="minorHAnsi"/>
                          <w:b/>
                          <w:color w:val="2D7C82"/>
                          <w:sz w:val="48"/>
                          <w:szCs w:val="48"/>
                        </w:rPr>
                      </w:pPr>
                      <w:r w:rsidRPr="00F50D3E">
                        <w:rPr>
                          <w:rFonts w:asciiTheme="minorHAnsi" w:hAnsiTheme="minorHAnsi"/>
                          <w:b/>
                          <w:color w:val="2D7C82"/>
                          <w:sz w:val="48"/>
                          <w:szCs w:val="48"/>
                        </w:rPr>
                        <w:t>Measures of independence for stroke survivors- Evidence Summary</w:t>
                      </w:r>
                    </w:p>
                    <w:p w14:paraId="0425C6D2" w14:textId="77777777" w:rsidR="00E87DBF" w:rsidRPr="004837FE" w:rsidRDefault="00E87DBF" w:rsidP="00621356">
                      <w:pPr>
                        <w:jc w:val="center"/>
                        <w:rPr>
                          <w:rFonts w:asciiTheme="minorHAnsi" w:hAnsiTheme="minorHAnsi"/>
                        </w:rPr>
                      </w:pPr>
                    </w:p>
                  </w:txbxContent>
                </v:textbox>
              </v:shape>
            </w:pict>
          </mc:Fallback>
        </mc:AlternateContent>
      </w:r>
    </w:p>
    <w:p w14:paraId="7CB50D67" w14:textId="77777777" w:rsidR="00F2326E" w:rsidRDefault="00F2326E" w:rsidP="00956E1A">
      <w:pPr>
        <w:jc w:val="center"/>
        <w:rPr>
          <w:b/>
          <w:color w:val="2D7C82"/>
          <w:sz w:val="48"/>
          <w:szCs w:val="48"/>
        </w:rPr>
      </w:pPr>
    </w:p>
    <w:p w14:paraId="48D0228D" w14:textId="77777777" w:rsidR="005433A7" w:rsidRDefault="005433A7" w:rsidP="00956E1A">
      <w:pPr>
        <w:jc w:val="center"/>
        <w:rPr>
          <w:b/>
          <w:color w:val="2D7C82"/>
          <w:sz w:val="48"/>
          <w:szCs w:val="48"/>
        </w:rPr>
      </w:pPr>
    </w:p>
    <w:p w14:paraId="73CA580E" w14:textId="77777777" w:rsidR="005433A7" w:rsidRDefault="001A5ABE"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74624" behindDoc="0" locked="0" layoutInCell="1" allowOverlap="1" wp14:anchorId="692D1751" wp14:editId="173E1257">
                <wp:simplePos x="0" y="0"/>
                <wp:positionH relativeFrom="column">
                  <wp:posOffset>-49530</wp:posOffset>
                </wp:positionH>
                <wp:positionV relativeFrom="paragraph">
                  <wp:posOffset>259080</wp:posOffset>
                </wp:positionV>
                <wp:extent cx="6835140" cy="4953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172F35CB" w14:textId="32AFDFA7" w:rsidR="00613745" w:rsidRPr="004837FE" w:rsidRDefault="00F50D3E" w:rsidP="00613745">
                            <w:pPr>
                              <w:jc w:val="center"/>
                              <w:rPr>
                                <w:rFonts w:asciiTheme="minorHAnsi" w:hAnsiTheme="minorHAnsi"/>
                                <w:b/>
                                <w:color w:val="2D7C82"/>
                                <w:sz w:val="48"/>
                                <w:szCs w:val="48"/>
                              </w:rPr>
                            </w:pPr>
                            <w:r>
                              <w:rPr>
                                <w:rFonts w:asciiTheme="minorHAnsi" w:hAnsiTheme="minorHAnsi"/>
                                <w:b/>
                                <w:color w:val="2D7C82"/>
                                <w:sz w:val="48"/>
                                <w:szCs w:val="48"/>
                              </w:rPr>
                              <w:t>September 2020</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1751" id="_x0000_s1027" type="#_x0000_t202" alt="&quot;&quot;" style="position:absolute;left:0;text-align:left;margin-left:-3.9pt;margin-top:20.4pt;width:53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" filled="f" stroked="f">
                <v:textbox>
                  <w:txbxContent>
                    <w:p w14:paraId="172F35CB" w14:textId="32AFDFA7" w:rsidR="00613745" w:rsidRPr="004837FE" w:rsidRDefault="00F50D3E" w:rsidP="00613745">
                      <w:pPr>
                        <w:jc w:val="center"/>
                        <w:rPr>
                          <w:rFonts w:asciiTheme="minorHAnsi" w:hAnsiTheme="minorHAnsi"/>
                          <w:b/>
                          <w:color w:val="2D7C82"/>
                          <w:sz w:val="48"/>
                          <w:szCs w:val="48"/>
                        </w:rPr>
                      </w:pPr>
                      <w:r>
                        <w:rPr>
                          <w:rFonts w:asciiTheme="minorHAnsi" w:hAnsiTheme="minorHAnsi"/>
                          <w:b/>
                          <w:color w:val="2D7C82"/>
                          <w:sz w:val="48"/>
                          <w:szCs w:val="48"/>
                        </w:rPr>
                        <w:t>September 2020</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v:textbox>
              </v:shape>
            </w:pict>
          </mc:Fallback>
        </mc:AlternateContent>
      </w:r>
    </w:p>
    <w:p w14:paraId="34A11350" w14:textId="77777777" w:rsidR="005433A7" w:rsidRDefault="001A5ABE" w:rsidP="005433A7">
      <w:pPr>
        <w:jc w:val="right"/>
        <w:rPr>
          <w:b/>
          <w:color w:val="2D7C82"/>
          <w:sz w:val="26"/>
          <w:szCs w:val="26"/>
        </w:rPr>
      </w:pPr>
      <w:r>
        <w:rPr>
          <w:noProof/>
        </w:rPr>
        <w:drawing>
          <wp:anchor distT="0" distB="0" distL="114300" distR="114300" simplePos="0" relativeHeight="251670528" behindDoc="0" locked="0" layoutInCell="1" allowOverlap="1" wp14:anchorId="3459897E" wp14:editId="51D5969D">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226EB237" w14:textId="77777777" w:rsidR="00F2326E" w:rsidRDefault="00F2326E" w:rsidP="00F2326E"/>
    <w:p w14:paraId="0BB7ACC5" w14:textId="77777777" w:rsidR="00AE684F" w:rsidRDefault="00AE684F" w:rsidP="00F2326E"/>
    <w:p w14:paraId="206BAB4E" w14:textId="77777777" w:rsidR="00F2326E" w:rsidRDefault="00F2326E" w:rsidP="00F2326E"/>
    <w:p w14:paraId="5D97897B" w14:textId="77777777" w:rsidR="00CE57B9" w:rsidRDefault="00CE57B9">
      <w:r>
        <w:br w:type="page"/>
      </w:r>
    </w:p>
    <w:p w14:paraId="19820BBA" w14:textId="77777777" w:rsidR="00B51B2D" w:rsidRDefault="00B51B2D" w:rsidP="00B51B2D">
      <w:pPr>
        <w:spacing w:after="0"/>
        <w:sectPr w:rsidR="00B51B2D" w:rsidSect="00AC195E">
          <w:footerReference w:type="default" r:id="rId13"/>
          <w:pgSz w:w="11906" w:h="16838"/>
          <w:pgMar w:top="1440" w:right="567" w:bottom="1440" w:left="709" w:header="709" w:footer="709" w:gutter="0"/>
          <w:cols w:space="708"/>
          <w:docGrid w:linePitch="360"/>
        </w:sectPr>
      </w:pPr>
    </w:p>
    <w:p w14:paraId="2D08A275" w14:textId="77777777" w:rsidR="00956E1A" w:rsidRPr="004837FE" w:rsidRDefault="00956E1A" w:rsidP="00B85671">
      <w:pPr>
        <w:rPr>
          <w:rFonts w:asciiTheme="minorHAnsi" w:hAnsiTheme="minorHAnsi"/>
        </w:rPr>
      </w:pPr>
    </w:p>
    <w:sdt>
      <w:sdtPr>
        <w:rPr>
          <w:rFonts w:ascii="Arial" w:eastAsiaTheme="minorEastAsia" w:hAnsi="Arial" w:cs="Arial"/>
          <w:b w:val="0"/>
          <w:bCs w:val="0"/>
          <w:color w:val="auto"/>
          <w:sz w:val="24"/>
          <w:szCs w:val="24"/>
          <w:lang w:val="en-GB" w:eastAsia="en-GB"/>
        </w:rPr>
        <w:id w:val="1830247414"/>
        <w:docPartObj>
          <w:docPartGallery w:val="Table of Contents"/>
          <w:docPartUnique/>
        </w:docPartObj>
      </w:sdtPr>
      <w:sdtEndPr>
        <w:rPr>
          <w:noProof/>
        </w:rPr>
      </w:sdtEndPr>
      <w:sdtContent>
        <w:p w14:paraId="65B31761" w14:textId="6E39265B" w:rsidR="00876EB9" w:rsidRDefault="00876EB9">
          <w:pPr>
            <w:pStyle w:val="TOCHeading"/>
          </w:pPr>
          <w:r>
            <w:t>Contents</w:t>
          </w:r>
        </w:p>
        <w:p w14:paraId="24CDB87D" w14:textId="7AABE434" w:rsidR="00D41535" w:rsidRDefault="00876EB9">
          <w:pPr>
            <w:pStyle w:val="TOC1"/>
            <w:tabs>
              <w:tab w:val="left" w:pos="660"/>
              <w:tab w:val="right" w:leader="dot" w:pos="9016"/>
            </w:tabs>
            <w:rPr>
              <w:rFonts w:cstheme="minorBidi"/>
              <w:b w:val="0"/>
              <w:noProof/>
              <w:sz w:val="22"/>
              <w:szCs w:val="22"/>
            </w:rPr>
          </w:pPr>
          <w:r>
            <w:fldChar w:fldCharType="begin"/>
          </w:r>
          <w:r>
            <w:instrText xml:space="preserve"> TOC \o "1-3" \h \z \u </w:instrText>
          </w:r>
          <w:r>
            <w:fldChar w:fldCharType="separate"/>
          </w:r>
          <w:hyperlink w:anchor="_Toc79572238" w:history="1">
            <w:r w:rsidR="00D41535" w:rsidRPr="00C663CC">
              <w:rPr>
                <w:rStyle w:val="Hyperlink"/>
                <w:noProof/>
              </w:rPr>
              <w:t>1.</w:t>
            </w:r>
            <w:r w:rsidR="00D41535">
              <w:rPr>
                <w:rFonts w:cstheme="minorBidi"/>
                <w:b w:val="0"/>
                <w:noProof/>
                <w:sz w:val="22"/>
                <w:szCs w:val="22"/>
              </w:rPr>
              <w:tab/>
            </w:r>
            <w:r w:rsidR="00D41535" w:rsidRPr="00C663CC">
              <w:rPr>
                <w:rStyle w:val="Hyperlink"/>
                <w:noProof/>
              </w:rPr>
              <w:t>Introduction</w:t>
            </w:r>
            <w:r w:rsidR="00D41535">
              <w:rPr>
                <w:noProof/>
                <w:webHidden/>
              </w:rPr>
              <w:tab/>
            </w:r>
            <w:r w:rsidR="00D41535">
              <w:rPr>
                <w:noProof/>
                <w:webHidden/>
              </w:rPr>
              <w:fldChar w:fldCharType="begin"/>
            </w:r>
            <w:r w:rsidR="00D41535">
              <w:rPr>
                <w:noProof/>
                <w:webHidden/>
              </w:rPr>
              <w:instrText xml:space="preserve"> PAGEREF _Toc79572238 \h </w:instrText>
            </w:r>
            <w:r w:rsidR="00D41535">
              <w:rPr>
                <w:noProof/>
                <w:webHidden/>
              </w:rPr>
            </w:r>
            <w:r w:rsidR="00D41535">
              <w:rPr>
                <w:noProof/>
                <w:webHidden/>
              </w:rPr>
              <w:fldChar w:fldCharType="separate"/>
            </w:r>
            <w:r w:rsidR="00D41535">
              <w:rPr>
                <w:noProof/>
                <w:webHidden/>
              </w:rPr>
              <w:t>2</w:t>
            </w:r>
            <w:r w:rsidR="00D41535">
              <w:rPr>
                <w:noProof/>
                <w:webHidden/>
              </w:rPr>
              <w:fldChar w:fldCharType="end"/>
            </w:r>
          </w:hyperlink>
        </w:p>
        <w:p w14:paraId="032B5F51" w14:textId="0112CC57" w:rsidR="00D41535" w:rsidRDefault="00233A98">
          <w:pPr>
            <w:pStyle w:val="TOC2"/>
            <w:tabs>
              <w:tab w:val="left" w:pos="880"/>
              <w:tab w:val="right" w:leader="dot" w:pos="9016"/>
            </w:tabs>
            <w:rPr>
              <w:rFonts w:cstheme="minorBidi"/>
              <w:noProof/>
              <w:sz w:val="22"/>
              <w:szCs w:val="22"/>
            </w:rPr>
          </w:pPr>
          <w:hyperlink w:anchor="_Toc79572239" w:history="1">
            <w:r w:rsidR="00D41535" w:rsidRPr="00C663CC">
              <w:rPr>
                <w:rStyle w:val="Hyperlink"/>
                <w:noProof/>
              </w:rPr>
              <w:t>1.1</w:t>
            </w:r>
            <w:r w:rsidR="00D41535">
              <w:rPr>
                <w:rFonts w:cstheme="minorBidi"/>
                <w:noProof/>
                <w:sz w:val="22"/>
                <w:szCs w:val="22"/>
              </w:rPr>
              <w:tab/>
            </w:r>
            <w:r w:rsidR="00D41535" w:rsidRPr="00C663CC">
              <w:rPr>
                <w:rStyle w:val="Hyperlink"/>
                <w:noProof/>
              </w:rPr>
              <w:t>Description of search:</w:t>
            </w:r>
            <w:r w:rsidR="00D41535">
              <w:rPr>
                <w:noProof/>
                <w:webHidden/>
              </w:rPr>
              <w:tab/>
            </w:r>
            <w:r w:rsidR="00D41535">
              <w:rPr>
                <w:noProof/>
                <w:webHidden/>
              </w:rPr>
              <w:fldChar w:fldCharType="begin"/>
            </w:r>
            <w:r w:rsidR="00D41535">
              <w:rPr>
                <w:noProof/>
                <w:webHidden/>
              </w:rPr>
              <w:instrText xml:space="preserve"> PAGEREF _Toc79572239 \h </w:instrText>
            </w:r>
            <w:r w:rsidR="00D41535">
              <w:rPr>
                <w:noProof/>
                <w:webHidden/>
              </w:rPr>
            </w:r>
            <w:r w:rsidR="00D41535">
              <w:rPr>
                <w:noProof/>
                <w:webHidden/>
              </w:rPr>
              <w:fldChar w:fldCharType="separate"/>
            </w:r>
            <w:r w:rsidR="00D41535">
              <w:rPr>
                <w:noProof/>
                <w:webHidden/>
              </w:rPr>
              <w:t>2</w:t>
            </w:r>
            <w:r w:rsidR="00D41535">
              <w:rPr>
                <w:noProof/>
                <w:webHidden/>
              </w:rPr>
              <w:fldChar w:fldCharType="end"/>
            </w:r>
          </w:hyperlink>
        </w:p>
        <w:p w14:paraId="31F459FA" w14:textId="1578CBF7" w:rsidR="00D41535" w:rsidRDefault="00233A98">
          <w:pPr>
            <w:pStyle w:val="TOC2"/>
            <w:tabs>
              <w:tab w:val="left" w:pos="880"/>
              <w:tab w:val="right" w:leader="dot" w:pos="9016"/>
            </w:tabs>
            <w:rPr>
              <w:rFonts w:cstheme="minorBidi"/>
              <w:noProof/>
              <w:sz w:val="22"/>
              <w:szCs w:val="22"/>
            </w:rPr>
          </w:pPr>
          <w:hyperlink w:anchor="_Toc79572240" w:history="1">
            <w:r w:rsidR="00D41535" w:rsidRPr="00C663CC">
              <w:rPr>
                <w:rStyle w:val="Hyperlink"/>
                <w:noProof/>
              </w:rPr>
              <w:t>1.2</w:t>
            </w:r>
            <w:r w:rsidR="00D41535">
              <w:rPr>
                <w:rFonts w:cstheme="minorBidi"/>
                <w:noProof/>
                <w:sz w:val="22"/>
                <w:szCs w:val="22"/>
              </w:rPr>
              <w:tab/>
            </w:r>
            <w:r w:rsidR="00D41535" w:rsidRPr="00C663CC">
              <w:rPr>
                <w:rStyle w:val="Hyperlink"/>
                <w:noProof/>
              </w:rPr>
              <w:t>Databases searched:</w:t>
            </w:r>
            <w:r w:rsidR="00D41535">
              <w:rPr>
                <w:noProof/>
                <w:webHidden/>
              </w:rPr>
              <w:tab/>
            </w:r>
            <w:r w:rsidR="00D41535">
              <w:rPr>
                <w:noProof/>
                <w:webHidden/>
              </w:rPr>
              <w:fldChar w:fldCharType="begin"/>
            </w:r>
            <w:r w:rsidR="00D41535">
              <w:rPr>
                <w:noProof/>
                <w:webHidden/>
              </w:rPr>
              <w:instrText xml:space="preserve"> PAGEREF _Toc79572240 \h </w:instrText>
            </w:r>
            <w:r w:rsidR="00D41535">
              <w:rPr>
                <w:noProof/>
                <w:webHidden/>
              </w:rPr>
            </w:r>
            <w:r w:rsidR="00D41535">
              <w:rPr>
                <w:noProof/>
                <w:webHidden/>
              </w:rPr>
              <w:fldChar w:fldCharType="separate"/>
            </w:r>
            <w:r w:rsidR="00D41535">
              <w:rPr>
                <w:noProof/>
                <w:webHidden/>
              </w:rPr>
              <w:t>2</w:t>
            </w:r>
            <w:r w:rsidR="00D41535">
              <w:rPr>
                <w:noProof/>
                <w:webHidden/>
              </w:rPr>
              <w:fldChar w:fldCharType="end"/>
            </w:r>
          </w:hyperlink>
        </w:p>
        <w:p w14:paraId="062CA477" w14:textId="782C8071" w:rsidR="00D41535" w:rsidRDefault="00233A98">
          <w:pPr>
            <w:pStyle w:val="TOC2"/>
            <w:tabs>
              <w:tab w:val="left" w:pos="880"/>
              <w:tab w:val="right" w:leader="dot" w:pos="9016"/>
            </w:tabs>
            <w:rPr>
              <w:rFonts w:cstheme="minorBidi"/>
              <w:noProof/>
              <w:sz w:val="22"/>
              <w:szCs w:val="22"/>
            </w:rPr>
          </w:pPr>
          <w:hyperlink w:anchor="_Toc79572241" w:history="1">
            <w:r w:rsidR="00D41535" w:rsidRPr="00C663CC">
              <w:rPr>
                <w:rStyle w:val="Hyperlink"/>
                <w:noProof/>
              </w:rPr>
              <w:t>1.3</w:t>
            </w:r>
            <w:r w:rsidR="00D41535">
              <w:rPr>
                <w:rFonts w:cstheme="minorBidi"/>
                <w:noProof/>
                <w:sz w:val="22"/>
                <w:szCs w:val="22"/>
              </w:rPr>
              <w:tab/>
            </w:r>
            <w:r w:rsidR="00D41535" w:rsidRPr="00C663CC">
              <w:rPr>
                <w:rStyle w:val="Hyperlink"/>
                <w:noProof/>
              </w:rPr>
              <w:t>Key terms:</w:t>
            </w:r>
            <w:r w:rsidR="00D41535">
              <w:rPr>
                <w:noProof/>
                <w:webHidden/>
              </w:rPr>
              <w:tab/>
            </w:r>
            <w:r w:rsidR="00D41535">
              <w:rPr>
                <w:noProof/>
                <w:webHidden/>
              </w:rPr>
              <w:fldChar w:fldCharType="begin"/>
            </w:r>
            <w:r w:rsidR="00D41535">
              <w:rPr>
                <w:noProof/>
                <w:webHidden/>
              </w:rPr>
              <w:instrText xml:space="preserve"> PAGEREF _Toc79572241 \h </w:instrText>
            </w:r>
            <w:r w:rsidR="00D41535">
              <w:rPr>
                <w:noProof/>
                <w:webHidden/>
              </w:rPr>
            </w:r>
            <w:r w:rsidR="00D41535">
              <w:rPr>
                <w:noProof/>
                <w:webHidden/>
              </w:rPr>
              <w:fldChar w:fldCharType="separate"/>
            </w:r>
            <w:r w:rsidR="00D41535">
              <w:rPr>
                <w:noProof/>
                <w:webHidden/>
              </w:rPr>
              <w:t>2</w:t>
            </w:r>
            <w:r w:rsidR="00D41535">
              <w:rPr>
                <w:noProof/>
                <w:webHidden/>
              </w:rPr>
              <w:fldChar w:fldCharType="end"/>
            </w:r>
          </w:hyperlink>
        </w:p>
        <w:p w14:paraId="79AE2F23" w14:textId="237756DD" w:rsidR="00D41535" w:rsidRDefault="00233A98">
          <w:pPr>
            <w:pStyle w:val="TOC1"/>
            <w:tabs>
              <w:tab w:val="left" w:pos="660"/>
              <w:tab w:val="right" w:leader="dot" w:pos="9016"/>
            </w:tabs>
            <w:rPr>
              <w:rFonts w:cstheme="minorBidi"/>
              <w:b w:val="0"/>
              <w:noProof/>
              <w:sz w:val="22"/>
              <w:szCs w:val="22"/>
            </w:rPr>
          </w:pPr>
          <w:hyperlink w:anchor="_Toc79572242" w:history="1">
            <w:r w:rsidR="00D41535" w:rsidRPr="00C663CC">
              <w:rPr>
                <w:rStyle w:val="Hyperlink"/>
                <w:noProof/>
              </w:rPr>
              <w:t>2.</w:t>
            </w:r>
            <w:r w:rsidR="00D41535">
              <w:rPr>
                <w:rFonts w:cstheme="minorBidi"/>
                <w:b w:val="0"/>
                <w:noProof/>
                <w:sz w:val="22"/>
                <w:szCs w:val="22"/>
              </w:rPr>
              <w:tab/>
            </w:r>
            <w:r w:rsidR="00D41535" w:rsidRPr="00C663CC">
              <w:rPr>
                <w:rStyle w:val="Hyperlink"/>
                <w:noProof/>
              </w:rPr>
              <w:t>Evidence Summary</w:t>
            </w:r>
            <w:r w:rsidR="00D41535">
              <w:rPr>
                <w:noProof/>
                <w:webHidden/>
              </w:rPr>
              <w:tab/>
            </w:r>
            <w:r w:rsidR="00D41535">
              <w:rPr>
                <w:noProof/>
                <w:webHidden/>
              </w:rPr>
              <w:fldChar w:fldCharType="begin"/>
            </w:r>
            <w:r w:rsidR="00D41535">
              <w:rPr>
                <w:noProof/>
                <w:webHidden/>
              </w:rPr>
              <w:instrText xml:space="preserve"> PAGEREF _Toc79572242 \h </w:instrText>
            </w:r>
            <w:r w:rsidR="00D41535">
              <w:rPr>
                <w:noProof/>
                <w:webHidden/>
              </w:rPr>
            </w:r>
            <w:r w:rsidR="00D41535">
              <w:rPr>
                <w:noProof/>
                <w:webHidden/>
              </w:rPr>
              <w:fldChar w:fldCharType="separate"/>
            </w:r>
            <w:r w:rsidR="00D41535">
              <w:rPr>
                <w:noProof/>
                <w:webHidden/>
              </w:rPr>
              <w:t>3</w:t>
            </w:r>
            <w:r w:rsidR="00D41535">
              <w:rPr>
                <w:noProof/>
                <w:webHidden/>
              </w:rPr>
              <w:fldChar w:fldCharType="end"/>
            </w:r>
          </w:hyperlink>
        </w:p>
        <w:p w14:paraId="2A533D9D" w14:textId="013CC142" w:rsidR="00D41535" w:rsidRDefault="00233A98">
          <w:pPr>
            <w:pStyle w:val="TOC2"/>
            <w:tabs>
              <w:tab w:val="right" w:leader="dot" w:pos="9016"/>
            </w:tabs>
            <w:rPr>
              <w:rFonts w:cstheme="minorBidi"/>
              <w:noProof/>
              <w:sz w:val="22"/>
              <w:szCs w:val="22"/>
            </w:rPr>
          </w:pPr>
          <w:hyperlink w:anchor="_Toc79572243" w:history="1">
            <w:r w:rsidR="00D41535" w:rsidRPr="00C663CC">
              <w:rPr>
                <w:rStyle w:val="Hyperlink"/>
                <w:noProof/>
              </w:rPr>
              <w:t>2.1 Current frameworks for measures of independence</w:t>
            </w:r>
            <w:r w:rsidR="00D41535">
              <w:rPr>
                <w:noProof/>
                <w:webHidden/>
              </w:rPr>
              <w:tab/>
            </w:r>
            <w:r w:rsidR="00D41535">
              <w:rPr>
                <w:noProof/>
                <w:webHidden/>
              </w:rPr>
              <w:fldChar w:fldCharType="begin"/>
            </w:r>
            <w:r w:rsidR="00D41535">
              <w:rPr>
                <w:noProof/>
                <w:webHidden/>
              </w:rPr>
              <w:instrText xml:space="preserve"> PAGEREF _Toc79572243 \h </w:instrText>
            </w:r>
            <w:r w:rsidR="00D41535">
              <w:rPr>
                <w:noProof/>
                <w:webHidden/>
              </w:rPr>
            </w:r>
            <w:r w:rsidR="00D41535">
              <w:rPr>
                <w:noProof/>
                <w:webHidden/>
              </w:rPr>
              <w:fldChar w:fldCharType="separate"/>
            </w:r>
            <w:r w:rsidR="00D41535">
              <w:rPr>
                <w:noProof/>
                <w:webHidden/>
              </w:rPr>
              <w:t>3</w:t>
            </w:r>
            <w:r w:rsidR="00D41535">
              <w:rPr>
                <w:noProof/>
                <w:webHidden/>
              </w:rPr>
              <w:fldChar w:fldCharType="end"/>
            </w:r>
          </w:hyperlink>
        </w:p>
        <w:p w14:paraId="566F7917" w14:textId="5BE31FE2" w:rsidR="00D41535" w:rsidRDefault="00233A98">
          <w:pPr>
            <w:pStyle w:val="TOC3"/>
            <w:tabs>
              <w:tab w:val="right" w:leader="dot" w:pos="9016"/>
            </w:tabs>
            <w:rPr>
              <w:noProof/>
              <w:lang w:val="en-GB" w:eastAsia="en-GB"/>
            </w:rPr>
          </w:pPr>
          <w:hyperlink w:anchor="_Toc79572244" w:history="1">
            <w:r w:rsidR="00D41535" w:rsidRPr="00C663CC">
              <w:rPr>
                <w:rStyle w:val="Hyperlink"/>
                <w:noProof/>
              </w:rPr>
              <w:t>2.1.1 Barthel</w:t>
            </w:r>
            <w:r w:rsidR="00D41535">
              <w:rPr>
                <w:noProof/>
                <w:webHidden/>
              </w:rPr>
              <w:tab/>
            </w:r>
            <w:r w:rsidR="00D41535">
              <w:rPr>
                <w:noProof/>
                <w:webHidden/>
              </w:rPr>
              <w:fldChar w:fldCharType="begin"/>
            </w:r>
            <w:r w:rsidR="00D41535">
              <w:rPr>
                <w:noProof/>
                <w:webHidden/>
              </w:rPr>
              <w:instrText xml:space="preserve"> PAGEREF _Toc79572244 \h </w:instrText>
            </w:r>
            <w:r w:rsidR="00D41535">
              <w:rPr>
                <w:noProof/>
                <w:webHidden/>
              </w:rPr>
            </w:r>
            <w:r w:rsidR="00D41535">
              <w:rPr>
                <w:noProof/>
                <w:webHidden/>
              </w:rPr>
              <w:fldChar w:fldCharType="separate"/>
            </w:r>
            <w:r w:rsidR="00D41535">
              <w:rPr>
                <w:noProof/>
                <w:webHidden/>
              </w:rPr>
              <w:t>4</w:t>
            </w:r>
            <w:r w:rsidR="00D41535">
              <w:rPr>
                <w:noProof/>
                <w:webHidden/>
              </w:rPr>
              <w:fldChar w:fldCharType="end"/>
            </w:r>
          </w:hyperlink>
        </w:p>
        <w:p w14:paraId="0D854505" w14:textId="78404DD2" w:rsidR="00D41535" w:rsidRDefault="00233A98">
          <w:pPr>
            <w:pStyle w:val="TOC3"/>
            <w:tabs>
              <w:tab w:val="right" w:leader="dot" w:pos="9016"/>
            </w:tabs>
            <w:rPr>
              <w:noProof/>
              <w:lang w:val="en-GB" w:eastAsia="en-GB"/>
            </w:rPr>
          </w:pPr>
          <w:hyperlink w:anchor="_Toc79572245" w:history="1">
            <w:r w:rsidR="00D41535" w:rsidRPr="00C663CC">
              <w:rPr>
                <w:rStyle w:val="Hyperlink"/>
                <w:noProof/>
              </w:rPr>
              <w:t>2.1.2 Rivermead Mobility Index</w:t>
            </w:r>
            <w:r w:rsidR="00D41535">
              <w:rPr>
                <w:noProof/>
                <w:webHidden/>
              </w:rPr>
              <w:tab/>
            </w:r>
            <w:r w:rsidR="00D41535">
              <w:rPr>
                <w:noProof/>
                <w:webHidden/>
              </w:rPr>
              <w:fldChar w:fldCharType="begin"/>
            </w:r>
            <w:r w:rsidR="00D41535">
              <w:rPr>
                <w:noProof/>
                <w:webHidden/>
              </w:rPr>
              <w:instrText xml:space="preserve"> PAGEREF _Toc79572245 \h </w:instrText>
            </w:r>
            <w:r w:rsidR="00D41535">
              <w:rPr>
                <w:noProof/>
                <w:webHidden/>
              </w:rPr>
            </w:r>
            <w:r w:rsidR="00D41535">
              <w:rPr>
                <w:noProof/>
                <w:webHidden/>
              </w:rPr>
              <w:fldChar w:fldCharType="separate"/>
            </w:r>
            <w:r w:rsidR="00D41535">
              <w:rPr>
                <w:noProof/>
                <w:webHidden/>
              </w:rPr>
              <w:t>4</w:t>
            </w:r>
            <w:r w:rsidR="00D41535">
              <w:rPr>
                <w:noProof/>
                <w:webHidden/>
              </w:rPr>
              <w:fldChar w:fldCharType="end"/>
            </w:r>
          </w:hyperlink>
        </w:p>
        <w:p w14:paraId="4CB5863D" w14:textId="442C454D" w:rsidR="00D41535" w:rsidRDefault="00233A98">
          <w:pPr>
            <w:pStyle w:val="TOC1"/>
            <w:tabs>
              <w:tab w:val="right" w:leader="dot" w:pos="9016"/>
            </w:tabs>
            <w:rPr>
              <w:rFonts w:cstheme="minorBidi"/>
              <w:b w:val="0"/>
              <w:noProof/>
              <w:sz w:val="22"/>
              <w:szCs w:val="22"/>
            </w:rPr>
          </w:pPr>
          <w:hyperlink w:anchor="_Toc79572246" w:history="1">
            <w:r w:rsidR="00D41535" w:rsidRPr="00C663CC">
              <w:rPr>
                <w:rStyle w:val="Hyperlink"/>
                <w:noProof/>
              </w:rPr>
              <w:t>3.0 Identified agreed and achievable goals</w:t>
            </w:r>
            <w:r w:rsidR="00D41535">
              <w:rPr>
                <w:noProof/>
                <w:webHidden/>
              </w:rPr>
              <w:tab/>
            </w:r>
            <w:r w:rsidR="00D41535">
              <w:rPr>
                <w:noProof/>
                <w:webHidden/>
              </w:rPr>
              <w:fldChar w:fldCharType="begin"/>
            </w:r>
            <w:r w:rsidR="00D41535">
              <w:rPr>
                <w:noProof/>
                <w:webHidden/>
              </w:rPr>
              <w:instrText xml:space="preserve"> PAGEREF _Toc79572246 \h </w:instrText>
            </w:r>
            <w:r w:rsidR="00D41535">
              <w:rPr>
                <w:noProof/>
                <w:webHidden/>
              </w:rPr>
            </w:r>
            <w:r w:rsidR="00D41535">
              <w:rPr>
                <w:noProof/>
                <w:webHidden/>
              </w:rPr>
              <w:fldChar w:fldCharType="separate"/>
            </w:r>
            <w:r w:rsidR="00D41535">
              <w:rPr>
                <w:noProof/>
                <w:webHidden/>
              </w:rPr>
              <w:t>4</w:t>
            </w:r>
            <w:r w:rsidR="00D41535">
              <w:rPr>
                <w:noProof/>
                <w:webHidden/>
              </w:rPr>
              <w:fldChar w:fldCharType="end"/>
            </w:r>
          </w:hyperlink>
        </w:p>
        <w:p w14:paraId="6AEBBF8E" w14:textId="64FCE728" w:rsidR="00D41535" w:rsidRDefault="00233A98">
          <w:pPr>
            <w:pStyle w:val="TOC1"/>
            <w:tabs>
              <w:tab w:val="right" w:leader="dot" w:pos="9016"/>
            </w:tabs>
            <w:rPr>
              <w:rFonts w:cstheme="minorBidi"/>
              <w:b w:val="0"/>
              <w:noProof/>
              <w:sz w:val="22"/>
              <w:szCs w:val="22"/>
            </w:rPr>
          </w:pPr>
          <w:hyperlink w:anchor="_Toc79572247" w:history="1">
            <w:r w:rsidR="00D41535" w:rsidRPr="00C663CC">
              <w:rPr>
                <w:rStyle w:val="Hyperlink"/>
                <w:noProof/>
              </w:rPr>
              <w:t>4.0 Mental Health</w:t>
            </w:r>
            <w:r w:rsidR="00D41535">
              <w:rPr>
                <w:noProof/>
                <w:webHidden/>
              </w:rPr>
              <w:tab/>
            </w:r>
            <w:r w:rsidR="00D41535">
              <w:rPr>
                <w:noProof/>
                <w:webHidden/>
              </w:rPr>
              <w:fldChar w:fldCharType="begin"/>
            </w:r>
            <w:r w:rsidR="00D41535">
              <w:rPr>
                <w:noProof/>
                <w:webHidden/>
              </w:rPr>
              <w:instrText xml:space="preserve"> PAGEREF _Toc79572247 \h </w:instrText>
            </w:r>
            <w:r w:rsidR="00D41535">
              <w:rPr>
                <w:noProof/>
                <w:webHidden/>
              </w:rPr>
            </w:r>
            <w:r w:rsidR="00D41535">
              <w:rPr>
                <w:noProof/>
                <w:webHidden/>
              </w:rPr>
              <w:fldChar w:fldCharType="separate"/>
            </w:r>
            <w:r w:rsidR="00D41535">
              <w:rPr>
                <w:noProof/>
                <w:webHidden/>
              </w:rPr>
              <w:t>5</w:t>
            </w:r>
            <w:r w:rsidR="00D41535">
              <w:rPr>
                <w:noProof/>
                <w:webHidden/>
              </w:rPr>
              <w:fldChar w:fldCharType="end"/>
            </w:r>
          </w:hyperlink>
        </w:p>
        <w:p w14:paraId="2294D994" w14:textId="71208BEA" w:rsidR="00876EB9" w:rsidRDefault="00876EB9">
          <w:r>
            <w:rPr>
              <w:b/>
              <w:bCs/>
              <w:noProof/>
            </w:rPr>
            <w:fldChar w:fldCharType="end"/>
          </w:r>
        </w:p>
      </w:sdtContent>
    </w:sdt>
    <w:p w14:paraId="4E2230B5" w14:textId="01BC6DE9" w:rsidR="00AC195E" w:rsidRPr="004837FE" w:rsidRDefault="00F2326E" w:rsidP="00AC195E">
      <w:pPr>
        <w:rPr>
          <w:rFonts w:asciiTheme="minorHAnsi" w:hAnsiTheme="minorHAnsi"/>
          <w:b/>
          <w:vanish/>
          <w:sz w:val="36"/>
          <w:szCs w:val="36"/>
          <w:specVanish/>
        </w:rPr>
      </w:pPr>
      <w:r w:rsidRPr="004837FE">
        <w:rPr>
          <w:rFonts w:asciiTheme="minorHAnsi" w:hAnsiTheme="minorHAnsi"/>
          <w:color w:val="2D7C82"/>
          <w:sz w:val="48"/>
          <w:szCs w:val="48"/>
        </w:rPr>
        <w:br w:type="page"/>
      </w:r>
      <w:r w:rsidR="00AC195E" w:rsidRPr="004837FE">
        <w:rPr>
          <w:rFonts w:asciiTheme="minorHAnsi" w:hAnsiTheme="minorHAnsi"/>
          <w:b/>
          <w:color w:val="2D7C82"/>
          <w:sz w:val="36"/>
          <w:szCs w:val="36"/>
        </w:rPr>
        <w:lastRenderedPageBreak/>
        <w:t>|</w:t>
      </w:r>
      <w:r w:rsidR="00AC195E" w:rsidRPr="004837FE">
        <w:rPr>
          <w:rFonts w:asciiTheme="minorHAnsi" w:hAnsiTheme="minorHAnsi"/>
          <w:b/>
          <w:sz w:val="36"/>
          <w:szCs w:val="36"/>
        </w:rPr>
        <w:t xml:space="preserve"> </w:t>
      </w:r>
    </w:p>
    <w:p w14:paraId="10B361F4" w14:textId="0554F2B6" w:rsidR="00AC195E" w:rsidRPr="004837FE" w:rsidRDefault="00AC195E" w:rsidP="00AC195E">
      <w:pPr>
        <w:pStyle w:val="Heading1"/>
        <w:rPr>
          <w:rFonts w:asciiTheme="minorHAnsi" w:hAnsiTheme="minorHAnsi"/>
        </w:rPr>
      </w:pPr>
      <w:r w:rsidRPr="004837FE">
        <w:rPr>
          <w:rFonts w:asciiTheme="minorHAnsi" w:hAnsiTheme="minorHAnsi"/>
        </w:rPr>
        <w:t xml:space="preserve"> </w:t>
      </w:r>
      <w:bookmarkStart w:id="0" w:name="_Toc430679084"/>
      <w:bookmarkStart w:id="1" w:name="_Toc79572238"/>
      <w:r w:rsidRPr="004837FE">
        <w:rPr>
          <w:rFonts w:asciiTheme="minorHAnsi" w:hAnsiTheme="minorHAnsi"/>
        </w:rPr>
        <w:t>1.</w:t>
      </w:r>
      <w:r w:rsidRPr="004837FE">
        <w:rPr>
          <w:rFonts w:asciiTheme="minorHAnsi" w:hAnsiTheme="minorHAnsi"/>
        </w:rPr>
        <w:tab/>
      </w:r>
      <w:bookmarkEnd w:id="0"/>
      <w:r w:rsidR="00B26830">
        <w:rPr>
          <w:rFonts w:asciiTheme="minorHAnsi" w:hAnsiTheme="minorHAnsi"/>
        </w:rPr>
        <w:t>Introduction</w:t>
      </w:r>
      <w:bookmarkEnd w:id="1"/>
    </w:p>
    <w:p w14:paraId="4CC18B15" w14:textId="7921BDDF" w:rsidR="00AC195E" w:rsidRPr="004837FE" w:rsidRDefault="00AC195E" w:rsidP="006A60B6">
      <w:pPr>
        <w:pStyle w:val="Heading2"/>
        <w:rPr>
          <w:rFonts w:asciiTheme="minorHAnsi" w:hAnsiTheme="minorHAnsi"/>
        </w:rPr>
      </w:pPr>
      <w:bookmarkStart w:id="2" w:name="_Toc430679085"/>
      <w:bookmarkStart w:id="3" w:name="_Toc79572239"/>
      <w:r w:rsidRPr="004837FE">
        <w:rPr>
          <w:rFonts w:asciiTheme="minorHAnsi" w:hAnsiTheme="minorHAnsi"/>
        </w:rPr>
        <w:t>1.1</w:t>
      </w:r>
      <w:r w:rsidRPr="004837FE">
        <w:rPr>
          <w:rFonts w:asciiTheme="minorHAnsi" w:hAnsiTheme="minorHAnsi"/>
        </w:rPr>
        <w:tab/>
      </w:r>
      <w:bookmarkEnd w:id="2"/>
      <w:r w:rsidR="00403E2E" w:rsidRPr="00403E2E">
        <w:rPr>
          <w:rFonts w:asciiTheme="minorHAnsi" w:hAnsiTheme="minorHAnsi"/>
        </w:rPr>
        <w:t>Description of search:</w:t>
      </w:r>
      <w:bookmarkEnd w:id="3"/>
      <w:r w:rsidR="00403E2E" w:rsidRPr="00403E2E">
        <w:rPr>
          <w:rFonts w:asciiTheme="minorHAnsi" w:hAnsiTheme="minorHAnsi"/>
        </w:rPr>
        <w:t xml:space="preserve"> </w:t>
      </w:r>
      <w:r w:rsidR="00B26830">
        <w:rPr>
          <w:rFonts w:asciiTheme="minorHAnsi" w:hAnsiTheme="minorHAnsi"/>
        </w:rPr>
        <w:t xml:space="preserve"> </w:t>
      </w:r>
    </w:p>
    <w:p w14:paraId="0EE8A7A3" w14:textId="317FCB69" w:rsidR="000933D7" w:rsidRPr="000933D7" w:rsidRDefault="000933D7" w:rsidP="000933D7">
      <w:pPr>
        <w:rPr>
          <w:rFonts w:ascii="Calibri" w:eastAsia="Calibri" w:hAnsi="Calibri" w:cs="Times New Roman"/>
          <w:lang w:eastAsia="en-US"/>
        </w:rPr>
      </w:pPr>
      <w:bookmarkStart w:id="4" w:name="_Toc430679086"/>
      <w:r w:rsidRPr="000933D7">
        <w:rPr>
          <w:rFonts w:asciiTheme="minorHAnsi" w:hAnsiTheme="minorHAnsi"/>
        </w:rPr>
        <w:t xml:space="preserve">The purpose of this review is </w:t>
      </w:r>
      <w:r>
        <w:rPr>
          <w:rFonts w:ascii="Calibri" w:eastAsia="Calibri" w:hAnsi="Calibri" w:cs="Times New Roman"/>
          <w:color w:val="212121"/>
          <w:shd w:val="clear" w:color="auto" w:fill="FFFFFF"/>
          <w:lang w:eastAsia="en-US"/>
        </w:rPr>
        <w:t>t</w:t>
      </w:r>
      <w:r w:rsidRPr="000933D7">
        <w:rPr>
          <w:rFonts w:ascii="Calibri" w:eastAsia="Calibri" w:hAnsi="Calibri" w:cs="Times New Roman"/>
          <w:color w:val="212121"/>
          <w:shd w:val="clear" w:color="auto" w:fill="FFFFFF"/>
          <w:lang w:eastAsia="en-US"/>
        </w:rPr>
        <w:t xml:space="preserve">o identify the best outcome measurement for independence/functional status for </w:t>
      </w:r>
      <w:r>
        <w:rPr>
          <w:rFonts w:ascii="Calibri" w:eastAsia="Calibri" w:hAnsi="Calibri" w:cs="Times New Roman"/>
          <w:color w:val="212121"/>
          <w:shd w:val="clear" w:color="auto" w:fill="FFFFFF"/>
          <w:lang w:eastAsia="en-US"/>
        </w:rPr>
        <w:t>patients recovering from</w:t>
      </w:r>
      <w:r w:rsidRPr="000933D7">
        <w:rPr>
          <w:rFonts w:ascii="Calibri" w:eastAsia="Calibri" w:hAnsi="Calibri" w:cs="Times New Roman"/>
          <w:color w:val="212121"/>
          <w:shd w:val="clear" w:color="auto" w:fill="FFFFFF"/>
          <w:lang w:eastAsia="en-US"/>
        </w:rPr>
        <w:t xml:space="preserve"> a stroke.</w:t>
      </w:r>
    </w:p>
    <w:p w14:paraId="08F44EBD" w14:textId="1FCB8C09" w:rsidR="003F4024" w:rsidRPr="000933D7" w:rsidRDefault="000933D7" w:rsidP="000933D7">
      <w:pPr>
        <w:spacing w:before="0" w:after="160" w:line="259" w:lineRule="auto"/>
        <w:rPr>
          <w:rFonts w:ascii="Calibri" w:eastAsia="Calibri" w:hAnsi="Calibri" w:cs="Calibri"/>
          <w:color w:val="000000"/>
          <w:shd w:val="clear" w:color="auto" w:fill="FFFFFF"/>
          <w:lang w:eastAsia="en-US"/>
        </w:rPr>
      </w:pPr>
      <w:r>
        <w:rPr>
          <w:rFonts w:ascii="Calibri" w:eastAsia="Calibri" w:hAnsi="Calibri" w:cs="Calibri"/>
          <w:color w:val="000000"/>
          <w:shd w:val="clear" w:color="auto" w:fill="FFFFFF"/>
          <w:lang w:eastAsia="en-US"/>
        </w:rPr>
        <w:t>The review aims to inform the creation of a</w:t>
      </w:r>
      <w:r w:rsidRPr="000933D7">
        <w:rPr>
          <w:rFonts w:ascii="Calibri" w:eastAsia="Calibri" w:hAnsi="Calibri" w:cs="Calibri"/>
          <w:color w:val="000000"/>
          <w:shd w:val="clear" w:color="auto" w:fill="FFFFFF"/>
          <w:lang w:eastAsia="en-US"/>
        </w:rPr>
        <w:t xml:space="preserve"> measure that can be used specifically in community hospitals to show dependency </w:t>
      </w:r>
      <w:proofErr w:type="gramStart"/>
      <w:r w:rsidRPr="000933D7">
        <w:rPr>
          <w:rFonts w:ascii="Calibri" w:eastAsia="Calibri" w:hAnsi="Calibri" w:cs="Calibri"/>
          <w:color w:val="000000"/>
          <w:shd w:val="clear" w:color="auto" w:fill="FFFFFF"/>
          <w:lang w:eastAsia="en-US"/>
        </w:rPr>
        <w:t>and also</w:t>
      </w:r>
      <w:proofErr w:type="gramEnd"/>
      <w:r w:rsidRPr="000933D7">
        <w:rPr>
          <w:rFonts w:ascii="Calibri" w:eastAsia="Calibri" w:hAnsi="Calibri" w:cs="Calibri"/>
          <w:color w:val="000000"/>
          <w:shd w:val="clear" w:color="auto" w:fill="FFFFFF"/>
          <w:lang w:eastAsia="en-US"/>
        </w:rPr>
        <w:t xml:space="preserve"> (possibly a different measure) that can be used in the community alongside the therapy outcome measure (TOMs)</w:t>
      </w:r>
      <w:r>
        <w:rPr>
          <w:rFonts w:ascii="Calibri" w:eastAsia="Calibri" w:hAnsi="Calibri" w:cs="Calibri"/>
          <w:color w:val="000000"/>
          <w:shd w:val="clear" w:color="auto" w:fill="FFFFFF"/>
          <w:lang w:eastAsia="en-US"/>
        </w:rPr>
        <w:t>.</w:t>
      </w:r>
    </w:p>
    <w:p w14:paraId="2C0D16E3" w14:textId="48128139" w:rsidR="006A60B6" w:rsidRPr="004837FE" w:rsidRDefault="006A60B6" w:rsidP="006A60B6">
      <w:pPr>
        <w:pStyle w:val="Heading2"/>
        <w:rPr>
          <w:rFonts w:asciiTheme="minorHAnsi" w:hAnsiTheme="minorHAnsi"/>
        </w:rPr>
      </w:pPr>
      <w:bookmarkStart w:id="5" w:name="_Toc79572240"/>
      <w:r>
        <w:rPr>
          <w:rFonts w:asciiTheme="minorHAnsi" w:hAnsiTheme="minorHAnsi"/>
        </w:rPr>
        <w:t>1.2</w:t>
      </w:r>
      <w:r w:rsidRPr="004837FE">
        <w:rPr>
          <w:rFonts w:asciiTheme="minorHAnsi" w:hAnsiTheme="minorHAnsi"/>
        </w:rPr>
        <w:tab/>
      </w:r>
      <w:bookmarkEnd w:id="4"/>
      <w:r w:rsidR="00403E2E">
        <w:rPr>
          <w:rFonts w:asciiTheme="minorHAnsi" w:hAnsiTheme="minorHAnsi"/>
        </w:rPr>
        <w:t>Databases searched:</w:t>
      </w:r>
      <w:bookmarkEnd w:id="5"/>
    </w:p>
    <w:p w14:paraId="0D33DC28" w14:textId="10950337" w:rsidR="006A60B6" w:rsidRPr="004837FE" w:rsidRDefault="003F4024" w:rsidP="006A60B6">
      <w:pPr>
        <w:rPr>
          <w:rFonts w:asciiTheme="minorHAnsi" w:hAnsiTheme="minorHAnsi"/>
        </w:rPr>
      </w:pPr>
      <w:r w:rsidRPr="003F4024">
        <w:rPr>
          <w:rFonts w:asciiTheme="minorHAnsi" w:hAnsiTheme="minorHAnsi"/>
        </w:rPr>
        <w:t>NICE Evidence</w:t>
      </w:r>
      <w:r w:rsidR="000933D7">
        <w:rPr>
          <w:rFonts w:asciiTheme="minorHAnsi" w:hAnsiTheme="minorHAnsi"/>
        </w:rPr>
        <w:t xml:space="preserve">, </w:t>
      </w:r>
      <w:proofErr w:type="spellStart"/>
      <w:r w:rsidRPr="003F4024">
        <w:rPr>
          <w:rFonts w:asciiTheme="minorHAnsi" w:hAnsiTheme="minorHAnsi"/>
        </w:rPr>
        <w:t>Pubmed</w:t>
      </w:r>
      <w:proofErr w:type="spellEnd"/>
      <w:r w:rsidRPr="003F4024">
        <w:rPr>
          <w:rFonts w:asciiTheme="minorHAnsi" w:hAnsiTheme="minorHAnsi"/>
        </w:rPr>
        <w:t>, AMED, Trip pro</w:t>
      </w:r>
      <w:r w:rsidR="000933D7">
        <w:rPr>
          <w:rFonts w:asciiTheme="minorHAnsi" w:hAnsiTheme="minorHAnsi"/>
        </w:rPr>
        <w:t>,</w:t>
      </w:r>
      <w:r w:rsidRPr="003F4024">
        <w:rPr>
          <w:rFonts w:asciiTheme="minorHAnsi" w:hAnsiTheme="minorHAnsi"/>
        </w:rPr>
        <w:t xml:space="preserve"> Google site/ Google advance, references from relevant literature.</w:t>
      </w:r>
    </w:p>
    <w:p w14:paraId="1991AE45" w14:textId="750EA844" w:rsidR="006A60B6" w:rsidRPr="004837FE" w:rsidRDefault="006A60B6" w:rsidP="006A60B6">
      <w:pPr>
        <w:pStyle w:val="Heading2"/>
        <w:rPr>
          <w:rFonts w:asciiTheme="minorHAnsi" w:hAnsiTheme="minorHAnsi"/>
        </w:rPr>
      </w:pPr>
      <w:bookmarkStart w:id="6" w:name="_Toc430679087"/>
      <w:bookmarkStart w:id="7" w:name="_Toc79572241"/>
      <w:r>
        <w:rPr>
          <w:rFonts w:asciiTheme="minorHAnsi" w:hAnsiTheme="minorHAnsi"/>
        </w:rPr>
        <w:t>1.3</w:t>
      </w:r>
      <w:r w:rsidRPr="004837FE">
        <w:rPr>
          <w:rFonts w:asciiTheme="minorHAnsi" w:hAnsiTheme="minorHAnsi"/>
        </w:rPr>
        <w:tab/>
      </w:r>
      <w:bookmarkEnd w:id="6"/>
      <w:r w:rsidR="00403E2E">
        <w:rPr>
          <w:rFonts w:asciiTheme="minorHAnsi" w:hAnsiTheme="minorHAnsi"/>
        </w:rPr>
        <w:t>Key terms:</w:t>
      </w:r>
      <w:bookmarkEnd w:id="7"/>
    </w:p>
    <w:p w14:paraId="7C933E0F" w14:textId="5B8C4345" w:rsidR="000933D7" w:rsidRPr="000933D7" w:rsidRDefault="000933D7" w:rsidP="000933D7">
      <w:pPr>
        <w:rPr>
          <w:rFonts w:asciiTheme="minorHAnsi" w:hAnsiTheme="minorHAnsi"/>
        </w:rPr>
      </w:pPr>
      <w:bookmarkStart w:id="8" w:name="_Hlk64530746"/>
      <w:r w:rsidRPr="000933D7">
        <w:rPr>
          <w:rFonts w:asciiTheme="minorHAnsi" w:hAnsiTheme="minorHAnsi"/>
        </w:rPr>
        <w:t xml:space="preserve">Stroke, </w:t>
      </w:r>
      <w:r>
        <w:rPr>
          <w:rFonts w:asciiTheme="minorHAnsi" w:hAnsiTheme="minorHAnsi"/>
        </w:rPr>
        <w:t>o</w:t>
      </w:r>
      <w:r w:rsidRPr="000933D7">
        <w:rPr>
          <w:rFonts w:asciiTheme="minorHAnsi" w:hAnsiTheme="minorHAnsi"/>
        </w:rPr>
        <w:t>utcome</w:t>
      </w:r>
      <w:r>
        <w:rPr>
          <w:rFonts w:asciiTheme="minorHAnsi" w:hAnsiTheme="minorHAnsi"/>
        </w:rPr>
        <w:t>/s</w:t>
      </w:r>
      <w:r w:rsidRPr="000933D7">
        <w:rPr>
          <w:rFonts w:asciiTheme="minorHAnsi" w:hAnsiTheme="minorHAnsi"/>
        </w:rPr>
        <w:t xml:space="preserve">, </w:t>
      </w:r>
      <w:r>
        <w:rPr>
          <w:rFonts w:asciiTheme="minorHAnsi" w:hAnsiTheme="minorHAnsi"/>
        </w:rPr>
        <w:t>s</w:t>
      </w:r>
      <w:r w:rsidRPr="000933D7">
        <w:rPr>
          <w:rFonts w:asciiTheme="minorHAnsi" w:hAnsiTheme="minorHAnsi"/>
        </w:rPr>
        <w:t xml:space="preserve">cale, </w:t>
      </w:r>
      <w:r>
        <w:rPr>
          <w:rFonts w:asciiTheme="minorHAnsi" w:hAnsiTheme="minorHAnsi"/>
        </w:rPr>
        <w:t>m</w:t>
      </w:r>
      <w:r w:rsidRPr="000933D7">
        <w:rPr>
          <w:rFonts w:asciiTheme="minorHAnsi" w:hAnsiTheme="minorHAnsi"/>
        </w:rPr>
        <w:t xml:space="preserve">easurement, </w:t>
      </w:r>
      <w:r>
        <w:rPr>
          <w:rFonts w:asciiTheme="minorHAnsi" w:hAnsiTheme="minorHAnsi"/>
        </w:rPr>
        <w:t>i</w:t>
      </w:r>
      <w:r w:rsidRPr="000933D7">
        <w:rPr>
          <w:rFonts w:asciiTheme="minorHAnsi" w:hAnsiTheme="minorHAnsi"/>
        </w:rPr>
        <w:t xml:space="preserve">ndependence, </w:t>
      </w:r>
      <w:r>
        <w:rPr>
          <w:rFonts w:asciiTheme="minorHAnsi" w:hAnsiTheme="minorHAnsi"/>
        </w:rPr>
        <w:t>i</w:t>
      </w:r>
      <w:r w:rsidRPr="000933D7">
        <w:rPr>
          <w:rFonts w:asciiTheme="minorHAnsi" w:hAnsiTheme="minorHAnsi"/>
        </w:rPr>
        <w:t xml:space="preserve">nterdependence, </w:t>
      </w:r>
      <w:r>
        <w:rPr>
          <w:rFonts w:asciiTheme="minorHAnsi" w:hAnsiTheme="minorHAnsi"/>
        </w:rPr>
        <w:t>f</w:t>
      </w:r>
      <w:r w:rsidRPr="000933D7">
        <w:rPr>
          <w:rFonts w:asciiTheme="minorHAnsi" w:hAnsiTheme="minorHAnsi"/>
        </w:rPr>
        <w:t xml:space="preserve">unction, </w:t>
      </w:r>
      <w:r>
        <w:rPr>
          <w:rFonts w:asciiTheme="minorHAnsi" w:hAnsiTheme="minorHAnsi"/>
        </w:rPr>
        <w:t>d</w:t>
      </w:r>
      <w:r w:rsidRPr="000933D7">
        <w:rPr>
          <w:rFonts w:asciiTheme="minorHAnsi" w:hAnsiTheme="minorHAnsi"/>
        </w:rPr>
        <w:t>ependence, community hospital, community</w:t>
      </w:r>
      <w:r>
        <w:rPr>
          <w:rFonts w:asciiTheme="minorHAnsi" w:hAnsiTheme="minorHAnsi"/>
        </w:rPr>
        <w:t>, assessment, cognitive assessment, functional assessment, movement</w:t>
      </w:r>
      <w:r w:rsidRPr="000933D7">
        <w:rPr>
          <w:rFonts w:asciiTheme="minorHAnsi" w:hAnsiTheme="minorHAnsi"/>
        </w:rPr>
        <w:t>.</w:t>
      </w:r>
    </w:p>
    <w:p w14:paraId="57B5AA73" w14:textId="37C0B34C" w:rsidR="003F4024" w:rsidRPr="003F4024" w:rsidRDefault="003F4024" w:rsidP="003F4024">
      <w:pPr>
        <w:rPr>
          <w:rFonts w:asciiTheme="minorHAnsi" w:hAnsiTheme="minorHAnsi"/>
        </w:rPr>
      </w:pPr>
    </w:p>
    <w:bookmarkEnd w:id="8"/>
    <w:p w14:paraId="57CAC7C6" w14:textId="6F58E7CC" w:rsidR="00B26830" w:rsidRPr="006C2609" w:rsidRDefault="00B26830" w:rsidP="00B26830">
      <w:pPr>
        <w:spacing w:after="0"/>
        <w:rPr>
          <w:sz w:val="18"/>
          <w:szCs w:val="18"/>
        </w:rPr>
      </w:pPr>
    </w:p>
    <w:p w14:paraId="51FED8B8" w14:textId="48B50DC8" w:rsidR="00C76120" w:rsidRPr="004837FE" w:rsidRDefault="00C76120">
      <w:pPr>
        <w:rPr>
          <w:rFonts w:asciiTheme="minorHAnsi" w:hAnsiTheme="minorHAnsi"/>
          <w:b/>
          <w:color w:val="2D7C82"/>
          <w:sz w:val="36"/>
          <w:szCs w:val="36"/>
        </w:rPr>
      </w:pPr>
      <w:r w:rsidRPr="004837FE">
        <w:rPr>
          <w:rFonts w:asciiTheme="minorHAnsi" w:hAnsiTheme="minorHAnsi"/>
          <w:b/>
          <w:color w:val="2D7C82"/>
          <w:sz w:val="36"/>
          <w:szCs w:val="36"/>
        </w:rPr>
        <w:br w:type="page"/>
      </w:r>
    </w:p>
    <w:p w14:paraId="38CCDDA4" w14:textId="77777777" w:rsidR="00C331E1" w:rsidRPr="004837FE" w:rsidRDefault="00C331E1" w:rsidP="00C331E1">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265FAB68" w14:textId="2BD70236" w:rsidR="00C331E1" w:rsidRPr="004837FE" w:rsidRDefault="00C331E1" w:rsidP="00C331E1">
      <w:pPr>
        <w:pStyle w:val="Heading1"/>
        <w:rPr>
          <w:rFonts w:asciiTheme="minorHAnsi" w:hAnsiTheme="minorHAnsi"/>
        </w:rPr>
      </w:pPr>
      <w:r w:rsidRPr="004837FE">
        <w:rPr>
          <w:rFonts w:asciiTheme="minorHAnsi" w:hAnsiTheme="minorHAnsi"/>
        </w:rPr>
        <w:t xml:space="preserve"> </w:t>
      </w:r>
      <w:bookmarkStart w:id="9" w:name="_Toc430679088"/>
      <w:bookmarkStart w:id="10" w:name="_Toc79572242"/>
      <w:r w:rsidRPr="004837FE">
        <w:rPr>
          <w:rFonts w:asciiTheme="minorHAnsi" w:hAnsiTheme="minorHAnsi"/>
        </w:rPr>
        <w:t>2.</w:t>
      </w:r>
      <w:r w:rsidRPr="004837FE">
        <w:rPr>
          <w:rFonts w:asciiTheme="minorHAnsi" w:hAnsiTheme="minorHAnsi"/>
        </w:rPr>
        <w:tab/>
      </w:r>
      <w:bookmarkEnd w:id="9"/>
      <w:r w:rsidR="00D41535">
        <w:rPr>
          <w:rFonts w:asciiTheme="minorHAnsi" w:hAnsiTheme="minorHAnsi"/>
        </w:rPr>
        <w:t>Evidence Summary</w:t>
      </w:r>
      <w:bookmarkEnd w:id="10"/>
    </w:p>
    <w:tbl>
      <w:tblPr>
        <w:tblStyle w:val="TableGrid"/>
        <w:tblpPr w:leftFromText="180" w:rightFromText="180" w:vertAnchor="text" w:horzAnchor="margin" w:tblpY="1056"/>
        <w:tblW w:w="0" w:type="auto"/>
        <w:tblLook w:val="04A0" w:firstRow="1" w:lastRow="0" w:firstColumn="1" w:lastColumn="0" w:noHBand="0" w:noVBand="1"/>
      </w:tblPr>
      <w:tblGrid>
        <w:gridCol w:w="4621"/>
        <w:gridCol w:w="4621"/>
      </w:tblGrid>
      <w:tr w:rsidR="00D41535" w:rsidRPr="00D41535" w14:paraId="5BE06ECC" w14:textId="77777777" w:rsidTr="00D41535">
        <w:tc>
          <w:tcPr>
            <w:tcW w:w="4621" w:type="dxa"/>
          </w:tcPr>
          <w:p w14:paraId="18BE63FD" w14:textId="77777777" w:rsidR="00D41535" w:rsidRPr="00D41535" w:rsidRDefault="00D41535" w:rsidP="00D41535">
            <w:pPr>
              <w:rPr>
                <w:rFonts w:asciiTheme="minorHAnsi" w:hAnsiTheme="minorHAnsi" w:cstheme="minorHAnsi"/>
                <w:b/>
                <w:bCs/>
                <w:color w:val="212121"/>
                <w:shd w:val="clear" w:color="auto" w:fill="FFFFFF"/>
              </w:rPr>
            </w:pPr>
            <w:r w:rsidRPr="00D41535">
              <w:rPr>
                <w:rFonts w:asciiTheme="minorHAnsi" w:hAnsiTheme="minorHAnsi" w:cstheme="minorHAnsi"/>
                <w:b/>
                <w:bCs/>
                <w:color w:val="212121"/>
                <w:shd w:val="clear" w:color="auto" w:fill="FFFFFF"/>
              </w:rPr>
              <w:t>Measures of independence</w:t>
            </w:r>
          </w:p>
        </w:tc>
        <w:tc>
          <w:tcPr>
            <w:tcW w:w="4621" w:type="dxa"/>
          </w:tcPr>
          <w:p w14:paraId="5B0EA518" w14:textId="77777777" w:rsidR="00D41535" w:rsidRPr="00D41535" w:rsidRDefault="00D41535" w:rsidP="00D41535">
            <w:pPr>
              <w:rPr>
                <w:rFonts w:asciiTheme="minorHAnsi" w:hAnsiTheme="minorHAnsi" w:cstheme="minorHAnsi"/>
                <w:b/>
                <w:bCs/>
                <w:color w:val="212121"/>
                <w:shd w:val="clear" w:color="auto" w:fill="FFFFFF"/>
              </w:rPr>
            </w:pPr>
            <w:r w:rsidRPr="00D41535">
              <w:rPr>
                <w:rFonts w:asciiTheme="minorHAnsi" w:hAnsiTheme="minorHAnsi" w:cstheme="minorHAnsi"/>
                <w:b/>
                <w:bCs/>
                <w:color w:val="212121"/>
                <w:shd w:val="clear" w:color="auto" w:fill="FFFFFF"/>
              </w:rPr>
              <w:t>Frameworks</w:t>
            </w:r>
          </w:p>
        </w:tc>
      </w:tr>
      <w:tr w:rsidR="00D41535" w:rsidRPr="00D41535" w14:paraId="20EAE3CF" w14:textId="77777777" w:rsidTr="00D41535">
        <w:tc>
          <w:tcPr>
            <w:tcW w:w="4621" w:type="dxa"/>
          </w:tcPr>
          <w:p w14:paraId="4C076339" w14:textId="77777777" w:rsidR="00D41535" w:rsidRPr="00D41535" w:rsidRDefault="00D41535" w:rsidP="00D41535">
            <w:pPr>
              <w:rPr>
                <w:rFonts w:asciiTheme="minorHAnsi" w:hAnsiTheme="minorHAnsi" w:cstheme="minorHAnsi"/>
                <w:color w:val="212121"/>
                <w:shd w:val="clear" w:color="auto" w:fill="FFFFFF"/>
              </w:rPr>
            </w:pPr>
            <w:r w:rsidRPr="00D41535">
              <w:rPr>
                <w:rFonts w:asciiTheme="minorHAnsi" w:hAnsiTheme="minorHAnsi" w:cstheme="minorHAnsi"/>
                <w:color w:val="212121"/>
                <w:shd w:val="clear" w:color="auto" w:fill="FFFFFF"/>
              </w:rPr>
              <w:t>Individual goal setting, tailored to the needs of the patient. (</w:t>
            </w:r>
            <w:proofErr w:type="gramStart"/>
            <w:r w:rsidRPr="00D41535">
              <w:rPr>
                <w:rFonts w:asciiTheme="minorHAnsi" w:hAnsiTheme="minorHAnsi" w:cstheme="minorHAnsi"/>
                <w:color w:val="212121"/>
                <w:shd w:val="clear" w:color="auto" w:fill="FFFFFF"/>
              </w:rPr>
              <w:t>can</w:t>
            </w:r>
            <w:proofErr w:type="gramEnd"/>
            <w:r w:rsidRPr="00D41535">
              <w:rPr>
                <w:rFonts w:asciiTheme="minorHAnsi" w:hAnsiTheme="minorHAnsi" w:cstheme="minorHAnsi"/>
                <w:color w:val="212121"/>
                <w:shd w:val="clear" w:color="auto" w:fill="FFFFFF"/>
              </w:rPr>
              <w:t xml:space="preserve"> include cognitive functions and mobility)</w:t>
            </w:r>
          </w:p>
        </w:tc>
        <w:tc>
          <w:tcPr>
            <w:tcW w:w="4621" w:type="dxa"/>
          </w:tcPr>
          <w:p w14:paraId="527656C0" w14:textId="77777777" w:rsidR="00D41535" w:rsidRPr="00D41535" w:rsidRDefault="00D41535" w:rsidP="00D41535">
            <w:pPr>
              <w:rPr>
                <w:rFonts w:asciiTheme="minorHAnsi" w:hAnsiTheme="minorHAnsi" w:cstheme="minorHAnsi"/>
                <w:color w:val="212121"/>
                <w:shd w:val="clear" w:color="auto" w:fill="FFFFFF"/>
              </w:rPr>
            </w:pPr>
            <w:r w:rsidRPr="00D41535">
              <w:rPr>
                <w:rFonts w:asciiTheme="minorHAnsi" w:hAnsiTheme="minorHAnsi" w:cstheme="minorHAnsi"/>
                <w:color w:val="212121"/>
                <w:shd w:val="clear" w:color="auto" w:fill="FFFFFF"/>
              </w:rPr>
              <w:t xml:space="preserve">Barthel, </w:t>
            </w:r>
            <w:proofErr w:type="spellStart"/>
            <w:r w:rsidRPr="00D41535">
              <w:rPr>
                <w:rFonts w:asciiTheme="minorHAnsi" w:hAnsiTheme="minorHAnsi" w:cstheme="minorHAnsi"/>
                <w:color w:val="212121"/>
                <w:shd w:val="clear" w:color="auto" w:fill="FFFFFF"/>
              </w:rPr>
              <w:t>Rivermead</w:t>
            </w:r>
            <w:proofErr w:type="spellEnd"/>
            <w:r w:rsidRPr="00D41535">
              <w:rPr>
                <w:rFonts w:asciiTheme="minorHAnsi" w:hAnsiTheme="minorHAnsi" w:cstheme="minorHAnsi"/>
                <w:color w:val="212121"/>
                <w:shd w:val="clear" w:color="auto" w:fill="FFFFFF"/>
              </w:rPr>
              <w:t xml:space="preserve"> Mobility Index, </w:t>
            </w:r>
            <w:proofErr w:type="spellStart"/>
            <w:r w:rsidRPr="00D41535">
              <w:rPr>
                <w:rFonts w:asciiTheme="minorHAnsi" w:hAnsiTheme="minorHAnsi" w:cstheme="minorHAnsi"/>
                <w:color w:val="212121"/>
                <w:shd w:val="clear" w:color="auto" w:fill="FFFFFF"/>
              </w:rPr>
              <w:t>Rivermead</w:t>
            </w:r>
            <w:proofErr w:type="spellEnd"/>
            <w:r w:rsidRPr="00D41535">
              <w:rPr>
                <w:rFonts w:asciiTheme="minorHAnsi" w:hAnsiTheme="minorHAnsi" w:cstheme="minorHAnsi"/>
                <w:color w:val="212121"/>
                <w:shd w:val="clear" w:color="auto" w:fill="FFFFFF"/>
              </w:rPr>
              <w:t xml:space="preserve"> Behavioural memory test.</w:t>
            </w:r>
          </w:p>
        </w:tc>
      </w:tr>
      <w:tr w:rsidR="00D41535" w:rsidRPr="00D41535" w14:paraId="41148861" w14:textId="77777777" w:rsidTr="00D41535">
        <w:tc>
          <w:tcPr>
            <w:tcW w:w="4621" w:type="dxa"/>
          </w:tcPr>
          <w:p w14:paraId="6E3250CA" w14:textId="77777777" w:rsidR="00D41535" w:rsidRPr="00D41535" w:rsidRDefault="00D41535" w:rsidP="00D41535">
            <w:pPr>
              <w:rPr>
                <w:rFonts w:asciiTheme="minorHAnsi" w:hAnsiTheme="minorHAnsi" w:cstheme="minorHAnsi"/>
                <w:color w:val="212121"/>
                <w:shd w:val="clear" w:color="auto" w:fill="FFFFFF"/>
              </w:rPr>
            </w:pPr>
            <w:r w:rsidRPr="00D41535">
              <w:rPr>
                <w:rFonts w:asciiTheme="minorHAnsi" w:hAnsiTheme="minorHAnsi" w:cstheme="minorHAnsi"/>
                <w:color w:val="212121"/>
                <w:shd w:val="clear" w:color="auto" w:fill="FFFFFF"/>
              </w:rPr>
              <w:t>Mental health</w:t>
            </w:r>
          </w:p>
        </w:tc>
        <w:tc>
          <w:tcPr>
            <w:tcW w:w="4621" w:type="dxa"/>
          </w:tcPr>
          <w:p w14:paraId="1B52585C" w14:textId="77777777" w:rsidR="00D41535" w:rsidRPr="00D41535" w:rsidRDefault="00D41535" w:rsidP="00D41535">
            <w:pPr>
              <w:rPr>
                <w:rFonts w:asciiTheme="minorHAnsi" w:hAnsiTheme="minorHAnsi" w:cstheme="minorHAnsi"/>
                <w:color w:val="212121"/>
                <w:shd w:val="clear" w:color="auto" w:fill="FFFFFF"/>
              </w:rPr>
            </w:pPr>
            <w:r w:rsidRPr="00D41535">
              <w:rPr>
                <w:rFonts w:asciiTheme="minorHAnsi" w:hAnsiTheme="minorHAnsi" w:cstheme="minorHAnsi"/>
                <w:color w:val="212121"/>
                <w:shd w:val="clear" w:color="auto" w:fill="FFFFFF"/>
              </w:rPr>
              <w:t xml:space="preserve">Mental capacity act, Geriatric depression scale </w:t>
            </w:r>
            <w:r w:rsidRPr="00D41535">
              <w:rPr>
                <w:rStyle w:val="FootnoteReference"/>
                <w:rFonts w:asciiTheme="minorHAnsi" w:hAnsiTheme="minorHAnsi" w:cstheme="minorHAnsi"/>
                <w:color w:val="212121"/>
                <w:shd w:val="clear" w:color="auto" w:fill="FFFFFF"/>
              </w:rPr>
              <w:footnoteReference w:id="1"/>
            </w:r>
            <w:r w:rsidRPr="00D41535">
              <w:rPr>
                <w:rFonts w:asciiTheme="minorHAnsi" w:hAnsiTheme="minorHAnsi" w:cstheme="minorHAnsi"/>
                <w:color w:val="212121"/>
                <w:shd w:val="clear" w:color="auto" w:fill="FFFFFF"/>
              </w:rPr>
              <w:t>,</w:t>
            </w:r>
            <w:r w:rsidRPr="00D41535">
              <w:rPr>
                <w:rFonts w:asciiTheme="minorHAnsi" w:hAnsiTheme="minorHAnsi" w:cstheme="minorHAnsi"/>
              </w:rPr>
              <w:t xml:space="preserve"> </w:t>
            </w:r>
            <w:r w:rsidRPr="00D41535">
              <w:rPr>
                <w:rFonts w:asciiTheme="minorHAnsi" w:hAnsiTheme="minorHAnsi" w:cstheme="minorHAnsi"/>
                <w:color w:val="212121"/>
                <w:shd w:val="clear" w:color="auto" w:fill="FFFFFF"/>
              </w:rPr>
              <w:t>Montgomery-</w:t>
            </w:r>
            <w:proofErr w:type="spellStart"/>
            <w:r w:rsidRPr="00D41535">
              <w:rPr>
                <w:rFonts w:asciiTheme="minorHAnsi" w:hAnsiTheme="minorHAnsi" w:cstheme="minorHAnsi"/>
                <w:color w:val="212121"/>
                <w:shd w:val="clear" w:color="auto" w:fill="FFFFFF"/>
              </w:rPr>
              <w:t>Asberg</w:t>
            </w:r>
            <w:proofErr w:type="spellEnd"/>
            <w:r w:rsidRPr="00D41535">
              <w:rPr>
                <w:rFonts w:asciiTheme="minorHAnsi" w:hAnsiTheme="minorHAnsi" w:cstheme="minorHAnsi"/>
                <w:color w:val="212121"/>
                <w:shd w:val="clear" w:color="auto" w:fill="FFFFFF"/>
              </w:rPr>
              <w:t xml:space="preserve"> Depression Rating Scale (MADRS)</w:t>
            </w:r>
            <w:r w:rsidRPr="00D41535">
              <w:rPr>
                <w:rStyle w:val="FootnoteReference"/>
                <w:rFonts w:asciiTheme="minorHAnsi" w:hAnsiTheme="minorHAnsi" w:cstheme="minorHAnsi"/>
                <w:color w:val="212121"/>
                <w:shd w:val="clear" w:color="auto" w:fill="FFFFFF"/>
              </w:rPr>
              <w:footnoteReference w:id="2"/>
            </w:r>
            <w:r w:rsidRPr="00D41535">
              <w:rPr>
                <w:rFonts w:asciiTheme="minorHAnsi" w:hAnsiTheme="minorHAnsi" w:cstheme="minorHAnsi"/>
                <w:color w:val="212121"/>
                <w:shd w:val="clear" w:color="auto" w:fill="FFFFFF"/>
              </w:rPr>
              <w:t xml:space="preserve"> , Patient Health Questionnaire (PHQ-2 and PHQ-9)</w:t>
            </w:r>
            <w:r w:rsidRPr="00D41535">
              <w:rPr>
                <w:rStyle w:val="FootnoteReference"/>
                <w:rFonts w:asciiTheme="minorHAnsi" w:hAnsiTheme="minorHAnsi" w:cstheme="minorHAnsi"/>
                <w:color w:val="212121"/>
                <w:shd w:val="clear" w:color="auto" w:fill="FFFFFF"/>
              </w:rPr>
              <w:footnoteReference w:id="3"/>
            </w:r>
            <w:r w:rsidRPr="00D41535">
              <w:rPr>
                <w:rStyle w:val="FootnoteReference"/>
                <w:rFonts w:asciiTheme="minorHAnsi" w:hAnsiTheme="minorHAnsi" w:cstheme="minorHAnsi"/>
                <w:color w:val="212121"/>
                <w:shd w:val="clear" w:color="auto" w:fill="FFFFFF"/>
              </w:rPr>
              <w:footnoteReference w:id="4"/>
            </w:r>
            <w:r w:rsidRPr="00D41535">
              <w:rPr>
                <w:rStyle w:val="FootnoteReference"/>
                <w:rFonts w:asciiTheme="minorHAnsi" w:hAnsiTheme="minorHAnsi" w:cstheme="minorHAnsi"/>
                <w:color w:val="212121"/>
                <w:shd w:val="clear" w:color="auto" w:fill="FFFFFF"/>
              </w:rPr>
              <w:footnoteReference w:id="5"/>
            </w:r>
          </w:p>
        </w:tc>
      </w:tr>
    </w:tbl>
    <w:p w14:paraId="35C5E09F" w14:textId="47AEEC8A" w:rsidR="00D41535" w:rsidRDefault="00D41535" w:rsidP="00D41535">
      <w:pPr>
        <w:pStyle w:val="Heading2"/>
      </w:pPr>
      <w:bookmarkStart w:id="11" w:name="_Toc79572243"/>
      <w:r>
        <w:t>2.1 Current frameworks for measures of independence</w:t>
      </w:r>
      <w:bookmarkEnd w:id="11"/>
    </w:p>
    <w:p w14:paraId="55E4D582" w14:textId="77777777" w:rsidR="00D41535" w:rsidRDefault="00D41535" w:rsidP="00D41535">
      <w:pPr>
        <w:spacing w:before="0" w:after="200"/>
        <w:rPr>
          <w:sz w:val="22"/>
          <w:szCs w:val="22"/>
        </w:rPr>
      </w:pPr>
    </w:p>
    <w:p w14:paraId="0F5B72B9" w14:textId="77777777" w:rsidR="00D41535" w:rsidRDefault="00D41535" w:rsidP="00D41535">
      <w:pPr>
        <w:spacing w:before="0" w:after="200"/>
        <w:rPr>
          <w:sz w:val="22"/>
          <w:szCs w:val="22"/>
        </w:rPr>
      </w:pPr>
    </w:p>
    <w:p w14:paraId="1EF9777E" w14:textId="46DFB625" w:rsidR="00D41535" w:rsidRPr="00D41535" w:rsidRDefault="00D41535" w:rsidP="00D41535">
      <w:pPr>
        <w:spacing w:before="0" w:after="200"/>
        <w:rPr>
          <w:sz w:val="22"/>
          <w:szCs w:val="22"/>
        </w:rPr>
      </w:pPr>
      <w:r w:rsidRPr="00D41535">
        <w:rPr>
          <w:rFonts w:asciiTheme="minorHAnsi" w:hAnsiTheme="minorHAnsi" w:cstheme="minorHAnsi"/>
          <w:i/>
          <w:iCs/>
        </w:rPr>
        <w:t xml:space="preserve">Early supported discharge (ESD) enables appropriate stroke survivors to leave hospital ‘early’ through the provision of intense rehabilitation in the community at a similar level to the care provided in hospital. An ESD team of nurses, therapists, </w:t>
      </w:r>
      <w:proofErr w:type="gramStart"/>
      <w:r w:rsidRPr="00D41535">
        <w:rPr>
          <w:rFonts w:asciiTheme="minorHAnsi" w:hAnsiTheme="minorHAnsi" w:cstheme="minorHAnsi"/>
          <w:i/>
          <w:iCs/>
        </w:rPr>
        <w:t>doctors</w:t>
      </w:r>
      <w:proofErr w:type="gramEnd"/>
      <w:r w:rsidRPr="00D41535">
        <w:rPr>
          <w:rFonts w:asciiTheme="minorHAnsi" w:hAnsiTheme="minorHAnsi" w:cstheme="minorHAnsi"/>
          <w:i/>
          <w:iCs/>
        </w:rPr>
        <w:t xml:space="preserve"> and social care staff work collaboratively as a team and with patient and families, providing intensive rehabilitation at home for up to 6 weeks, thereby reducing the risk of re-admission into hospital for stroke related problems and increasing independence and quality of life with support the carer and family.</w:t>
      </w:r>
      <w:r w:rsidRPr="00D41535">
        <w:rPr>
          <w:rStyle w:val="FootnoteReference"/>
          <w:rFonts w:asciiTheme="minorHAnsi" w:hAnsiTheme="minorHAnsi" w:cstheme="minorHAnsi"/>
          <w:i/>
          <w:iCs/>
        </w:rPr>
        <w:footnoteReference w:id="6"/>
      </w:r>
    </w:p>
    <w:p w14:paraId="6369DAE3"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The National Institute of Neurological Disorders and Stroke (2020) states that the types and degrees of disability that follow a stroke can cause various problems, dependent on which area of the brain is damaged. </w:t>
      </w:r>
      <w:proofErr w:type="gramStart"/>
      <w:r w:rsidRPr="00D41535">
        <w:rPr>
          <w:rFonts w:asciiTheme="minorHAnsi" w:hAnsiTheme="minorHAnsi" w:cstheme="minorHAnsi"/>
        </w:rPr>
        <w:t>Generally</w:t>
      </w:r>
      <w:proofErr w:type="gramEnd"/>
      <w:r w:rsidRPr="00D41535">
        <w:rPr>
          <w:rFonts w:asciiTheme="minorHAnsi" w:hAnsiTheme="minorHAnsi" w:cstheme="minorHAnsi"/>
        </w:rPr>
        <w:t xml:space="preserve"> stroke can cause five types of disability:</w:t>
      </w:r>
    </w:p>
    <w:p w14:paraId="6EFF268E" w14:textId="77777777" w:rsidR="00D41535" w:rsidRPr="00D41535" w:rsidRDefault="00D41535" w:rsidP="00D41535">
      <w:pPr>
        <w:pStyle w:val="ListParagraph"/>
        <w:numPr>
          <w:ilvl w:val="0"/>
          <w:numId w:val="2"/>
        </w:numPr>
        <w:rPr>
          <w:rFonts w:cstheme="minorHAnsi"/>
          <w:sz w:val="24"/>
          <w:szCs w:val="24"/>
        </w:rPr>
      </w:pPr>
      <w:r w:rsidRPr="00D41535">
        <w:rPr>
          <w:rFonts w:cstheme="minorHAnsi"/>
          <w:sz w:val="24"/>
          <w:szCs w:val="24"/>
        </w:rPr>
        <w:lastRenderedPageBreak/>
        <w:t>Motor control</w:t>
      </w:r>
    </w:p>
    <w:p w14:paraId="4D770B99" w14:textId="77777777" w:rsidR="00D41535" w:rsidRPr="00D41535" w:rsidRDefault="00D41535" w:rsidP="00D41535">
      <w:pPr>
        <w:pStyle w:val="ListParagraph"/>
        <w:numPr>
          <w:ilvl w:val="0"/>
          <w:numId w:val="2"/>
        </w:numPr>
        <w:rPr>
          <w:rFonts w:cstheme="minorHAnsi"/>
          <w:sz w:val="24"/>
          <w:szCs w:val="24"/>
        </w:rPr>
      </w:pPr>
      <w:r w:rsidRPr="00D41535">
        <w:rPr>
          <w:rFonts w:cstheme="minorHAnsi"/>
          <w:sz w:val="24"/>
          <w:szCs w:val="24"/>
        </w:rPr>
        <w:t>Sensory Disturbances (including pain)</w:t>
      </w:r>
    </w:p>
    <w:p w14:paraId="6B04C9B7" w14:textId="77777777" w:rsidR="00D41535" w:rsidRPr="00D41535" w:rsidRDefault="00D41535" w:rsidP="00D41535">
      <w:pPr>
        <w:pStyle w:val="ListParagraph"/>
        <w:numPr>
          <w:ilvl w:val="0"/>
          <w:numId w:val="2"/>
        </w:numPr>
        <w:rPr>
          <w:rFonts w:cstheme="minorHAnsi"/>
          <w:sz w:val="24"/>
          <w:szCs w:val="24"/>
        </w:rPr>
      </w:pPr>
      <w:r w:rsidRPr="00D41535">
        <w:rPr>
          <w:rFonts w:cstheme="minorHAnsi"/>
          <w:sz w:val="24"/>
          <w:szCs w:val="24"/>
        </w:rPr>
        <w:t>Aphasia</w:t>
      </w:r>
    </w:p>
    <w:p w14:paraId="31BB6938" w14:textId="77777777" w:rsidR="00D41535" w:rsidRPr="00D41535" w:rsidRDefault="00D41535" w:rsidP="00D41535">
      <w:pPr>
        <w:pStyle w:val="ListParagraph"/>
        <w:numPr>
          <w:ilvl w:val="0"/>
          <w:numId w:val="2"/>
        </w:numPr>
        <w:rPr>
          <w:rFonts w:cstheme="minorHAnsi"/>
          <w:sz w:val="24"/>
          <w:szCs w:val="24"/>
        </w:rPr>
      </w:pPr>
      <w:r w:rsidRPr="00D41535">
        <w:rPr>
          <w:rFonts w:cstheme="minorHAnsi"/>
          <w:sz w:val="24"/>
          <w:szCs w:val="24"/>
        </w:rPr>
        <w:t>Problems with thinking and memory</w:t>
      </w:r>
    </w:p>
    <w:p w14:paraId="7DC04702" w14:textId="77777777" w:rsidR="00D41535" w:rsidRPr="00D41535" w:rsidRDefault="00D41535" w:rsidP="00D41535">
      <w:pPr>
        <w:pStyle w:val="ListParagraph"/>
        <w:numPr>
          <w:ilvl w:val="0"/>
          <w:numId w:val="2"/>
        </w:numPr>
        <w:rPr>
          <w:rFonts w:cstheme="minorHAnsi"/>
          <w:sz w:val="24"/>
          <w:szCs w:val="24"/>
        </w:rPr>
      </w:pPr>
      <w:r w:rsidRPr="00D41535">
        <w:rPr>
          <w:rFonts w:cstheme="minorHAnsi"/>
          <w:sz w:val="24"/>
          <w:szCs w:val="24"/>
        </w:rPr>
        <w:t>Emotional disturbances</w:t>
      </w:r>
    </w:p>
    <w:p w14:paraId="5471045F"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Outcome measures can be used in acute hospital settings but also in community hospitals and community settings with stroke rehabilitation to determine the indicators of independence for the patient.</w:t>
      </w:r>
    </w:p>
    <w:p w14:paraId="0EC1990A"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In 2006 Linda </w:t>
      </w:r>
      <w:proofErr w:type="spellStart"/>
      <w:r w:rsidRPr="00D41535">
        <w:rPr>
          <w:rFonts w:asciiTheme="minorHAnsi" w:hAnsiTheme="minorHAnsi" w:cstheme="minorHAnsi"/>
        </w:rPr>
        <w:t>Dobrzanska</w:t>
      </w:r>
      <w:proofErr w:type="spellEnd"/>
      <w:r w:rsidRPr="00D41535">
        <w:rPr>
          <w:rFonts w:asciiTheme="minorHAnsi" w:hAnsiTheme="minorHAnsi" w:cstheme="minorHAnsi"/>
        </w:rPr>
        <w:t xml:space="preserve"> led six-month pilot project in Bradford to measure the effectiveness of stroke rehabilitation services conducted in a community hospital. Staff at the community hospital received specific stroke care training and the following outcome measure tools [which] were seen as best appropriate to measure patient development in the community hospital setting. All outcome measures showed positive results.</w:t>
      </w:r>
      <w:r w:rsidRPr="00D41535">
        <w:rPr>
          <w:rStyle w:val="FootnoteReference"/>
          <w:rFonts w:asciiTheme="minorHAnsi" w:hAnsiTheme="minorHAnsi" w:cstheme="minorHAnsi"/>
        </w:rPr>
        <w:footnoteReference w:id="7"/>
      </w:r>
    </w:p>
    <w:p w14:paraId="3418D705" w14:textId="1FF93C18" w:rsidR="00D41535" w:rsidRPr="00D41535" w:rsidRDefault="00D41535" w:rsidP="00D41535">
      <w:pPr>
        <w:pStyle w:val="Heading3"/>
      </w:pPr>
      <w:bookmarkStart w:id="12" w:name="_Toc79572244"/>
      <w:r>
        <w:t xml:space="preserve">2.1.1 </w:t>
      </w:r>
      <w:r w:rsidRPr="00D41535">
        <w:t>Barthel</w:t>
      </w:r>
      <w:bookmarkEnd w:id="12"/>
    </w:p>
    <w:p w14:paraId="37FDB21C" w14:textId="77777777" w:rsidR="00D41535" w:rsidRPr="00D41535" w:rsidRDefault="00D41535" w:rsidP="00D41535">
      <w:pPr>
        <w:rPr>
          <w:rFonts w:asciiTheme="minorHAnsi" w:hAnsiTheme="minorHAnsi" w:cstheme="minorHAnsi"/>
          <w:i/>
          <w:iCs/>
        </w:rPr>
      </w:pPr>
      <w:r w:rsidRPr="00D41535">
        <w:rPr>
          <w:rFonts w:asciiTheme="minorHAnsi" w:hAnsiTheme="minorHAnsi" w:cstheme="minorHAnsi"/>
          <w:i/>
          <w:iCs/>
        </w:rPr>
        <w:t>The Barthel Index was considered the best available measurement of the activities of daily living. This simple index of independence in the basic physical functions underlying normal living (continence, mobility, washing, dressing and diet) is useful in monitoring improvement in the rehabilitation of chronically ill patients. (Mahoney and Barthel 1965).</w:t>
      </w:r>
    </w:p>
    <w:p w14:paraId="1AA6A71A" w14:textId="37D05298" w:rsidR="00D41535" w:rsidRPr="00D41535" w:rsidRDefault="00D41535" w:rsidP="00D41535">
      <w:pPr>
        <w:pStyle w:val="Heading3"/>
      </w:pPr>
      <w:bookmarkStart w:id="13" w:name="_Toc79572245"/>
      <w:r>
        <w:t xml:space="preserve">2.1.2 </w:t>
      </w:r>
      <w:proofErr w:type="spellStart"/>
      <w:r w:rsidRPr="00D41535">
        <w:t>Rivermead</w:t>
      </w:r>
      <w:proofErr w:type="spellEnd"/>
      <w:r w:rsidRPr="00D41535">
        <w:t xml:space="preserve"> Mobility Index</w:t>
      </w:r>
      <w:bookmarkEnd w:id="13"/>
    </w:p>
    <w:p w14:paraId="06655C80" w14:textId="77777777" w:rsidR="00D41535" w:rsidRPr="00D41535" w:rsidRDefault="00D41535" w:rsidP="00D41535">
      <w:pPr>
        <w:rPr>
          <w:rFonts w:asciiTheme="minorHAnsi" w:hAnsiTheme="minorHAnsi" w:cstheme="minorHAnsi"/>
          <w:i/>
          <w:iCs/>
        </w:rPr>
      </w:pPr>
      <w:r w:rsidRPr="00D41535">
        <w:rPr>
          <w:rFonts w:asciiTheme="minorHAnsi" w:hAnsiTheme="minorHAnsi" w:cstheme="minorHAnsi"/>
          <w:i/>
          <w:iCs/>
        </w:rPr>
        <w:t xml:space="preserve">The </w:t>
      </w:r>
      <w:proofErr w:type="spellStart"/>
      <w:r w:rsidRPr="00D41535">
        <w:rPr>
          <w:rFonts w:asciiTheme="minorHAnsi" w:hAnsiTheme="minorHAnsi" w:cstheme="minorHAnsi"/>
          <w:i/>
          <w:iCs/>
        </w:rPr>
        <w:t>Rivermead</w:t>
      </w:r>
      <w:proofErr w:type="spellEnd"/>
      <w:r w:rsidRPr="00D41535">
        <w:rPr>
          <w:rFonts w:asciiTheme="minorHAnsi" w:hAnsiTheme="minorHAnsi" w:cstheme="minorHAnsi"/>
          <w:i/>
          <w:iCs/>
        </w:rPr>
        <w:t xml:space="preserve"> Mobility Index measures patients’ ability to move independently. It does not measure the effective use of a wheelchair or mobility when aided by someone else. It was developed at the </w:t>
      </w:r>
      <w:proofErr w:type="spellStart"/>
      <w:r w:rsidRPr="00D41535">
        <w:rPr>
          <w:rFonts w:asciiTheme="minorHAnsi" w:hAnsiTheme="minorHAnsi" w:cstheme="minorHAnsi"/>
          <w:i/>
          <w:iCs/>
        </w:rPr>
        <w:t>Rivermead</w:t>
      </w:r>
      <w:proofErr w:type="spellEnd"/>
      <w:r w:rsidRPr="00D41535">
        <w:rPr>
          <w:rFonts w:asciiTheme="minorHAnsi" w:hAnsiTheme="minorHAnsi" w:cstheme="minorHAnsi"/>
          <w:i/>
          <w:iCs/>
        </w:rPr>
        <w:t xml:space="preserve"> Rehabilitation Centre in Oxford and is a valid score for assessing mobility in stroke patients (</w:t>
      </w:r>
      <w:proofErr w:type="spellStart"/>
      <w:r w:rsidRPr="00D41535">
        <w:rPr>
          <w:rFonts w:asciiTheme="minorHAnsi" w:hAnsiTheme="minorHAnsi" w:cstheme="minorHAnsi"/>
          <w:i/>
          <w:iCs/>
        </w:rPr>
        <w:t>Commil</w:t>
      </w:r>
      <w:proofErr w:type="spellEnd"/>
      <w:r w:rsidRPr="00D41535">
        <w:rPr>
          <w:rFonts w:asciiTheme="minorHAnsi" w:hAnsiTheme="minorHAnsi" w:cstheme="minorHAnsi"/>
          <w:i/>
          <w:iCs/>
        </w:rPr>
        <w:t xml:space="preserve"> and Wade 1991).</w:t>
      </w:r>
    </w:p>
    <w:p w14:paraId="31C7C94F" w14:textId="2DD95CFB" w:rsidR="00D41535" w:rsidRPr="00D41535" w:rsidRDefault="00D41535" w:rsidP="00D41535">
      <w:pPr>
        <w:rPr>
          <w:rFonts w:asciiTheme="minorHAnsi" w:hAnsiTheme="minorHAnsi" w:cstheme="minorHAnsi"/>
        </w:rPr>
      </w:pPr>
      <w:r w:rsidRPr="00D41535">
        <w:rPr>
          <w:rFonts w:asciiTheme="minorHAnsi" w:hAnsiTheme="minorHAnsi" w:cstheme="minorHAnsi"/>
        </w:rPr>
        <w:t>The 2016 Clinical Guideline for Stroke also highlighted the use of the</w:t>
      </w:r>
      <w:r w:rsidRPr="00D41535">
        <w:rPr>
          <w:rFonts w:asciiTheme="minorHAnsi" w:hAnsiTheme="minorHAnsi" w:cstheme="minorHAnsi"/>
          <w:b/>
          <w:bCs/>
        </w:rPr>
        <w:t xml:space="preserve"> </w:t>
      </w:r>
      <w:proofErr w:type="spellStart"/>
      <w:r w:rsidRPr="00D41535">
        <w:rPr>
          <w:rFonts w:asciiTheme="minorHAnsi" w:hAnsiTheme="minorHAnsi" w:cstheme="minorHAnsi"/>
          <w:b/>
          <w:bCs/>
        </w:rPr>
        <w:t>Rivermead</w:t>
      </w:r>
      <w:proofErr w:type="spellEnd"/>
      <w:r w:rsidRPr="00D41535">
        <w:rPr>
          <w:rFonts w:asciiTheme="minorHAnsi" w:hAnsiTheme="minorHAnsi" w:cstheme="minorHAnsi"/>
          <w:b/>
          <w:bCs/>
        </w:rPr>
        <w:t xml:space="preserve"> Behavioural Memory Test (RBMT) </w:t>
      </w:r>
      <w:r w:rsidRPr="00D41535">
        <w:rPr>
          <w:rFonts w:asciiTheme="minorHAnsi" w:hAnsiTheme="minorHAnsi" w:cstheme="minorHAnsi"/>
        </w:rPr>
        <w:t xml:space="preserve">to test memory outcomes. </w:t>
      </w:r>
      <w:proofErr w:type="gramStart"/>
      <w:r w:rsidRPr="00D41535">
        <w:rPr>
          <w:rFonts w:asciiTheme="minorHAnsi" w:hAnsiTheme="minorHAnsi" w:cstheme="minorHAnsi"/>
        </w:rPr>
        <w:t>However</w:t>
      </w:r>
      <w:proofErr w:type="gramEnd"/>
      <w:r w:rsidRPr="00D41535">
        <w:rPr>
          <w:rFonts w:asciiTheme="minorHAnsi" w:hAnsiTheme="minorHAnsi" w:cstheme="minorHAnsi"/>
        </w:rPr>
        <w:t xml:space="preserve"> they concluded that “further research is needed to establish the clinical effectiveness (at the level of activities or participation) and acceptability of memory rehabilitation approaches).”</w:t>
      </w:r>
      <w:r w:rsidRPr="00D41535">
        <w:rPr>
          <w:rFonts w:asciiTheme="minorHAnsi" w:hAnsiTheme="minorHAnsi" w:cstheme="minorHAnsi"/>
        </w:rPr>
        <w:fldChar w:fldCharType="begin"/>
      </w:r>
      <w:r w:rsidRPr="00D41535">
        <w:rPr>
          <w:rFonts w:asciiTheme="minorHAnsi" w:hAnsiTheme="minorHAnsi" w:cstheme="minorHAnsi"/>
        </w:rPr>
        <w:instrText xml:space="preserve"> NOTEREF _Ref50648119 \f \h  \* MERGEFORMAT </w:instrText>
      </w:r>
      <w:r w:rsidRPr="00D41535">
        <w:rPr>
          <w:rFonts w:asciiTheme="minorHAnsi" w:hAnsiTheme="minorHAnsi" w:cstheme="minorHAnsi"/>
        </w:rPr>
      </w:r>
      <w:r w:rsidRPr="00D41535">
        <w:rPr>
          <w:rFonts w:asciiTheme="minorHAnsi" w:hAnsiTheme="minorHAnsi" w:cstheme="minorHAnsi"/>
        </w:rPr>
        <w:fldChar w:fldCharType="separate"/>
      </w:r>
      <w:r w:rsidRPr="00D41535">
        <w:rPr>
          <w:rStyle w:val="FootnoteReference"/>
          <w:rFonts w:asciiTheme="minorHAnsi" w:hAnsiTheme="minorHAnsi" w:cstheme="minorHAnsi"/>
        </w:rPr>
        <w:t>3</w:t>
      </w:r>
      <w:r w:rsidRPr="00D41535">
        <w:rPr>
          <w:rFonts w:asciiTheme="minorHAnsi" w:hAnsiTheme="minorHAnsi" w:cstheme="minorHAnsi"/>
        </w:rPr>
        <w:fldChar w:fldCharType="end"/>
      </w:r>
    </w:p>
    <w:p w14:paraId="5882B1CA" w14:textId="5A35CB76" w:rsidR="00D41535" w:rsidRPr="00D41535" w:rsidRDefault="00D41535" w:rsidP="00D41535">
      <w:pPr>
        <w:pStyle w:val="Heading1"/>
      </w:pPr>
      <w:bookmarkStart w:id="14" w:name="_Toc79572246"/>
      <w:r>
        <w:t xml:space="preserve">3.0 </w:t>
      </w:r>
      <w:r w:rsidRPr="00D41535">
        <w:t>Identified agreed and achievable goals</w:t>
      </w:r>
      <w:bookmarkEnd w:id="14"/>
    </w:p>
    <w:p w14:paraId="28EB8746"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Agreed and achievable goals are often used in stroke rehabilitation and can be used in community hospitals and community settings where the patient is reviewed on a regular basis. Specific, measurable, realistic, achievable and timely personalised goals are to be </w:t>
      </w:r>
      <w:r w:rsidRPr="00D41535">
        <w:rPr>
          <w:rFonts w:asciiTheme="minorHAnsi" w:hAnsiTheme="minorHAnsi" w:cstheme="minorHAnsi"/>
        </w:rPr>
        <w:lastRenderedPageBreak/>
        <w:t>agreed with the stroke survivor if possible (and carer where appropriate</w:t>
      </w:r>
      <w:proofErr w:type="gramStart"/>
      <w:r w:rsidRPr="00D41535">
        <w:rPr>
          <w:rFonts w:asciiTheme="minorHAnsi" w:hAnsiTheme="minorHAnsi" w:cstheme="minorHAnsi"/>
        </w:rPr>
        <w:t>)</w:t>
      </w:r>
      <w:proofErr w:type="gramEnd"/>
      <w:r w:rsidRPr="00D41535">
        <w:rPr>
          <w:rFonts w:asciiTheme="minorHAnsi" w:hAnsiTheme="minorHAnsi" w:cstheme="minorHAnsi"/>
        </w:rPr>
        <w:t xml:space="preserve"> which are reviewed every 4-6 weeks.</w:t>
      </w:r>
      <w:r w:rsidRPr="00D41535">
        <w:rPr>
          <w:rStyle w:val="FootnoteReference"/>
          <w:rFonts w:asciiTheme="minorHAnsi" w:hAnsiTheme="minorHAnsi" w:cstheme="minorHAnsi"/>
        </w:rPr>
        <w:footnoteReference w:id="8"/>
      </w:r>
    </w:p>
    <w:p w14:paraId="6EB149B1"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Goal Attainment Scaling</w:t>
      </w:r>
    </w:p>
    <w:p w14:paraId="2264ED29"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Measurement through GAS was first introduced in the 1960s by </w:t>
      </w:r>
      <w:proofErr w:type="spellStart"/>
      <w:r w:rsidRPr="00D41535">
        <w:rPr>
          <w:rFonts w:asciiTheme="minorHAnsi" w:hAnsiTheme="minorHAnsi" w:cstheme="minorHAnsi"/>
        </w:rPr>
        <w:t>Kirusek</w:t>
      </w:r>
      <w:proofErr w:type="spellEnd"/>
      <w:r w:rsidRPr="00D41535">
        <w:rPr>
          <w:rFonts w:asciiTheme="minorHAnsi" w:hAnsiTheme="minorHAnsi" w:cstheme="minorHAnsi"/>
        </w:rPr>
        <w:t xml:space="preserve"> and Sherman for assessing outcomes in mental health settings. Since </w:t>
      </w:r>
      <w:proofErr w:type="gramStart"/>
      <w:r w:rsidRPr="00D41535">
        <w:rPr>
          <w:rFonts w:asciiTheme="minorHAnsi" w:hAnsiTheme="minorHAnsi" w:cstheme="minorHAnsi"/>
        </w:rPr>
        <w:t>then</w:t>
      </w:r>
      <w:proofErr w:type="gramEnd"/>
      <w:r w:rsidRPr="00D41535">
        <w:rPr>
          <w:rFonts w:asciiTheme="minorHAnsi" w:hAnsiTheme="minorHAnsi" w:cstheme="minorHAnsi"/>
        </w:rPr>
        <w:t xml:space="preserve"> it has been modified and applied in many other areas including: Elderly care settings, Chronic pain, Cognitive rehabilitation, Amputee rehabilitation</w:t>
      </w:r>
      <w:bookmarkStart w:id="15" w:name="_Ref50625573"/>
      <w:r w:rsidRPr="00D41535">
        <w:rPr>
          <w:rFonts w:asciiTheme="minorHAnsi" w:hAnsiTheme="minorHAnsi" w:cstheme="minorHAnsi"/>
        </w:rPr>
        <w:t>.</w:t>
      </w:r>
      <w:r w:rsidRPr="00D41535">
        <w:rPr>
          <w:rStyle w:val="FootnoteReference"/>
          <w:rFonts w:asciiTheme="minorHAnsi" w:hAnsiTheme="minorHAnsi" w:cstheme="minorHAnsi"/>
        </w:rPr>
        <w:footnoteReference w:id="9"/>
      </w:r>
      <w:bookmarkEnd w:id="15"/>
    </w:p>
    <w:p w14:paraId="14EAFA11" w14:textId="5EC29969"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GAS offers </w:t>
      </w:r>
      <w:proofErr w:type="gramStart"/>
      <w:r w:rsidRPr="00D41535">
        <w:rPr>
          <w:rFonts w:asciiTheme="minorHAnsi" w:hAnsiTheme="minorHAnsi" w:cstheme="minorHAnsi"/>
        </w:rPr>
        <w:t>a number of</w:t>
      </w:r>
      <w:proofErr w:type="gramEnd"/>
      <w:r w:rsidRPr="00D41535">
        <w:rPr>
          <w:rFonts w:asciiTheme="minorHAnsi" w:hAnsiTheme="minorHAnsi" w:cstheme="minorHAnsi"/>
        </w:rPr>
        <w:t xml:space="preserve"> potential advantages as an outcome measure for rehabilitation. As </w:t>
      </w:r>
      <w:proofErr w:type="gramStart"/>
      <w:r w:rsidRPr="00D41535">
        <w:rPr>
          <w:rFonts w:asciiTheme="minorHAnsi" w:hAnsiTheme="minorHAnsi" w:cstheme="minorHAnsi"/>
        </w:rPr>
        <w:t>goal-setting</w:t>
      </w:r>
      <w:proofErr w:type="gramEnd"/>
      <w:r w:rsidRPr="00D41535">
        <w:rPr>
          <w:rFonts w:asciiTheme="minorHAnsi" w:hAnsiTheme="minorHAnsi" w:cstheme="minorHAnsi"/>
        </w:rPr>
        <w:t xml:space="preserve"> is already a part of routine clinical practice in many centres, it builds on this already established process to encourage: communication and collaboration and between the multi-disciplinary team members as they meet together for goal-setting and scoring patient involvement - there is emerging evidence that goals are more likely to be achieved if patients are involved in setting them. Moreover, there is also evidence that GAS has positive therapeutic value in encouraging the patients to reach their goals.</w:t>
      </w:r>
      <w:r w:rsidRPr="00D41535">
        <w:rPr>
          <w:rFonts w:asciiTheme="minorHAnsi" w:hAnsiTheme="minorHAnsi" w:cstheme="minorHAnsi"/>
        </w:rPr>
        <w:fldChar w:fldCharType="begin"/>
      </w:r>
      <w:r w:rsidRPr="00D41535">
        <w:rPr>
          <w:rFonts w:asciiTheme="minorHAnsi" w:hAnsiTheme="minorHAnsi" w:cstheme="minorHAnsi"/>
        </w:rPr>
        <w:instrText xml:space="preserve"> NOTEREF _Ref50625573 \f \h  \* MERGEFORMAT </w:instrText>
      </w:r>
      <w:r w:rsidRPr="00D41535">
        <w:rPr>
          <w:rFonts w:asciiTheme="minorHAnsi" w:hAnsiTheme="minorHAnsi" w:cstheme="minorHAnsi"/>
        </w:rPr>
      </w:r>
      <w:r w:rsidRPr="00D41535">
        <w:rPr>
          <w:rFonts w:asciiTheme="minorHAnsi" w:hAnsiTheme="minorHAnsi" w:cstheme="minorHAnsi"/>
        </w:rPr>
        <w:fldChar w:fldCharType="separate"/>
      </w:r>
      <w:r w:rsidRPr="00D41535">
        <w:rPr>
          <w:rStyle w:val="FootnoteReference"/>
          <w:rFonts w:asciiTheme="minorHAnsi" w:hAnsiTheme="minorHAnsi" w:cstheme="minorHAnsi"/>
        </w:rPr>
        <w:t>1</w:t>
      </w:r>
      <w:r w:rsidRPr="00D41535">
        <w:rPr>
          <w:rFonts w:asciiTheme="minorHAnsi" w:hAnsiTheme="minorHAnsi" w:cstheme="minorHAnsi"/>
        </w:rPr>
        <w:fldChar w:fldCharType="end"/>
      </w:r>
    </w:p>
    <w:p w14:paraId="15880C2F"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A theory-based goal setting framework (G-AP) was developed in 2013 to provide a structured approach for goal setting for stroke patients in community hospitals and home rehabilitation.  The G-AP framework includes the 4 following stages:</w:t>
      </w:r>
    </w:p>
    <w:p w14:paraId="1F482EC8" w14:textId="77777777" w:rsidR="00D41535" w:rsidRPr="00D41535" w:rsidRDefault="00D41535" w:rsidP="00D41535">
      <w:pPr>
        <w:pStyle w:val="ListParagraph"/>
        <w:numPr>
          <w:ilvl w:val="0"/>
          <w:numId w:val="3"/>
        </w:numPr>
        <w:rPr>
          <w:rFonts w:cstheme="minorHAnsi"/>
          <w:sz w:val="24"/>
          <w:szCs w:val="24"/>
        </w:rPr>
      </w:pPr>
      <w:r w:rsidRPr="00D41535">
        <w:rPr>
          <w:rFonts w:cstheme="minorHAnsi"/>
          <w:sz w:val="24"/>
          <w:szCs w:val="24"/>
        </w:rPr>
        <w:t xml:space="preserve">Goal negotiation  </w:t>
      </w:r>
    </w:p>
    <w:p w14:paraId="2F3781FA" w14:textId="77777777" w:rsidR="00D41535" w:rsidRPr="00D41535" w:rsidRDefault="00D41535" w:rsidP="00D41535">
      <w:pPr>
        <w:pStyle w:val="ListParagraph"/>
        <w:numPr>
          <w:ilvl w:val="0"/>
          <w:numId w:val="3"/>
        </w:numPr>
        <w:rPr>
          <w:rFonts w:cstheme="minorHAnsi"/>
          <w:sz w:val="24"/>
          <w:szCs w:val="24"/>
        </w:rPr>
      </w:pPr>
      <w:r w:rsidRPr="00D41535">
        <w:rPr>
          <w:rFonts w:cstheme="minorHAnsi"/>
          <w:sz w:val="24"/>
          <w:szCs w:val="24"/>
        </w:rPr>
        <w:t xml:space="preserve">Action plan  </w:t>
      </w:r>
    </w:p>
    <w:p w14:paraId="7F822D0E" w14:textId="77777777" w:rsidR="00D41535" w:rsidRPr="00D41535" w:rsidRDefault="00D41535" w:rsidP="00D41535">
      <w:pPr>
        <w:pStyle w:val="ListParagraph"/>
        <w:numPr>
          <w:ilvl w:val="0"/>
          <w:numId w:val="3"/>
        </w:numPr>
        <w:rPr>
          <w:rFonts w:cstheme="minorHAnsi"/>
          <w:sz w:val="24"/>
          <w:szCs w:val="24"/>
        </w:rPr>
      </w:pPr>
      <w:r w:rsidRPr="00D41535">
        <w:rPr>
          <w:rFonts w:cstheme="minorHAnsi"/>
          <w:sz w:val="24"/>
          <w:szCs w:val="24"/>
        </w:rPr>
        <w:t>Action/Behaviour</w:t>
      </w:r>
    </w:p>
    <w:p w14:paraId="40077F1A" w14:textId="77777777" w:rsidR="00D41535" w:rsidRPr="00D41535" w:rsidRDefault="00D41535" w:rsidP="00D41535">
      <w:pPr>
        <w:pStyle w:val="ListParagraph"/>
        <w:numPr>
          <w:ilvl w:val="0"/>
          <w:numId w:val="3"/>
        </w:numPr>
        <w:rPr>
          <w:rFonts w:cstheme="minorHAnsi"/>
          <w:sz w:val="24"/>
          <w:szCs w:val="24"/>
        </w:rPr>
      </w:pPr>
      <w:r w:rsidRPr="00D41535">
        <w:rPr>
          <w:rFonts w:cstheme="minorHAnsi"/>
          <w:sz w:val="24"/>
          <w:szCs w:val="24"/>
        </w:rPr>
        <w:t>Appraisal/Feedback/Decision making</w:t>
      </w:r>
    </w:p>
    <w:p w14:paraId="7B526604" w14:textId="7E59B31C" w:rsidR="00D41535" w:rsidRPr="00D41535" w:rsidRDefault="00D41535" w:rsidP="00D41535">
      <w:pPr>
        <w:pStyle w:val="Heading1"/>
      </w:pPr>
      <w:bookmarkStart w:id="16" w:name="_Toc79572247"/>
      <w:r>
        <w:t xml:space="preserve">4.0 </w:t>
      </w:r>
      <w:r w:rsidRPr="00D41535">
        <w:t>Mental Health</w:t>
      </w:r>
      <w:bookmarkEnd w:id="16"/>
    </w:p>
    <w:p w14:paraId="2320ADA7"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Mental health and mood can change for patients poststroke. All stroke patients should be assessed for mood disorder with a simple brief standardised measure. Patients with severe symptoms should be considered for referral for specialist assessment and treatment by mental health services.</w:t>
      </w:r>
      <w:r w:rsidRPr="00D41535">
        <w:rPr>
          <w:rStyle w:val="FootnoteReference"/>
          <w:rFonts w:asciiTheme="minorHAnsi" w:hAnsiTheme="minorHAnsi" w:cstheme="minorHAnsi"/>
        </w:rPr>
        <w:footnoteReference w:id="10"/>
      </w:r>
    </w:p>
    <w:p w14:paraId="37B29F6F" w14:textId="77777777" w:rsidR="00D41535" w:rsidRPr="00D41535" w:rsidRDefault="00D41535" w:rsidP="00D41535">
      <w:pPr>
        <w:rPr>
          <w:rFonts w:asciiTheme="minorHAnsi" w:hAnsiTheme="minorHAnsi" w:cstheme="minorHAnsi"/>
        </w:rPr>
      </w:pPr>
      <w:r w:rsidRPr="00D41535">
        <w:rPr>
          <w:rFonts w:asciiTheme="minorHAnsi" w:hAnsiTheme="minorHAnsi" w:cstheme="minorHAnsi"/>
        </w:rPr>
        <w:t xml:space="preserve">The NHS stroke service configuration decision support guide states that staff who carry out </w:t>
      </w:r>
      <w:proofErr w:type="gramStart"/>
      <w:r w:rsidRPr="00D41535">
        <w:rPr>
          <w:rFonts w:asciiTheme="minorHAnsi" w:hAnsiTheme="minorHAnsi" w:cstheme="minorHAnsi"/>
        </w:rPr>
        <w:t>6 week</w:t>
      </w:r>
      <w:proofErr w:type="gramEnd"/>
      <w:r w:rsidRPr="00D41535">
        <w:rPr>
          <w:rFonts w:asciiTheme="minorHAnsi" w:hAnsiTheme="minorHAnsi" w:cstheme="minorHAnsi"/>
        </w:rPr>
        <w:t xml:space="preserve">, 6 month or annual reviews in community settings for stroke survivors should be </w:t>
      </w:r>
      <w:r w:rsidRPr="00D41535">
        <w:rPr>
          <w:rFonts w:asciiTheme="minorHAnsi" w:hAnsiTheme="minorHAnsi" w:cstheme="minorHAnsi"/>
        </w:rPr>
        <w:lastRenderedPageBreak/>
        <w:t xml:space="preserve">aware of the Mental Capacity Act and </w:t>
      </w:r>
      <w:proofErr w:type="spellStart"/>
      <w:r w:rsidRPr="00D41535">
        <w:rPr>
          <w:rFonts w:asciiTheme="minorHAnsi" w:hAnsiTheme="minorHAnsi" w:cstheme="minorHAnsi"/>
        </w:rPr>
        <w:t>it’s</w:t>
      </w:r>
      <w:proofErr w:type="spellEnd"/>
      <w:r w:rsidRPr="00D41535">
        <w:rPr>
          <w:rFonts w:asciiTheme="minorHAnsi" w:hAnsiTheme="minorHAnsi" w:cstheme="minorHAnsi"/>
        </w:rPr>
        <w:t xml:space="preserve"> implications as part of their core education and training.</w:t>
      </w:r>
      <w:r w:rsidRPr="00D41535">
        <w:rPr>
          <w:rStyle w:val="FootnoteReference"/>
          <w:rFonts w:asciiTheme="minorHAnsi" w:hAnsiTheme="minorHAnsi" w:cstheme="minorHAnsi"/>
        </w:rPr>
        <w:footnoteReference w:id="11"/>
      </w:r>
    </w:p>
    <w:p w14:paraId="5A9B2EE7" w14:textId="77777777" w:rsidR="00D41535" w:rsidRPr="003D7A70" w:rsidRDefault="00D41535" w:rsidP="00D41535">
      <w:pPr>
        <w:rPr>
          <w:b/>
          <w:bCs/>
        </w:rPr>
      </w:pPr>
    </w:p>
    <w:p w14:paraId="5FD4DE76" w14:textId="5239431D" w:rsidR="006A0FC7" w:rsidRDefault="006A0FC7" w:rsidP="00C331E1">
      <w:pPr>
        <w:rPr>
          <w:sz w:val="22"/>
          <w:szCs w:val="22"/>
        </w:rPr>
      </w:pPr>
    </w:p>
    <w:p w14:paraId="79D098CE" w14:textId="52831EE8" w:rsidR="00D41535" w:rsidRDefault="00D41535" w:rsidP="00C331E1">
      <w:pPr>
        <w:rPr>
          <w:sz w:val="22"/>
          <w:szCs w:val="22"/>
        </w:rPr>
      </w:pPr>
    </w:p>
    <w:p w14:paraId="0B457EBB" w14:textId="041B7440" w:rsidR="00D41535" w:rsidRDefault="00D41535" w:rsidP="00C331E1">
      <w:pPr>
        <w:rPr>
          <w:sz w:val="22"/>
          <w:szCs w:val="22"/>
        </w:rPr>
      </w:pPr>
    </w:p>
    <w:p w14:paraId="2C476416" w14:textId="49D7799B" w:rsidR="00D41535" w:rsidRDefault="00D41535" w:rsidP="00C331E1">
      <w:pPr>
        <w:rPr>
          <w:sz w:val="22"/>
          <w:szCs w:val="22"/>
        </w:rPr>
      </w:pPr>
    </w:p>
    <w:p w14:paraId="6A611270" w14:textId="290D3871" w:rsidR="00D41535" w:rsidRDefault="00D41535" w:rsidP="00C331E1">
      <w:pPr>
        <w:rPr>
          <w:sz w:val="22"/>
          <w:szCs w:val="22"/>
        </w:rPr>
      </w:pPr>
    </w:p>
    <w:p w14:paraId="7B3B1426" w14:textId="2480F27D" w:rsidR="00D41535" w:rsidRDefault="00D41535" w:rsidP="00C331E1">
      <w:pPr>
        <w:rPr>
          <w:sz w:val="22"/>
          <w:szCs w:val="22"/>
        </w:rPr>
      </w:pPr>
    </w:p>
    <w:p w14:paraId="01E3627B" w14:textId="0B45BD96" w:rsidR="00D41535" w:rsidRDefault="00D41535" w:rsidP="00C331E1">
      <w:pPr>
        <w:rPr>
          <w:sz w:val="22"/>
          <w:szCs w:val="22"/>
        </w:rPr>
      </w:pPr>
    </w:p>
    <w:p w14:paraId="0D86E01D" w14:textId="0A5080FC" w:rsidR="00D41535" w:rsidRDefault="00D41535" w:rsidP="00C331E1">
      <w:pPr>
        <w:rPr>
          <w:sz w:val="22"/>
          <w:szCs w:val="22"/>
        </w:rPr>
      </w:pPr>
    </w:p>
    <w:p w14:paraId="4D710093" w14:textId="032FF25E" w:rsidR="00D41535" w:rsidRDefault="00D41535" w:rsidP="00C331E1">
      <w:pPr>
        <w:rPr>
          <w:sz w:val="22"/>
          <w:szCs w:val="22"/>
        </w:rPr>
      </w:pPr>
    </w:p>
    <w:p w14:paraId="6171AB9B" w14:textId="60D140A3" w:rsidR="00D41535" w:rsidRDefault="00D41535" w:rsidP="00C331E1">
      <w:pPr>
        <w:rPr>
          <w:sz w:val="22"/>
          <w:szCs w:val="22"/>
        </w:rPr>
      </w:pPr>
    </w:p>
    <w:p w14:paraId="56A98A33" w14:textId="4127B054" w:rsidR="00D41535" w:rsidRDefault="00D41535" w:rsidP="00C331E1">
      <w:pPr>
        <w:rPr>
          <w:sz w:val="22"/>
          <w:szCs w:val="22"/>
        </w:rPr>
      </w:pPr>
    </w:p>
    <w:p w14:paraId="2AA44C47" w14:textId="77777777" w:rsidR="00D41535" w:rsidRDefault="00D41535" w:rsidP="00C331E1">
      <w:pPr>
        <w:rPr>
          <w:sz w:val="22"/>
          <w:szCs w:val="22"/>
        </w:rPr>
      </w:pPr>
    </w:p>
    <w:p w14:paraId="27BA0291" w14:textId="77777777" w:rsidR="00B34C53" w:rsidRDefault="00B34C53" w:rsidP="00B34C53">
      <w:pPr>
        <w:spacing w:before="0" w:after="0" w:line="240" w:lineRule="auto"/>
        <w:jc w:val="center"/>
        <w:rPr>
          <w:rFonts w:asciiTheme="minorHAnsi" w:hAnsiTheme="minorHAnsi" w:cstheme="minorHAnsi"/>
          <w:bCs/>
          <w:color w:val="595959" w:themeColor="text1" w:themeTint="A6"/>
          <w:u w:val="single"/>
        </w:rPr>
      </w:pPr>
      <w:r>
        <w:rPr>
          <w:rFonts w:asciiTheme="minorHAnsi" w:hAnsiTheme="minorHAnsi" w:cstheme="minorHAnsi"/>
          <w:bCs/>
          <w:color w:val="595959" w:themeColor="text1" w:themeTint="A6"/>
          <w:u w:val="single"/>
        </w:rPr>
        <w:t xml:space="preserve">Disclaimer </w:t>
      </w:r>
    </w:p>
    <w:p w14:paraId="2601344B" w14:textId="77777777" w:rsidR="00B34C53" w:rsidRDefault="00B34C53" w:rsidP="00B34C53">
      <w:pPr>
        <w:spacing w:before="0" w:after="0" w:line="240" w:lineRule="auto"/>
        <w:rPr>
          <w:rFonts w:asciiTheme="minorHAnsi" w:hAnsiTheme="minorHAnsi" w:cstheme="minorHAnsi"/>
          <w:bCs/>
          <w:color w:val="595959" w:themeColor="text1" w:themeTint="A6"/>
        </w:rPr>
      </w:pPr>
    </w:p>
    <w:p w14:paraId="32F8DB24" w14:textId="3408AE74" w:rsidR="00267D0A" w:rsidRPr="00876EB9" w:rsidRDefault="00B34C53" w:rsidP="00876EB9">
      <w:pPr>
        <w:spacing w:before="0" w:after="0" w:line="240" w:lineRule="auto"/>
        <w:jc w:val="center"/>
        <w:rPr>
          <w:rFonts w:asciiTheme="minorHAnsi" w:hAnsiTheme="minorHAnsi" w:cstheme="minorHAnsi"/>
          <w:bCs/>
          <w:color w:val="595959" w:themeColor="text1" w:themeTint="A6"/>
        </w:rPr>
        <w:sectPr w:rsidR="00267D0A" w:rsidRPr="00876EB9" w:rsidSect="009043C3">
          <w:headerReference w:type="default" r:id="rId14"/>
          <w:footerReference w:type="default" r:id="rId15"/>
          <w:pgSz w:w="11906" w:h="16838"/>
          <w:pgMar w:top="1440" w:right="1440" w:bottom="1440" w:left="1440" w:header="708" w:footer="708" w:gutter="0"/>
          <w:pgNumType w:start="1"/>
          <w:cols w:space="708"/>
          <w:docGrid w:linePitch="360"/>
        </w:sect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r w:rsidR="009B492D">
        <w:rPr>
          <w:rFonts w:ascii="Times New Roman" w:hAnsi="Times New Roman" w:cs="Times New Roman"/>
          <w:color w:val="595959" w:themeColor="text1" w:themeTint="A6"/>
          <w:sz w:val="27"/>
          <w:szCs w:val="27"/>
        </w:rPr>
        <w:t>.</w:t>
      </w:r>
    </w:p>
    <w:p w14:paraId="054EF5B5" w14:textId="77777777" w:rsidR="00C61873" w:rsidRDefault="00C61873" w:rsidP="00C331E1">
      <w:pPr>
        <w:rPr>
          <w:sz w:val="22"/>
          <w:szCs w:val="22"/>
        </w:rPr>
      </w:pPr>
    </w:p>
    <w:sectPr w:rsidR="00C61873"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2900" w14:textId="77777777" w:rsidR="000561A3" w:rsidRDefault="000561A3" w:rsidP="00CE57B9">
      <w:pPr>
        <w:spacing w:after="0" w:line="240" w:lineRule="auto"/>
      </w:pPr>
      <w:r>
        <w:separator/>
      </w:r>
    </w:p>
  </w:endnote>
  <w:endnote w:type="continuationSeparator" w:id="0">
    <w:p w14:paraId="405C9281" w14:textId="77777777" w:rsidR="000561A3" w:rsidRDefault="000561A3"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6F2" w14:textId="77777777" w:rsidR="009B6535" w:rsidRPr="004837FE" w:rsidRDefault="004D47D6" w:rsidP="009B6535">
    <w:pPr>
      <w:spacing w:after="160"/>
      <w:jc w:val="right"/>
      <w:rPr>
        <w:rFonts w:asciiTheme="minorHAnsi" w:hAnsiTheme="minorHAnsi"/>
        <w:b/>
        <w:color w:val="2D7C82"/>
        <w:sz w:val="26"/>
        <w:szCs w:val="26"/>
      </w:rPr>
    </w:pPr>
    <w:r w:rsidRPr="004837FE">
      <w:rPr>
        <w:rFonts w:asciiTheme="minorHAnsi" w:hAnsiTheme="minorHAnsi"/>
        <w:noProof/>
      </w:rPr>
      <w:drawing>
        <wp:anchor distT="0" distB="0" distL="114300" distR="114300" simplePos="0" relativeHeight="251681792" behindDoc="1" locked="0" layoutInCell="1" allowOverlap="1" wp14:anchorId="6EB538C6" wp14:editId="5DA85C32">
          <wp:simplePos x="0" y="0"/>
          <wp:positionH relativeFrom="column">
            <wp:posOffset>-548640</wp:posOffset>
          </wp:positionH>
          <wp:positionV relativeFrom="paragraph">
            <wp:posOffset>-228600</wp:posOffset>
          </wp:positionV>
          <wp:extent cx="7764780" cy="217932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4837FE">
      <w:rPr>
        <w:rFonts w:asciiTheme="minorHAnsi" w:hAnsiTheme="minorHAnsi"/>
        <w:b/>
        <w:noProof/>
        <w:sz w:val="26"/>
        <w:szCs w:val="26"/>
      </w:rPr>
      <mc:AlternateContent>
        <mc:Choice Requires="wps">
          <w:drawing>
            <wp:anchor distT="0" distB="0" distL="114300" distR="114300" simplePos="0" relativeHeight="251630592" behindDoc="0" locked="0" layoutInCell="1" allowOverlap="1" wp14:anchorId="4D2BA490" wp14:editId="1EE5D0D1">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02DFF" id="Straight Connector 22" o:spid="_x0000_s1026" alt="&quot;&quot;"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" strokecolor="#a75585" strokeweight="1pt"/>
          </w:pict>
        </mc:Fallback>
      </mc:AlternateContent>
    </w:r>
    <w:r w:rsidR="009B6535" w:rsidRPr="004837FE">
      <w:rPr>
        <w:rFonts w:asciiTheme="minorHAnsi" w:hAnsiTheme="minorHAnsi"/>
        <w:b/>
        <w:color w:val="2D7C82"/>
        <w:sz w:val="26"/>
        <w:szCs w:val="26"/>
      </w:rPr>
      <w:t>Produced by</w:t>
    </w:r>
  </w:p>
  <w:p w14:paraId="3E7E8D7C" w14:textId="5E7CF09E" w:rsidR="00E35F7C" w:rsidRPr="004837FE" w:rsidRDefault="00B26830" w:rsidP="00A57BA9">
    <w:pPr>
      <w:spacing w:before="0" w:after="0"/>
      <w:jc w:val="right"/>
      <w:rPr>
        <w:rFonts w:asciiTheme="minorHAnsi" w:hAnsiTheme="minorHAnsi"/>
        <w:sz w:val="22"/>
        <w:szCs w:val="22"/>
      </w:rPr>
    </w:pPr>
    <w:r>
      <w:rPr>
        <w:rFonts w:asciiTheme="minorHAnsi" w:hAnsiTheme="minorHAnsi"/>
        <w:sz w:val="22"/>
        <w:szCs w:val="22"/>
      </w:rPr>
      <w:t>Maria Hughes: Public Health Librarian</w:t>
    </w:r>
    <w:r w:rsidR="00E35F7C" w:rsidRPr="004837FE">
      <w:rPr>
        <w:rFonts w:asciiTheme="minorHAnsi" w:hAnsiTheme="minorHAnsi"/>
        <w:sz w:val="22"/>
        <w:szCs w:val="22"/>
      </w:rPr>
      <w:t xml:space="preserve"> (</w:t>
    </w:r>
    <w:hyperlink r:id="rId2" w:history="1">
      <w:r w:rsidRPr="004E6CC6">
        <w:rPr>
          <w:rStyle w:val="Hyperlink"/>
          <w:rFonts w:asciiTheme="minorHAnsi" w:hAnsiTheme="minorHAnsi"/>
          <w:sz w:val="22"/>
          <w:szCs w:val="22"/>
        </w:rPr>
        <w:t>maria.hughes@Kent.gov.uk</w:t>
      </w:r>
    </w:hyperlink>
    <w:r w:rsidR="00E35F7C" w:rsidRPr="004837FE">
      <w:rPr>
        <w:rFonts w:asciiTheme="minorHAnsi" w:hAnsiTheme="minorHAnsi"/>
        <w:sz w:val="22"/>
        <w:szCs w:val="22"/>
      </w:rPr>
      <w:t>)</w:t>
    </w:r>
  </w:p>
  <w:p w14:paraId="6C79CC73" w14:textId="4DAE3FF9" w:rsidR="00E35F7C" w:rsidRPr="004837FE" w:rsidRDefault="006E5018" w:rsidP="00B26830">
    <w:pPr>
      <w:spacing w:before="0" w:after="0"/>
      <w:jc w:val="right"/>
      <w:rPr>
        <w:rFonts w:asciiTheme="minorHAnsi" w:hAnsiTheme="minorHAnsi"/>
      </w:rPr>
    </w:pPr>
    <w:r w:rsidRPr="004837FE">
      <w:rPr>
        <w:rFonts w:asciiTheme="minorHAnsi" w:hAnsiTheme="minorHAnsi"/>
        <w:noProof/>
      </w:rPr>
      <w:drawing>
        <wp:anchor distT="0" distB="0" distL="114300" distR="114300" simplePos="0" relativeHeight="251734016" behindDoc="0" locked="0" layoutInCell="1" allowOverlap="1" wp14:anchorId="415CA004" wp14:editId="7188B5EB">
          <wp:simplePos x="0" y="0"/>
          <wp:positionH relativeFrom="column">
            <wp:posOffset>83820</wp:posOffset>
          </wp:positionH>
          <wp:positionV relativeFrom="paragraph">
            <wp:posOffset>78740</wp:posOffset>
          </wp:positionV>
          <wp:extent cx="1097280" cy="714375"/>
          <wp:effectExtent l="0" t="0" r="762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E35F7C" w:rsidRPr="004837FE">
      <w:rPr>
        <w:rFonts w:asciiTheme="minorHAnsi" w:hAnsiTheme="minorHAnsi"/>
      </w:rPr>
      <w:t xml:space="preserve"> </w:t>
    </w:r>
  </w:p>
  <w:p w14:paraId="17A54D31" w14:textId="77777777" w:rsidR="00AE684F" w:rsidRPr="004837FE" w:rsidRDefault="00AE684F" w:rsidP="00A57BA9">
    <w:pPr>
      <w:spacing w:before="0" w:after="0"/>
      <w:ind w:left="-567"/>
      <w:jc w:val="right"/>
      <w:rPr>
        <w:rFonts w:asciiTheme="minorHAnsi" w:hAnsiTheme="minorHAnsi"/>
        <w:sz w:val="22"/>
        <w:szCs w:val="22"/>
      </w:rPr>
    </w:pPr>
  </w:p>
  <w:p w14:paraId="3B8F1C8E" w14:textId="4C65CB69" w:rsidR="00AE684F" w:rsidRPr="004837FE" w:rsidRDefault="00AE684F" w:rsidP="00B26830">
    <w:pPr>
      <w:spacing w:before="0" w:after="0"/>
      <w:ind w:left="-567"/>
      <w:rPr>
        <w:rFonts w:asciiTheme="minorHAnsi" w:hAnsiTheme="minorHAnsi"/>
        <w:color w:val="2D7C82"/>
        <w:sz w:val="22"/>
        <w:szCs w:val="22"/>
      </w:rPr>
    </w:pPr>
  </w:p>
  <w:p w14:paraId="7C473F8F" w14:textId="567479DC" w:rsidR="009B6535" w:rsidRPr="004837FE" w:rsidRDefault="00AE684F" w:rsidP="00554A21">
    <w:pPr>
      <w:spacing w:before="0" w:after="0"/>
      <w:ind w:left="-567"/>
      <w:jc w:val="right"/>
      <w:rPr>
        <w:rFonts w:asciiTheme="minorHAnsi" w:hAnsiTheme="minorHAnsi"/>
        <w:color w:val="2D7C82"/>
        <w:sz w:val="22"/>
        <w:szCs w:val="22"/>
      </w:rPr>
    </w:pPr>
    <w:r w:rsidRPr="004837FE">
      <w:rPr>
        <w:rFonts w:asciiTheme="minorHAnsi" w:hAnsiTheme="minorHAnsi"/>
        <w:color w:val="2D7C82"/>
        <w:sz w:val="22"/>
        <w:szCs w:val="22"/>
      </w:rPr>
      <w:t xml:space="preserve">Last Updated: </w:t>
    </w:r>
    <w:r w:rsidR="00B26830">
      <w:rPr>
        <w:rFonts w:asciiTheme="minorHAnsi" w:hAnsiTheme="minorHAnsi"/>
        <w:color w:val="2D7C82"/>
        <w:sz w:val="22"/>
        <w:szCs w:val="22"/>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5E4" w14:textId="77777777" w:rsidR="00B34C53" w:rsidRDefault="00B34C5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B6A56E" w14:textId="4862D4FA" w:rsidR="009043C3" w:rsidRPr="004837FE" w:rsidRDefault="009043C3" w:rsidP="004837FE">
    <w:pPr>
      <w:pStyle w:val="Footer"/>
      <w:spacing w:before="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307" w14:textId="77777777" w:rsidR="000561A3" w:rsidRDefault="000561A3" w:rsidP="00CE57B9">
      <w:pPr>
        <w:spacing w:after="0" w:line="240" w:lineRule="auto"/>
      </w:pPr>
      <w:r>
        <w:separator/>
      </w:r>
    </w:p>
  </w:footnote>
  <w:footnote w:type="continuationSeparator" w:id="0">
    <w:p w14:paraId="46F00233" w14:textId="77777777" w:rsidR="000561A3" w:rsidRDefault="000561A3" w:rsidP="00CE57B9">
      <w:pPr>
        <w:spacing w:after="0" w:line="240" w:lineRule="auto"/>
      </w:pPr>
      <w:r>
        <w:continuationSeparator/>
      </w:r>
    </w:p>
  </w:footnote>
  <w:footnote w:id="1">
    <w:p w14:paraId="059C5E49" w14:textId="77777777" w:rsidR="00D41535" w:rsidRDefault="00D41535" w:rsidP="00D41535">
      <w:pPr>
        <w:pStyle w:val="FootnoteText"/>
      </w:pPr>
      <w:r>
        <w:rPr>
          <w:rStyle w:val="FootnoteReference"/>
        </w:rPr>
        <w:footnoteRef/>
      </w:r>
      <w:r>
        <w:t xml:space="preserve"> </w:t>
      </w:r>
      <w:r w:rsidRPr="003D7A70">
        <w:t>de Man-van Ginkel JM, Gooskens F, Schepers VP, Schuurmans MJ, Lindeman E, Hafsteinsdottir TB. Screening for poststroke depression using the patient health questionnaire. Nurs Res. 2012;61:333–341.</w:t>
      </w:r>
    </w:p>
  </w:footnote>
  <w:footnote w:id="2">
    <w:p w14:paraId="5AD9BC82" w14:textId="77777777" w:rsidR="00D41535" w:rsidRDefault="00D41535" w:rsidP="00D41535">
      <w:pPr>
        <w:pStyle w:val="FootnoteText"/>
      </w:pPr>
      <w:r>
        <w:rPr>
          <w:rStyle w:val="FootnoteReference"/>
        </w:rPr>
        <w:footnoteRef/>
      </w:r>
      <w:r>
        <w:t xml:space="preserve"> </w:t>
      </w:r>
      <w:r w:rsidRPr="00D0469E">
        <w:t>Lightbody CE, Baldwin R, Connolly M, Gibbon B, Jawaid N, Leathley M, et al. Can nurses help identify patients with depression following stroke? A pilot study using two methods of detection. J Adv Nurs. 2007;57:505–512.</w:t>
      </w:r>
    </w:p>
  </w:footnote>
  <w:footnote w:id="3">
    <w:p w14:paraId="6E21A496" w14:textId="77777777" w:rsidR="00D41535" w:rsidRDefault="00D41535" w:rsidP="00D41535">
      <w:pPr>
        <w:pStyle w:val="FootnoteText"/>
      </w:pPr>
      <w:r>
        <w:rPr>
          <w:rStyle w:val="FootnoteReference"/>
        </w:rPr>
        <w:footnoteRef/>
      </w:r>
      <w:r>
        <w:t xml:space="preserve"> </w:t>
      </w:r>
      <w:r w:rsidRPr="00D0469E">
        <w:t>de Man-van Ginkel JM, Gooskens F, Schepers VP, Schuurmans MJ, Lindeman E, Hafsteinsdottir TB. Screening for poststroke depression using the patient health questionnaire. Nurs Res. 2012;61:333–341</w:t>
      </w:r>
    </w:p>
  </w:footnote>
  <w:footnote w:id="4">
    <w:p w14:paraId="1BB3F4C6" w14:textId="77777777" w:rsidR="00D41535" w:rsidRDefault="00D41535" w:rsidP="00D41535">
      <w:pPr>
        <w:pStyle w:val="FootnoteText"/>
      </w:pPr>
      <w:r>
        <w:rPr>
          <w:rStyle w:val="FootnoteReference"/>
        </w:rPr>
        <w:footnoteRef/>
      </w:r>
      <w:r>
        <w:t xml:space="preserve"> </w:t>
      </w:r>
      <w:r w:rsidRPr="00D0469E">
        <w:t>Turner A, Hambridge J, White J, Carter G, Clover K, Nelson L, et al. Depression screening in stroke: A comparison of alternative measures with the structured diagnostic interview for the diagnostic and statistical manual of mental disorders, fourth edition (major depressive episode) as criterion standard. Stroke. 2012;43:1000–1005.</w:t>
      </w:r>
    </w:p>
  </w:footnote>
  <w:footnote w:id="5">
    <w:p w14:paraId="61C20128" w14:textId="77777777" w:rsidR="00D41535" w:rsidRDefault="00D41535" w:rsidP="00D41535">
      <w:pPr>
        <w:pStyle w:val="FootnoteText"/>
      </w:pPr>
      <w:r>
        <w:rPr>
          <w:rStyle w:val="FootnoteReference"/>
        </w:rPr>
        <w:footnoteRef/>
      </w:r>
      <w:r>
        <w:t xml:space="preserve"> </w:t>
      </w:r>
      <w:r>
        <w:rPr>
          <w:color w:val="000000"/>
          <w:shd w:val="clear" w:color="auto" w:fill="FFFFFF"/>
        </w:rPr>
        <w:t>Meader N, Moe-Byrne T, Llewellyn A, Mitchell AJ. Screening for poststroke major depression: A meta-analysis of diagnostic validity studies. </w:t>
      </w:r>
      <w:r>
        <w:rPr>
          <w:rStyle w:val="ref-journal"/>
          <w:color w:val="000000"/>
          <w:shd w:val="clear" w:color="auto" w:fill="FFFFFF"/>
        </w:rPr>
        <w:t>J Neurol Neurosurg Psychiatry. </w:t>
      </w:r>
      <w:r>
        <w:rPr>
          <w:color w:val="000000"/>
          <w:shd w:val="clear" w:color="auto" w:fill="FFFFFF"/>
        </w:rPr>
        <w:t>2014;</w:t>
      </w:r>
      <w:r>
        <w:rPr>
          <w:rStyle w:val="ref-vol"/>
          <w:color w:val="000000"/>
          <w:shd w:val="clear" w:color="auto" w:fill="FFFFFF"/>
        </w:rPr>
        <w:t>85</w:t>
      </w:r>
      <w:r>
        <w:rPr>
          <w:color w:val="000000"/>
          <w:shd w:val="clear" w:color="auto" w:fill="FFFFFF"/>
        </w:rPr>
        <w:t>:198–206.</w:t>
      </w:r>
    </w:p>
  </w:footnote>
  <w:footnote w:id="6">
    <w:p w14:paraId="1C8971D5" w14:textId="77777777" w:rsidR="00D41535" w:rsidRDefault="00D41535" w:rsidP="00D41535">
      <w:pPr>
        <w:pStyle w:val="FootnoteText"/>
      </w:pPr>
      <w:r>
        <w:rPr>
          <w:rStyle w:val="FootnoteReference"/>
        </w:rPr>
        <w:footnoteRef/>
      </w:r>
      <w:r>
        <w:t xml:space="preserve"> NHS England (2015) </w:t>
      </w:r>
      <w:r w:rsidRPr="004E18D1">
        <w:rPr>
          <w:i/>
          <w:iCs/>
        </w:rPr>
        <w:t>Stroke Services: Configuration Decision Support Guide</w:t>
      </w:r>
      <w:r>
        <w:rPr>
          <w:i/>
          <w:iCs/>
        </w:rPr>
        <w:t xml:space="preserve"> </w:t>
      </w:r>
      <w:hyperlink r:id="rId1" w:history="1">
        <w:r w:rsidRPr="00953731">
          <w:rPr>
            <w:rStyle w:val="Hyperlink"/>
          </w:rPr>
          <w:t>https://www.england.nhs.uk/mids-east/wp-content/uploads/sites/7/2018/03/stroke-services-configuration-decision-support-guide.pdf</w:t>
        </w:r>
      </w:hyperlink>
      <w:r>
        <w:t xml:space="preserve"> </w:t>
      </w:r>
    </w:p>
  </w:footnote>
  <w:footnote w:id="7">
    <w:p w14:paraId="5FE0BD89" w14:textId="77777777" w:rsidR="00D41535" w:rsidRPr="004B76EA" w:rsidRDefault="00D41535" w:rsidP="00D41535">
      <w:pPr>
        <w:pStyle w:val="FootnoteText"/>
      </w:pPr>
      <w:r>
        <w:rPr>
          <w:rStyle w:val="FootnoteReference"/>
        </w:rPr>
        <w:footnoteRef/>
      </w:r>
      <w:r>
        <w:t xml:space="preserve"> </w:t>
      </w:r>
      <w:r w:rsidRPr="00EF3FF3">
        <w:t xml:space="preserve">Dobrzanska, L. et al (2006) </w:t>
      </w:r>
      <w:r w:rsidRPr="004B76EA">
        <w:rPr>
          <w:i/>
          <w:iCs/>
        </w:rPr>
        <w:t>Stroke rehabilitation in a community hospital</w:t>
      </w:r>
      <w:r>
        <w:rPr>
          <w:i/>
          <w:iCs/>
        </w:rPr>
        <w:t xml:space="preserve"> </w:t>
      </w:r>
      <w:r>
        <w:t xml:space="preserve">Nursing Times </w:t>
      </w:r>
      <w:hyperlink r:id="rId2" w:history="1">
        <w:r w:rsidRPr="00953731">
          <w:rPr>
            <w:rStyle w:val="Hyperlink"/>
          </w:rPr>
          <w:t>https://www.nursingtimes.net/archive/stroke-rehabilitation-in-a-community-hospital-24-10-2006/</w:t>
        </w:r>
      </w:hyperlink>
      <w:r>
        <w:t xml:space="preserve"> </w:t>
      </w:r>
    </w:p>
  </w:footnote>
  <w:footnote w:id="8">
    <w:p w14:paraId="4BD423B6" w14:textId="77777777" w:rsidR="00D41535" w:rsidRPr="00C121C2" w:rsidRDefault="00D41535" w:rsidP="00D41535">
      <w:pPr>
        <w:rPr>
          <w:i/>
          <w:iCs/>
        </w:rPr>
      </w:pPr>
      <w:r>
        <w:rPr>
          <w:rStyle w:val="FootnoteReference"/>
        </w:rPr>
        <w:footnoteRef/>
      </w:r>
      <w:r>
        <w:t xml:space="preserve"> </w:t>
      </w:r>
      <w:r w:rsidRPr="00E366A1">
        <w:rPr>
          <w:i/>
          <w:iCs/>
        </w:rPr>
        <w:t xml:space="preserve">2012/2013 NHS Standard </w:t>
      </w:r>
      <w:r>
        <w:rPr>
          <w:i/>
          <w:iCs/>
        </w:rPr>
        <w:t>C</w:t>
      </w:r>
      <w:r w:rsidRPr="00E366A1">
        <w:rPr>
          <w:i/>
          <w:iCs/>
        </w:rPr>
        <w:t>ontract (multilateral) Section B- The Services</w:t>
      </w:r>
      <w:r>
        <w:rPr>
          <w:i/>
          <w:iCs/>
        </w:rPr>
        <w:t xml:space="preserve"> </w:t>
      </w:r>
      <w:hyperlink r:id="rId3" w:history="1">
        <w:r w:rsidRPr="00953731">
          <w:rPr>
            <w:rStyle w:val="Hyperlink"/>
            <w:i/>
            <w:iCs/>
          </w:rPr>
          <w:t>https://www.england.nhs.uk/midlands/wp-content/uploads/sites/46/2019/05/3-community-stroke-rehab-specification.pdf</w:t>
        </w:r>
      </w:hyperlink>
      <w:r>
        <w:rPr>
          <w:i/>
          <w:iCs/>
        </w:rPr>
        <w:t xml:space="preserve"> </w:t>
      </w:r>
    </w:p>
  </w:footnote>
  <w:footnote w:id="9">
    <w:p w14:paraId="246AC906" w14:textId="77777777" w:rsidR="00D41535" w:rsidRDefault="00D41535" w:rsidP="00D41535">
      <w:pPr>
        <w:pStyle w:val="FootnoteText"/>
      </w:pPr>
      <w:r>
        <w:rPr>
          <w:rStyle w:val="FootnoteReference"/>
        </w:rPr>
        <w:footnoteRef/>
      </w:r>
      <w:r>
        <w:t xml:space="preserve"> Turner-stokes, L. (N.D</w:t>
      </w:r>
      <w:r w:rsidRPr="006505AA">
        <w:rPr>
          <w:i/>
          <w:iCs/>
        </w:rPr>
        <w:t>) Goal Attainment Scaling (GAS) in Rehabilitation: A practical guide</w:t>
      </w:r>
      <w:r>
        <w:t xml:space="preserve"> Kings College London</w:t>
      </w:r>
    </w:p>
  </w:footnote>
  <w:footnote w:id="10">
    <w:p w14:paraId="2FAE9EBB" w14:textId="77777777" w:rsidR="00D41535" w:rsidRPr="00C94483" w:rsidRDefault="00D41535" w:rsidP="00D41535">
      <w:pPr>
        <w:pStyle w:val="FootnoteText"/>
      </w:pPr>
      <w:r>
        <w:rPr>
          <w:rStyle w:val="FootnoteReference"/>
        </w:rPr>
        <w:footnoteRef/>
      </w:r>
      <w:r>
        <w:t xml:space="preserve"> Gillingham, S. et al (2011) </w:t>
      </w:r>
      <w:r>
        <w:rPr>
          <w:i/>
          <w:iCs/>
        </w:rPr>
        <w:t xml:space="preserve">Psychological care after stroke: improving stroke services for people with cognitive and mood disorders </w:t>
      </w:r>
      <w:r>
        <w:t xml:space="preserve">NHS Improvement- Stroke </w:t>
      </w:r>
      <w:hyperlink r:id="rId4" w:history="1">
        <w:r w:rsidRPr="00953731">
          <w:rPr>
            <w:rStyle w:val="Hyperlink"/>
          </w:rPr>
          <w:t>https://www.nice.org.uk/media/default/sharedlearning/531_strokepsychologicalsupportfinal.pdf</w:t>
        </w:r>
      </w:hyperlink>
      <w:r>
        <w:t xml:space="preserve"> </w:t>
      </w:r>
    </w:p>
  </w:footnote>
  <w:footnote w:id="11">
    <w:p w14:paraId="590C4493" w14:textId="77777777" w:rsidR="00D41535" w:rsidRPr="003D7A70" w:rsidRDefault="00D41535" w:rsidP="00D41535">
      <w:pPr>
        <w:pStyle w:val="FootnoteText"/>
      </w:pPr>
      <w:r>
        <w:rPr>
          <w:rStyle w:val="FootnoteReference"/>
        </w:rPr>
        <w:footnoteRef/>
      </w:r>
      <w:r>
        <w:t xml:space="preserve"> NHS </w:t>
      </w:r>
      <w:r>
        <w:rPr>
          <w:i/>
          <w:iCs/>
        </w:rPr>
        <w:t xml:space="preserve">Stroke Services: Configuration decision support guide appendices </w:t>
      </w:r>
      <w:hyperlink r:id="rId5" w:history="1">
        <w:r w:rsidRPr="00953731">
          <w:rPr>
            <w:rStyle w:val="Hyperlink"/>
            <w:i/>
            <w:iCs/>
          </w:rPr>
          <w:t>https://www.england.nhs.uk/mids-east/wp-content/uploads/sites/7/2017/07/configuration-decision-support-guide-appendices-2.pdf</w:t>
        </w:r>
      </w:hyperlink>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AC2" w14:textId="77777777" w:rsidR="00D73D33" w:rsidRDefault="00A72405">
    <w:pPr>
      <w:pStyle w:val="Header"/>
    </w:pPr>
    <w:r>
      <w:rPr>
        <w:b/>
        <w:noProof/>
        <w:color w:val="2D7C82"/>
        <w:sz w:val="36"/>
        <w:szCs w:val="36"/>
      </w:rPr>
      <w:drawing>
        <wp:anchor distT="0" distB="0" distL="114300" distR="114300" simplePos="0" relativeHeight="251669504" behindDoc="1" locked="0" layoutInCell="1" allowOverlap="1" wp14:anchorId="033C8688" wp14:editId="09FFD6EF">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27C"/>
    <w:multiLevelType w:val="hybridMultilevel"/>
    <w:tmpl w:val="E09E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12518"/>
    <w:multiLevelType w:val="hybridMultilevel"/>
    <w:tmpl w:val="14E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15886"/>
    <w:multiLevelType w:val="hybridMultilevel"/>
    <w:tmpl w:val="D7D4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A3"/>
    <w:rsid w:val="00033B54"/>
    <w:rsid w:val="0004540E"/>
    <w:rsid w:val="000561A3"/>
    <w:rsid w:val="00061AFB"/>
    <w:rsid w:val="00065257"/>
    <w:rsid w:val="00086D0D"/>
    <w:rsid w:val="000933D7"/>
    <w:rsid w:val="000D3E21"/>
    <w:rsid w:val="000F1537"/>
    <w:rsid w:val="00115CC8"/>
    <w:rsid w:val="0018716B"/>
    <w:rsid w:val="001A0B13"/>
    <w:rsid w:val="001A5ABE"/>
    <w:rsid w:val="001D63B5"/>
    <w:rsid w:val="001F3FAA"/>
    <w:rsid w:val="00205561"/>
    <w:rsid w:val="00233A98"/>
    <w:rsid w:val="002546F3"/>
    <w:rsid w:val="00267D0A"/>
    <w:rsid w:val="00283CC3"/>
    <w:rsid w:val="00285903"/>
    <w:rsid w:val="002B145F"/>
    <w:rsid w:val="002B5F8C"/>
    <w:rsid w:val="00302727"/>
    <w:rsid w:val="00305B8A"/>
    <w:rsid w:val="00344F4E"/>
    <w:rsid w:val="00387544"/>
    <w:rsid w:val="003B50CC"/>
    <w:rsid w:val="003C347B"/>
    <w:rsid w:val="003F4024"/>
    <w:rsid w:val="00401EC3"/>
    <w:rsid w:val="00403E2E"/>
    <w:rsid w:val="00404127"/>
    <w:rsid w:val="00447BE1"/>
    <w:rsid w:val="004837FE"/>
    <w:rsid w:val="00486699"/>
    <w:rsid w:val="004A343C"/>
    <w:rsid w:val="004C3410"/>
    <w:rsid w:val="004C7DFA"/>
    <w:rsid w:val="004D1D90"/>
    <w:rsid w:val="004D47D6"/>
    <w:rsid w:val="004E7CFF"/>
    <w:rsid w:val="005210CB"/>
    <w:rsid w:val="00533C4C"/>
    <w:rsid w:val="005433A7"/>
    <w:rsid w:val="00554A21"/>
    <w:rsid w:val="00557DBD"/>
    <w:rsid w:val="005D1F7A"/>
    <w:rsid w:val="00613745"/>
    <w:rsid w:val="00621356"/>
    <w:rsid w:val="00650037"/>
    <w:rsid w:val="0066579C"/>
    <w:rsid w:val="00692C96"/>
    <w:rsid w:val="006A0FC7"/>
    <w:rsid w:val="006A60B6"/>
    <w:rsid w:val="006E5018"/>
    <w:rsid w:val="00700B8C"/>
    <w:rsid w:val="00715EA0"/>
    <w:rsid w:val="00727490"/>
    <w:rsid w:val="007A6B99"/>
    <w:rsid w:val="00837100"/>
    <w:rsid w:val="00847C21"/>
    <w:rsid w:val="00866539"/>
    <w:rsid w:val="008755E6"/>
    <w:rsid w:val="00876EB9"/>
    <w:rsid w:val="00882A3D"/>
    <w:rsid w:val="008A0F79"/>
    <w:rsid w:val="008E15E3"/>
    <w:rsid w:val="008E66B3"/>
    <w:rsid w:val="009043C3"/>
    <w:rsid w:val="00915DC0"/>
    <w:rsid w:val="00936D2B"/>
    <w:rsid w:val="0094791C"/>
    <w:rsid w:val="00956E1A"/>
    <w:rsid w:val="009A012F"/>
    <w:rsid w:val="009B492D"/>
    <w:rsid w:val="009B6535"/>
    <w:rsid w:val="009D4927"/>
    <w:rsid w:val="009D4AB0"/>
    <w:rsid w:val="009E22A7"/>
    <w:rsid w:val="009E2DED"/>
    <w:rsid w:val="00A315C3"/>
    <w:rsid w:val="00A34C2C"/>
    <w:rsid w:val="00A40324"/>
    <w:rsid w:val="00A57BA9"/>
    <w:rsid w:val="00A72405"/>
    <w:rsid w:val="00A741D4"/>
    <w:rsid w:val="00A918AD"/>
    <w:rsid w:val="00AB6B07"/>
    <w:rsid w:val="00AC195E"/>
    <w:rsid w:val="00AE2702"/>
    <w:rsid w:val="00AE3DF1"/>
    <w:rsid w:val="00AE684F"/>
    <w:rsid w:val="00B26830"/>
    <w:rsid w:val="00B27DEB"/>
    <w:rsid w:val="00B34C53"/>
    <w:rsid w:val="00B51B2D"/>
    <w:rsid w:val="00B85671"/>
    <w:rsid w:val="00BA09A3"/>
    <w:rsid w:val="00BD7D60"/>
    <w:rsid w:val="00BF0575"/>
    <w:rsid w:val="00C25F86"/>
    <w:rsid w:val="00C331E1"/>
    <w:rsid w:val="00C417C3"/>
    <w:rsid w:val="00C61873"/>
    <w:rsid w:val="00C731E1"/>
    <w:rsid w:val="00C76120"/>
    <w:rsid w:val="00CB23DF"/>
    <w:rsid w:val="00CB267F"/>
    <w:rsid w:val="00CD7BA1"/>
    <w:rsid w:val="00CE57B9"/>
    <w:rsid w:val="00D37CBF"/>
    <w:rsid w:val="00D41535"/>
    <w:rsid w:val="00D54691"/>
    <w:rsid w:val="00D66E71"/>
    <w:rsid w:val="00D67B30"/>
    <w:rsid w:val="00D73D33"/>
    <w:rsid w:val="00D772C3"/>
    <w:rsid w:val="00D86E16"/>
    <w:rsid w:val="00DD4EDC"/>
    <w:rsid w:val="00E306CA"/>
    <w:rsid w:val="00E35F7C"/>
    <w:rsid w:val="00E401CE"/>
    <w:rsid w:val="00E4218B"/>
    <w:rsid w:val="00E45038"/>
    <w:rsid w:val="00E613D7"/>
    <w:rsid w:val="00E7074B"/>
    <w:rsid w:val="00E87DBF"/>
    <w:rsid w:val="00EB088A"/>
    <w:rsid w:val="00EB4A38"/>
    <w:rsid w:val="00EE67B8"/>
    <w:rsid w:val="00F2326E"/>
    <w:rsid w:val="00F50D3E"/>
    <w:rsid w:val="00F65430"/>
    <w:rsid w:val="00F971C0"/>
    <w:rsid w:val="00FB728D"/>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10649"/>
  <w15:docId w15:val="{218028AE-213C-4522-87AC-7F13015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37"/>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D73D33"/>
    <w:pPr>
      <w:keepNext/>
      <w:keepLines/>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3"/>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ascii="Arial" w:eastAsiaTheme="majorEastAsia" w:hAnsi="Arial"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rFonts w:asciiTheme="minorHAnsi" w:hAnsiTheme="minorHAnsi"/>
      <w:b/>
      <w:sz w:val="32"/>
    </w:rPr>
  </w:style>
  <w:style w:type="paragraph" w:styleId="TOC2">
    <w:name w:val="toc 2"/>
    <w:basedOn w:val="Normal"/>
    <w:next w:val="Normal"/>
    <w:autoRedefine/>
    <w:uiPriority w:val="39"/>
    <w:unhideWhenUsed/>
    <w:rsid w:val="00302727"/>
    <w:pPr>
      <w:spacing w:after="100"/>
      <w:ind w:left="240"/>
    </w:pPr>
    <w:rPr>
      <w:rFonts w:asciiTheme="minorHAnsi" w:hAnsiTheme="minorHAnsi"/>
    </w:r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asciiTheme="minorHAnsi" w:hAnsiTheme="minorHAnsi" w:cstheme="minorBidi"/>
      <w:sz w:val="22"/>
      <w:szCs w:val="22"/>
      <w:lang w:val="en-US" w:eastAsia="ja-JP"/>
    </w:rPr>
  </w:style>
  <w:style w:type="character" w:customStyle="1" w:styleId="Heading3Char">
    <w:name w:val="Heading 3 Char"/>
    <w:basedOn w:val="DefaultParagraphFont"/>
    <w:link w:val="Heading3"/>
    <w:uiPriority w:val="9"/>
    <w:rsid w:val="003C347B"/>
    <w:rPr>
      <w:rFonts w:ascii="Arial" w:hAnsi="Arial"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unhideWhenUsed/>
    <w:rsid w:val="001F3FAA"/>
    <w:rPr>
      <w:vertAlign w:val="superscript"/>
    </w:rPr>
  </w:style>
  <w:style w:type="character" w:styleId="UnresolvedMention">
    <w:name w:val="Unresolved Mention"/>
    <w:basedOn w:val="DefaultParagraphFont"/>
    <w:uiPriority w:val="99"/>
    <w:semiHidden/>
    <w:unhideWhenUsed/>
    <w:rsid w:val="00B26830"/>
    <w:rPr>
      <w:color w:val="605E5C"/>
      <w:shd w:val="clear" w:color="auto" w:fill="E1DFDD"/>
    </w:rPr>
  </w:style>
  <w:style w:type="table" w:styleId="PlainTable1">
    <w:name w:val="Plain Table 1"/>
    <w:basedOn w:val="TableNormal"/>
    <w:uiPriority w:val="41"/>
    <w:rsid w:val="00403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34C53"/>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3F4024"/>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ref-journal">
    <w:name w:val="ref-journal"/>
    <w:basedOn w:val="DefaultParagraphFont"/>
    <w:rsid w:val="00D41535"/>
  </w:style>
  <w:style w:type="character" w:customStyle="1" w:styleId="ref-vol">
    <w:name w:val="ref-vol"/>
    <w:basedOn w:val="DefaultParagraphFont"/>
    <w:rsid w:val="00D4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893">
      <w:bodyDiv w:val="1"/>
      <w:marLeft w:val="0"/>
      <w:marRight w:val="0"/>
      <w:marTop w:val="0"/>
      <w:marBottom w:val="0"/>
      <w:divBdr>
        <w:top w:val="none" w:sz="0" w:space="0" w:color="auto"/>
        <w:left w:val="none" w:sz="0" w:space="0" w:color="auto"/>
        <w:bottom w:val="none" w:sz="0" w:space="0" w:color="auto"/>
        <w:right w:val="none" w:sz="0" w:space="0" w:color="auto"/>
      </w:divBdr>
    </w:div>
    <w:div w:id="133136109">
      <w:bodyDiv w:val="1"/>
      <w:marLeft w:val="0"/>
      <w:marRight w:val="0"/>
      <w:marTop w:val="0"/>
      <w:marBottom w:val="0"/>
      <w:divBdr>
        <w:top w:val="none" w:sz="0" w:space="0" w:color="auto"/>
        <w:left w:val="none" w:sz="0" w:space="0" w:color="auto"/>
        <w:bottom w:val="none" w:sz="0" w:space="0" w:color="auto"/>
        <w:right w:val="none" w:sz="0" w:space="0" w:color="auto"/>
      </w:divBdr>
    </w:div>
    <w:div w:id="173611669">
      <w:bodyDiv w:val="1"/>
      <w:marLeft w:val="0"/>
      <w:marRight w:val="0"/>
      <w:marTop w:val="0"/>
      <w:marBottom w:val="0"/>
      <w:divBdr>
        <w:top w:val="none" w:sz="0" w:space="0" w:color="auto"/>
        <w:left w:val="none" w:sz="0" w:space="0" w:color="auto"/>
        <w:bottom w:val="none" w:sz="0" w:space="0" w:color="auto"/>
        <w:right w:val="none" w:sz="0" w:space="0" w:color="auto"/>
      </w:divBdr>
    </w:div>
    <w:div w:id="493421348">
      <w:bodyDiv w:val="1"/>
      <w:marLeft w:val="0"/>
      <w:marRight w:val="0"/>
      <w:marTop w:val="0"/>
      <w:marBottom w:val="0"/>
      <w:divBdr>
        <w:top w:val="none" w:sz="0" w:space="0" w:color="auto"/>
        <w:left w:val="none" w:sz="0" w:space="0" w:color="auto"/>
        <w:bottom w:val="none" w:sz="0" w:space="0" w:color="auto"/>
        <w:right w:val="none" w:sz="0" w:space="0" w:color="auto"/>
      </w:divBdr>
    </w:div>
    <w:div w:id="19074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maria.hughes@Kent.gov.uk"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midlands/wp-content/uploads/sites/46/2019/05/3-community-stroke-rehab-specification.pdf" TargetMode="External"/><Relationship Id="rId2" Type="http://schemas.openxmlformats.org/officeDocument/2006/relationships/hyperlink" Target="https://www.nursingtimes.net/archive/stroke-rehabilitation-in-a-community-hospital-24-10-2006/" TargetMode="External"/><Relationship Id="rId1" Type="http://schemas.openxmlformats.org/officeDocument/2006/relationships/hyperlink" Target="https://www.england.nhs.uk/mids-east/wp-content/uploads/sites/7/2018/03/stroke-services-configuration-decision-support-guide.pdf" TargetMode="External"/><Relationship Id="rId5" Type="http://schemas.openxmlformats.org/officeDocument/2006/relationships/hyperlink" Target="https://www.england.nhs.uk/mids-east/wp-content/uploads/sites/7/2017/07/configuration-decision-support-guide-appendices-2.pdf" TargetMode="External"/><Relationship Id="rId4" Type="http://schemas.openxmlformats.org/officeDocument/2006/relationships/hyperlink" Target="https://www.nice.org.uk/media/default/sharedlearning/531_strokepsychologicalsuppor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9ACB-3092-419D-AF09-D2C0D85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1229</Words>
  <Characters>7010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 Jill - BSS Public Health</dc:creator>
  <cp:lastModifiedBy>Matthew Pateman - ST SC</cp:lastModifiedBy>
  <cp:revision>2</cp:revision>
  <cp:lastPrinted>2015-09-16T13:17:00Z</cp:lastPrinted>
  <dcterms:created xsi:type="dcterms:W3CDTF">2021-09-03T15:51:00Z</dcterms:created>
  <dcterms:modified xsi:type="dcterms:W3CDTF">2021-09-03T15:51:00Z</dcterms:modified>
</cp:coreProperties>
</file>