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6D661D" w14:textId="77777777" w:rsidR="00956E1A" w:rsidRDefault="00447BE1" w:rsidP="00B85671">
      <w:bookmarkStart w:id="0" w:name="_Hlk128127491"/>
      <w:bookmarkEnd w:id="0"/>
      <w:r>
        <w:rPr>
          <w:noProof/>
        </w:rPr>
        <w:drawing>
          <wp:anchor distT="0" distB="0" distL="114300" distR="114300" simplePos="0" relativeHeight="251658240" behindDoc="1" locked="0" layoutInCell="1" allowOverlap="1" wp14:anchorId="0C3C80B5" wp14:editId="603827BD">
            <wp:simplePos x="0" y="0"/>
            <wp:positionH relativeFrom="column">
              <wp:posOffset>-22860</wp:posOffset>
            </wp:positionH>
            <wp:positionV relativeFrom="paragraph">
              <wp:posOffset>-55880</wp:posOffset>
            </wp:positionV>
            <wp:extent cx="6781800" cy="3078480"/>
            <wp:effectExtent l="0" t="0" r="0" b="762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781800" cy="30784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2" behindDoc="0" locked="0" layoutInCell="1" allowOverlap="1" wp14:anchorId="296C7E43" wp14:editId="1AD61024">
            <wp:simplePos x="0" y="0"/>
            <wp:positionH relativeFrom="column">
              <wp:posOffset>411480</wp:posOffset>
            </wp:positionH>
            <wp:positionV relativeFrom="paragraph">
              <wp:posOffset>-152400</wp:posOffset>
            </wp:positionV>
            <wp:extent cx="2286000" cy="548640"/>
            <wp:effectExtent l="0" t="0" r="0" b="3810"/>
            <wp:wrapNone/>
            <wp:docPr id="4" name="Picture 4">
              <a:hlinkClick xmlns:a="http://schemas.openxmlformats.org/drawingml/2006/main" r:id="rId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hlinkClick r:id="rId12"/>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2286000" cy="5486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74A32FBB" wp14:editId="2135F7D7">
            <wp:simplePos x="0" y="0"/>
            <wp:positionH relativeFrom="column">
              <wp:posOffset>83820</wp:posOffset>
            </wp:positionH>
            <wp:positionV relativeFrom="paragraph">
              <wp:posOffset>-350520</wp:posOffset>
            </wp:positionV>
            <wp:extent cx="6633845" cy="126492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6633845" cy="1264920"/>
                    </a:xfrm>
                    <a:prstGeom prst="rect">
                      <a:avLst/>
                    </a:prstGeom>
                  </pic:spPr>
                </pic:pic>
              </a:graphicData>
            </a:graphic>
            <wp14:sizeRelH relativeFrom="page">
              <wp14:pctWidth>0</wp14:pctWidth>
            </wp14:sizeRelH>
            <wp14:sizeRelV relativeFrom="page">
              <wp14:pctHeight>0</wp14:pctHeight>
            </wp14:sizeRelV>
          </wp:anchor>
        </w:drawing>
      </w:r>
    </w:p>
    <w:p w14:paraId="73F32147" w14:textId="77777777" w:rsidR="00956E1A" w:rsidRDefault="00956E1A" w:rsidP="00B85671"/>
    <w:p w14:paraId="51508A37" w14:textId="77777777" w:rsidR="00956E1A" w:rsidRDefault="00956E1A" w:rsidP="00B85671"/>
    <w:p w14:paraId="19D34FB4" w14:textId="77777777" w:rsidR="00956E1A" w:rsidRDefault="00956E1A" w:rsidP="00B85671"/>
    <w:p w14:paraId="5AA55932" w14:textId="77777777" w:rsidR="00956E1A" w:rsidRDefault="00956E1A" w:rsidP="00B85671"/>
    <w:p w14:paraId="145BC4D5" w14:textId="77777777" w:rsidR="00956E1A" w:rsidRDefault="00956E1A" w:rsidP="00B85671"/>
    <w:p w14:paraId="1F9AE7E9" w14:textId="77777777" w:rsidR="00956E1A" w:rsidRDefault="00956E1A" w:rsidP="00B85671"/>
    <w:p w14:paraId="14BFA8E5" w14:textId="77777777" w:rsidR="00956E1A" w:rsidRDefault="00956E1A" w:rsidP="00B85671"/>
    <w:p w14:paraId="17BF051A" w14:textId="77777777" w:rsidR="00956E1A" w:rsidRDefault="00956E1A" w:rsidP="00956E1A"/>
    <w:p w14:paraId="16337ADC" w14:textId="77777777" w:rsidR="00EE67B8" w:rsidRDefault="00EE67B8" w:rsidP="00EE67B8">
      <w:pPr>
        <w:spacing w:after="0"/>
        <w:jc w:val="center"/>
        <w:rPr>
          <w:b/>
          <w:color w:val="2D7C82"/>
          <w:sz w:val="48"/>
          <w:szCs w:val="48"/>
        </w:rPr>
      </w:pPr>
    </w:p>
    <w:p w14:paraId="4FFCF72E" w14:textId="77777777" w:rsidR="00692C96" w:rsidRDefault="00692C96" w:rsidP="00692C96">
      <w:pPr>
        <w:rPr>
          <w:b/>
          <w:color w:val="2D7C82"/>
          <w:sz w:val="48"/>
          <w:szCs w:val="48"/>
        </w:rPr>
      </w:pPr>
    </w:p>
    <w:p w14:paraId="36A36E76" w14:textId="77777777" w:rsidR="00F2326E" w:rsidRPr="00692C96" w:rsidRDefault="001A5ABE" w:rsidP="009B6535">
      <w:pPr>
        <w:rPr>
          <w:b/>
          <w:color w:val="2D7C82"/>
          <w:sz w:val="40"/>
          <w:szCs w:val="48"/>
        </w:rPr>
      </w:pPr>
      <w:r w:rsidRPr="00621356">
        <w:rPr>
          <w:noProof/>
          <w:sz w:val="22"/>
          <w:szCs w:val="22"/>
        </w:rPr>
        <mc:AlternateContent>
          <mc:Choice Requires="wps">
            <w:drawing>
              <wp:inline distT="0" distB="0" distL="0" distR="0" wp14:anchorId="2E7C67CA" wp14:editId="12B47C03">
                <wp:extent cx="6835140" cy="1160145"/>
                <wp:effectExtent l="0" t="0" r="0" b="508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140" cy="1160145"/>
                        </a:xfrm>
                        <a:prstGeom prst="rect">
                          <a:avLst/>
                        </a:prstGeom>
                        <a:noFill/>
                        <a:ln w="9525">
                          <a:noFill/>
                          <a:miter lim="800000"/>
                          <a:headEnd/>
                          <a:tailEnd/>
                        </a:ln>
                      </wps:spPr>
                      <wps:txbx>
                        <w:txbxContent>
                          <w:p w14:paraId="491F2AAC" w14:textId="3713F611" w:rsidR="00E87DBF" w:rsidRPr="004837FE" w:rsidRDefault="00F27D34" w:rsidP="00621356">
                            <w:pPr>
                              <w:jc w:val="center"/>
                            </w:pPr>
                            <w:r>
                              <w:rPr>
                                <w:b/>
                                <w:color w:val="2D7C82"/>
                                <w:sz w:val="48"/>
                                <w:szCs w:val="48"/>
                              </w:rPr>
                              <w:t>West Kent Needs Assessment</w:t>
                            </w:r>
                          </w:p>
                        </w:txbxContent>
                      </wps:txbx>
                      <wps:bodyPr rot="0" vert="horz" wrap="square" lIns="91440" tIns="45720" rIns="91440" bIns="45720" anchor="t" anchorCtr="0">
                        <a:spAutoFit/>
                      </wps:bodyPr>
                    </wps:wsp>
                  </a:graphicData>
                </a:graphic>
              </wp:inline>
            </w:drawing>
          </mc:Choice>
          <mc:Fallback>
            <w:pict>
              <v:shapetype w14:anchorId="2E7C67CA" id="_x0000_t202" coordsize="21600,21600" o:spt="202" path="m,l,21600r21600,l21600,xe">
                <v:stroke joinstyle="miter"/>
                <v:path gradientshapeok="t" o:connecttype="rect"/>
              </v:shapetype>
              <v:shape id="Text Box 2" o:spid="_x0000_s1026" type="#_x0000_t202" style="width:538.2pt;height:9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" filled="f" stroked="f">
                <v:textbox style="mso-fit-shape-to-text:t">
                  <w:txbxContent>
                    <w:p w14:paraId="491F2AAC" w14:textId="3713F611" w:rsidR="00E87DBF" w:rsidRPr="004837FE" w:rsidRDefault="00F27D34" w:rsidP="00621356">
                      <w:pPr>
                        <w:jc w:val="center"/>
                      </w:pPr>
                      <w:r>
                        <w:rPr>
                          <w:b/>
                          <w:color w:val="2D7C82"/>
                          <w:sz w:val="48"/>
                          <w:szCs w:val="48"/>
                        </w:rPr>
                        <w:t>West Kent Needs Assessment</w:t>
                      </w:r>
                    </w:p>
                  </w:txbxContent>
                </v:textbox>
                <w10:anchorlock/>
              </v:shape>
            </w:pict>
          </mc:Fallback>
        </mc:AlternateContent>
      </w:r>
    </w:p>
    <w:p w14:paraId="36D17B09" w14:textId="77777777" w:rsidR="00F2326E" w:rsidRDefault="00F2326E" w:rsidP="00956E1A">
      <w:pPr>
        <w:jc w:val="center"/>
        <w:rPr>
          <w:b/>
          <w:color w:val="2D7C82"/>
          <w:sz w:val="48"/>
          <w:szCs w:val="48"/>
        </w:rPr>
      </w:pPr>
    </w:p>
    <w:p w14:paraId="1D69DDC4" w14:textId="77777777" w:rsidR="005433A7" w:rsidRDefault="005433A7" w:rsidP="00956E1A">
      <w:pPr>
        <w:jc w:val="center"/>
        <w:rPr>
          <w:b/>
          <w:color w:val="2D7C82"/>
          <w:sz w:val="48"/>
          <w:szCs w:val="48"/>
        </w:rPr>
      </w:pPr>
    </w:p>
    <w:p w14:paraId="016D6559" w14:textId="77777777" w:rsidR="005433A7" w:rsidRDefault="001A5ABE" w:rsidP="00956E1A">
      <w:pPr>
        <w:jc w:val="center"/>
        <w:rPr>
          <w:b/>
          <w:color w:val="2D7C82"/>
          <w:sz w:val="48"/>
          <w:szCs w:val="48"/>
        </w:rPr>
      </w:pPr>
      <w:r w:rsidRPr="00621356">
        <w:rPr>
          <w:noProof/>
          <w:sz w:val="22"/>
          <w:szCs w:val="22"/>
        </w:rPr>
        <mc:AlternateContent>
          <mc:Choice Requires="wps">
            <w:drawing>
              <wp:inline distT="0" distB="0" distL="0" distR="0" wp14:anchorId="11A9D787" wp14:editId="57474568">
                <wp:extent cx="6835140" cy="495300"/>
                <wp:effectExtent l="0" t="0" r="0" b="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140" cy="495300"/>
                        </a:xfrm>
                        <a:prstGeom prst="rect">
                          <a:avLst/>
                        </a:prstGeom>
                        <a:noFill/>
                        <a:ln w="9525">
                          <a:noFill/>
                          <a:miter lim="800000"/>
                          <a:headEnd/>
                          <a:tailEnd/>
                        </a:ln>
                      </wps:spPr>
                      <wps:txbx>
                        <w:txbxContent>
                          <w:p w14:paraId="767DAEC2" w14:textId="0BE811D7" w:rsidR="009B6535" w:rsidRPr="004837FE" w:rsidRDefault="00E40EE9" w:rsidP="009B6535">
                            <w:pPr>
                              <w:jc w:val="center"/>
                              <w:rPr>
                                <w:b/>
                                <w:color w:val="2D7C82"/>
                                <w:sz w:val="40"/>
                                <w:szCs w:val="48"/>
                              </w:rPr>
                            </w:pPr>
                            <w:r>
                              <w:rPr>
                                <w:b/>
                                <w:color w:val="2D7C82"/>
                                <w:sz w:val="40"/>
                                <w:szCs w:val="48"/>
                              </w:rPr>
                              <w:t>Ma</w:t>
                            </w:r>
                            <w:r w:rsidR="001B0411">
                              <w:rPr>
                                <w:b/>
                                <w:color w:val="2D7C82"/>
                                <w:sz w:val="40"/>
                                <w:szCs w:val="48"/>
                              </w:rPr>
                              <w:t>y</w:t>
                            </w:r>
                            <w:r w:rsidR="00DF043B">
                              <w:rPr>
                                <w:b/>
                                <w:color w:val="2D7C82"/>
                                <w:sz w:val="40"/>
                                <w:szCs w:val="48"/>
                              </w:rPr>
                              <w:t xml:space="preserve"> 2023</w:t>
                            </w:r>
                          </w:p>
                          <w:p w14:paraId="4EA64E00" w14:textId="77777777" w:rsidR="009B6535" w:rsidRPr="004837FE" w:rsidRDefault="009B6535" w:rsidP="009B6535">
                            <w:pPr>
                              <w:jc w:val="center"/>
                            </w:pPr>
                          </w:p>
                        </w:txbxContent>
                      </wps:txbx>
                      <wps:bodyPr rot="0" vert="horz" wrap="square" lIns="91440" tIns="45720" rIns="91440" bIns="45720" anchor="t" anchorCtr="0">
                        <a:noAutofit/>
                      </wps:bodyPr>
                    </wps:wsp>
                  </a:graphicData>
                </a:graphic>
              </wp:inline>
            </w:drawing>
          </mc:Choice>
          <mc:Fallback>
            <w:pict>
              <v:shape w14:anchorId="11A9D787" id="_x0000_s1027" type="#_x0000_t202" style="width:538.2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" filled="f" stroked="f">
                <v:textbox>
                  <w:txbxContent>
                    <w:p w14:paraId="767DAEC2" w14:textId="0BE811D7" w:rsidR="009B6535" w:rsidRPr="004837FE" w:rsidRDefault="00E40EE9" w:rsidP="009B6535">
                      <w:pPr>
                        <w:jc w:val="center"/>
                        <w:rPr>
                          <w:b/>
                          <w:color w:val="2D7C82"/>
                          <w:sz w:val="40"/>
                          <w:szCs w:val="48"/>
                        </w:rPr>
                      </w:pPr>
                      <w:r>
                        <w:rPr>
                          <w:b/>
                          <w:color w:val="2D7C82"/>
                          <w:sz w:val="40"/>
                          <w:szCs w:val="48"/>
                        </w:rPr>
                        <w:t>Ma</w:t>
                      </w:r>
                      <w:r w:rsidR="001B0411">
                        <w:rPr>
                          <w:b/>
                          <w:color w:val="2D7C82"/>
                          <w:sz w:val="40"/>
                          <w:szCs w:val="48"/>
                        </w:rPr>
                        <w:t>y</w:t>
                      </w:r>
                      <w:r w:rsidR="00DF043B">
                        <w:rPr>
                          <w:b/>
                          <w:color w:val="2D7C82"/>
                          <w:sz w:val="40"/>
                          <w:szCs w:val="48"/>
                        </w:rPr>
                        <w:t xml:space="preserve"> 2023</w:t>
                      </w:r>
                    </w:p>
                    <w:p w14:paraId="4EA64E00" w14:textId="77777777" w:rsidR="009B6535" w:rsidRPr="004837FE" w:rsidRDefault="009B6535" w:rsidP="009B6535">
                      <w:pPr>
                        <w:jc w:val="center"/>
                      </w:pPr>
                    </w:p>
                  </w:txbxContent>
                </v:textbox>
                <w10:anchorlock/>
              </v:shape>
            </w:pict>
          </mc:Fallback>
        </mc:AlternateContent>
      </w:r>
    </w:p>
    <w:p w14:paraId="5CD5C333" w14:textId="77777777" w:rsidR="005433A7" w:rsidRDefault="001A5ABE" w:rsidP="005433A7">
      <w:pPr>
        <w:jc w:val="right"/>
        <w:rPr>
          <w:b/>
          <w:color w:val="2D7C82"/>
          <w:sz w:val="26"/>
          <w:szCs w:val="26"/>
        </w:rPr>
      </w:pPr>
      <w:r>
        <w:rPr>
          <w:noProof/>
        </w:rPr>
        <w:drawing>
          <wp:anchor distT="0" distB="0" distL="114300" distR="114300" simplePos="0" relativeHeight="251658243" behindDoc="0" locked="0" layoutInCell="1" allowOverlap="1" wp14:anchorId="0634F156" wp14:editId="2E71C6E0">
            <wp:simplePos x="0" y="0"/>
            <wp:positionH relativeFrom="column">
              <wp:posOffset>3044190</wp:posOffset>
            </wp:positionH>
            <wp:positionV relativeFrom="paragraph">
              <wp:posOffset>226695</wp:posOffset>
            </wp:positionV>
            <wp:extent cx="647700" cy="731520"/>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647700" cy="731520"/>
                    </a:xfrm>
                    <a:prstGeom prst="rect">
                      <a:avLst/>
                    </a:prstGeom>
                  </pic:spPr>
                </pic:pic>
              </a:graphicData>
            </a:graphic>
            <wp14:sizeRelH relativeFrom="page">
              <wp14:pctWidth>0</wp14:pctWidth>
            </wp14:sizeRelH>
            <wp14:sizeRelV relativeFrom="page">
              <wp14:pctHeight>0</wp14:pctHeight>
            </wp14:sizeRelV>
          </wp:anchor>
        </w:drawing>
      </w:r>
    </w:p>
    <w:p w14:paraId="0FAE5A64" w14:textId="77777777" w:rsidR="00F2326E" w:rsidRDefault="00F2326E" w:rsidP="00F2326E"/>
    <w:p w14:paraId="2ECE6B9F" w14:textId="77777777" w:rsidR="00AE684F" w:rsidRDefault="00AE684F" w:rsidP="00F2326E"/>
    <w:p w14:paraId="40037C91" w14:textId="77777777" w:rsidR="00F2326E" w:rsidRDefault="00F2326E" w:rsidP="00F2326E"/>
    <w:p w14:paraId="60CE9D4B" w14:textId="77777777" w:rsidR="00C26D32" w:rsidRPr="00C26D32" w:rsidRDefault="00CE57B9" w:rsidP="00302727">
      <w:pPr>
        <w:sectPr w:rsidR="00C26D32" w:rsidRPr="00C26D32" w:rsidSect="00C26D32">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440" w:left="737" w:header="709" w:footer="709" w:gutter="0"/>
          <w:pgNumType w:start="1"/>
          <w:cols w:space="708"/>
          <w:titlePg/>
          <w:docGrid w:linePitch="360"/>
        </w:sectPr>
      </w:pPr>
      <w:r>
        <w:lastRenderedPageBreak/>
        <w:br w:type="page"/>
      </w:r>
    </w:p>
    <w:p w14:paraId="71751F2F" w14:textId="77777777" w:rsidR="00302727" w:rsidRPr="008A0F79" w:rsidRDefault="00302727" w:rsidP="00302727">
      <w:pPr>
        <w:rPr>
          <w:b/>
          <w:vanish/>
          <w:sz w:val="36"/>
          <w:szCs w:val="36"/>
          <w:specVanish/>
        </w:rPr>
      </w:pPr>
      <w:r w:rsidRPr="008A0F79">
        <w:rPr>
          <w:b/>
          <w:color w:val="2D7C82"/>
          <w:sz w:val="36"/>
          <w:szCs w:val="36"/>
        </w:rPr>
        <w:lastRenderedPageBreak/>
        <w:t>|</w:t>
      </w:r>
      <w:r w:rsidRPr="008A0F79">
        <w:rPr>
          <w:b/>
          <w:sz w:val="36"/>
          <w:szCs w:val="36"/>
        </w:rPr>
        <w:t xml:space="preserve"> </w:t>
      </w:r>
    </w:p>
    <w:p w14:paraId="73E5F1B8" w14:textId="77777777" w:rsidR="00CE1739" w:rsidRDefault="00302727" w:rsidP="0055383B">
      <w:pPr>
        <w:pStyle w:val="TOC1"/>
        <w:rPr>
          <w:noProof/>
        </w:rPr>
      </w:pPr>
      <w:r w:rsidRPr="008A0F79">
        <w:t xml:space="preserve"> </w:t>
      </w:r>
      <w:r>
        <w:t>Contents</w:t>
      </w:r>
      <w:r>
        <w:rPr>
          <w:color w:val="2D7C82"/>
          <w:sz w:val="48"/>
          <w:szCs w:val="48"/>
        </w:rPr>
        <w:fldChar w:fldCharType="begin"/>
      </w:r>
      <w:r>
        <w:rPr>
          <w:color w:val="2D7C82"/>
          <w:sz w:val="48"/>
          <w:szCs w:val="48"/>
        </w:rPr>
        <w:instrText xml:space="preserve"> TOC \o "1-3" \h \z \u </w:instrText>
      </w:r>
      <w:r>
        <w:rPr>
          <w:color w:val="2D7C82"/>
          <w:sz w:val="48"/>
          <w:szCs w:val="48"/>
        </w:rPr>
        <w:fldChar w:fldCharType="separate"/>
      </w:r>
    </w:p>
    <w:p w14:paraId="3D18AFD2" w14:textId="7B5D4806" w:rsidR="00CE1739" w:rsidRDefault="009C6DE5">
      <w:pPr>
        <w:pStyle w:val="TOC1"/>
        <w:tabs>
          <w:tab w:val="left" w:pos="440"/>
          <w:tab w:val="right" w:leader="dot" w:pos="9016"/>
        </w:tabs>
        <w:rPr>
          <w:rFonts w:cstheme="minorBidi"/>
          <w:b w:val="0"/>
          <w:noProof/>
          <w:sz w:val="22"/>
          <w:szCs w:val="22"/>
        </w:rPr>
      </w:pPr>
      <w:hyperlink w:anchor="_Toc128133789" w:history="1">
        <w:r w:rsidR="00CE1739" w:rsidRPr="001C00A6">
          <w:rPr>
            <w:rStyle w:val="Hyperlink"/>
            <w:noProof/>
          </w:rPr>
          <w:t>1</w:t>
        </w:r>
        <w:r w:rsidR="00CE1739">
          <w:rPr>
            <w:rFonts w:cstheme="minorBidi"/>
            <w:b w:val="0"/>
            <w:noProof/>
            <w:sz w:val="22"/>
            <w:szCs w:val="22"/>
          </w:rPr>
          <w:tab/>
        </w:r>
        <w:r w:rsidR="00CE1739" w:rsidRPr="001C00A6">
          <w:rPr>
            <w:rStyle w:val="Hyperlink"/>
            <w:noProof/>
          </w:rPr>
          <w:t>Executive Summary</w:t>
        </w:r>
        <w:r w:rsidR="00CE1739">
          <w:rPr>
            <w:noProof/>
            <w:webHidden/>
          </w:rPr>
          <w:tab/>
        </w:r>
        <w:r w:rsidR="00CE1739">
          <w:rPr>
            <w:noProof/>
            <w:webHidden/>
          </w:rPr>
          <w:fldChar w:fldCharType="begin"/>
        </w:r>
        <w:r w:rsidR="00CE1739">
          <w:rPr>
            <w:noProof/>
            <w:webHidden/>
          </w:rPr>
          <w:instrText xml:space="preserve"> PAGEREF _Toc128133789 \h </w:instrText>
        </w:r>
        <w:r w:rsidR="00CE1739">
          <w:rPr>
            <w:noProof/>
            <w:webHidden/>
          </w:rPr>
        </w:r>
        <w:r w:rsidR="00CE1739">
          <w:rPr>
            <w:noProof/>
            <w:webHidden/>
          </w:rPr>
          <w:fldChar w:fldCharType="separate"/>
        </w:r>
        <w:r w:rsidR="00AC79E0">
          <w:rPr>
            <w:noProof/>
            <w:webHidden/>
          </w:rPr>
          <w:t>8</w:t>
        </w:r>
        <w:r w:rsidR="00CE1739">
          <w:rPr>
            <w:noProof/>
            <w:webHidden/>
          </w:rPr>
          <w:fldChar w:fldCharType="end"/>
        </w:r>
      </w:hyperlink>
    </w:p>
    <w:p w14:paraId="771DEE6B" w14:textId="30C79745" w:rsidR="00CE1739" w:rsidRDefault="009C6DE5">
      <w:pPr>
        <w:pStyle w:val="TOC2"/>
        <w:tabs>
          <w:tab w:val="left" w:pos="880"/>
          <w:tab w:val="right" w:leader="dot" w:pos="9016"/>
        </w:tabs>
        <w:rPr>
          <w:rFonts w:cstheme="minorBidi"/>
          <w:noProof/>
          <w:sz w:val="22"/>
          <w:szCs w:val="22"/>
        </w:rPr>
      </w:pPr>
      <w:hyperlink w:anchor="_Toc128133790" w:history="1">
        <w:r w:rsidR="00CE1739" w:rsidRPr="001C00A6">
          <w:rPr>
            <w:rStyle w:val="Hyperlink"/>
            <w:noProof/>
          </w:rPr>
          <w:t>1.1</w:t>
        </w:r>
        <w:r w:rsidR="00CE1739">
          <w:rPr>
            <w:rFonts w:cstheme="minorBidi"/>
            <w:noProof/>
            <w:sz w:val="22"/>
            <w:szCs w:val="22"/>
          </w:rPr>
          <w:tab/>
        </w:r>
        <w:r w:rsidR="00CE1739" w:rsidRPr="001C00A6">
          <w:rPr>
            <w:rStyle w:val="Hyperlink"/>
            <w:noProof/>
          </w:rPr>
          <w:t>Introduction</w:t>
        </w:r>
        <w:r w:rsidR="00CE1739">
          <w:rPr>
            <w:noProof/>
            <w:webHidden/>
          </w:rPr>
          <w:tab/>
        </w:r>
        <w:r w:rsidR="00CE1739">
          <w:rPr>
            <w:noProof/>
            <w:webHidden/>
          </w:rPr>
          <w:fldChar w:fldCharType="begin"/>
        </w:r>
        <w:r w:rsidR="00CE1739">
          <w:rPr>
            <w:noProof/>
            <w:webHidden/>
          </w:rPr>
          <w:instrText xml:space="preserve"> PAGEREF _Toc128133790 \h </w:instrText>
        </w:r>
        <w:r w:rsidR="00CE1739">
          <w:rPr>
            <w:noProof/>
            <w:webHidden/>
          </w:rPr>
        </w:r>
        <w:r w:rsidR="00CE1739">
          <w:rPr>
            <w:noProof/>
            <w:webHidden/>
          </w:rPr>
          <w:fldChar w:fldCharType="separate"/>
        </w:r>
        <w:r w:rsidR="00AC79E0">
          <w:rPr>
            <w:noProof/>
            <w:webHidden/>
          </w:rPr>
          <w:t>8</w:t>
        </w:r>
        <w:r w:rsidR="00CE1739">
          <w:rPr>
            <w:noProof/>
            <w:webHidden/>
          </w:rPr>
          <w:fldChar w:fldCharType="end"/>
        </w:r>
      </w:hyperlink>
    </w:p>
    <w:p w14:paraId="5250649F" w14:textId="31998FBA" w:rsidR="00CE1739" w:rsidRDefault="009C6DE5">
      <w:pPr>
        <w:pStyle w:val="TOC2"/>
        <w:tabs>
          <w:tab w:val="left" w:pos="880"/>
          <w:tab w:val="right" w:leader="dot" w:pos="9016"/>
        </w:tabs>
        <w:rPr>
          <w:rFonts w:cstheme="minorBidi"/>
          <w:noProof/>
          <w:sz w:val="22"/>
          <w:szCs w:val="22"/>
        </w:rPr>
      </w:pPr>
      <w:hyperlink w:anchor="_Toc128133791" w:history="1">
        <w:r w:rsidR="00CE1739" w:rsidRPr="001C00A6">
          <w:rPr>
            <w:rStyle w:val="Hyperlink"/>
            <w:noProof/>
          </w:rPr>
          <w:t>1.2</w:t>
        </w:r>
        <w:r w:rsidR="00CE1739">
          <w:rPr>
            <w:rFonts w:cstheme="minorBidi"/>
            <w:noProof/>
            <w:sz w:val="22"/>
            <w:szCs w:val="22"/>
          </w:rPr>
          <w:tab/>
        </w:r>
        <w:r w:rsidR="00CE1739" w:rsidRPr="001C00A6">
          <w:rPr>
            <w:rStyle w:val="Hyperlink"/>
            <w:noProof/>
          </w:rPr>
          <w:t>Key health indicator results</w:t>
        </w:r>
        <w:r w:rsidR="00CE1739">
          <w:rPr>
            <w:noProof/>
            <w:webHidden/>
          </w:rPr>
          <w:tab/>
        </w:r>
        <w:r w:rsidR="00CE1739">
          <w:rPr>
            <w:noProof/>
            <w:webHidden/>
          </w:rPr>
          <w:fldChar w:fldCharType="begin"/>
        </w:r>
        <w:r w:rsidR="00CE1739">
          <w:rPr>
            <w:noProof/>
            <w:webHidden/>
          </w:rPr>
          <w:instrText xml:space="preserve"> PAGEREF _Toc128133791 \h </w:instrText>
        </w:r>
        <w:r w:rsidR="00CE1739">
          <w:rPr>
            <w:noProof/>
            <w:webHidden/>
          </w:rPr>
        </w:r>
        <w:r w:rsidR="00CE1739">
          <w:rPr>
            <w:noProof/>
            <w:webHidden/>
          </w:rPr>
          <w:fldChar w:fldCharType="separate"/>
        </w:r>
        <w:r w:rsidR="00AC79E0">
          <w:rPr>
            <w:noProof/>
            <w:webHidden/>
          </w:rPr>
          <w:t>8</w:t>
        </w:r>
        <w:r w:rsidR="00CE1739">
          <w:rPr>
            <w:noProof/>
            <w:webHidden/>
          </w:rPr>
          <w:fldChar w:fldCharType="end"/>
        </w:r>
      </w:hyperlink>
    </w:p>
    <w:p w14:paraId="71311B60" w14:textId="010FBD09" w:rsidR="00CE1739" w:rsidRDefault="009C6DE5">
      <w:pPr>
        <w:pStyle w:val="TOC2"/>
        <w:tabs>
          <w:tab w:val="left" w:pos="880"/>
          <w:tab w:val="right" w:leader="dot" w:pos="9016"/>
        </w:tabs>
        <w:rPr>
          <w:rFonts w:cstheme="minorBidi"/>
          <w:noProof/>
          <w:sz w:val="22"/>
          <w:szCs w:val="22"/>
        </w:rPr>
      </w:pPr>
      <w:hyperlink w:anchor="_Toc128133792" w:history="1">
        <w:r w:rsidR="00CE1739" w:rsidRPr="001C00A6">
          <w:rPr>
            <w:rStyle w:val="Hyperlink"/>
            <w:noProof/>
          </w:rPr>
          <w:t>1.3</w:t>
        </w:r>
        <w:r w:rsidR="00CE1739">
          <w:rPr>
            <w:rFonts w:cstheme="minorBidi"/>
            <w:noProof/>
            <w:sz w:val="22"/>
            <w:szCs w:val="22"/>
          </w:rPr>
          <w:tab/>
        </w:r>
        <w:r w:rsidR="00CE1739" w:rsidRPr="001C00A6">
          <w:rPr>
            <w:rStyle w:val="Hyperlink"/>
            <w:noProof/>
          </w:rPr>
          <w:t>JSNA Cohort model simulation outputs</w:t>
        </w:r>
        <w:r w:rsidR="00CE1739">
          <w:rPr>
            <w:noProof/>
            <w:webHidden/>
          </w:rPr>
          <w:tab/>
        </w:r>
        <w:r w:rsidR="00CE1739">
          <w:rPr>
            <w:noProof/>
            <w:webHidden/>
          </w:rPr>
          <w:fldChar w:fldCharType="begin"/>
        </w:r>
        <w:r w:rsidR="00CE1739">
          <w:rPr>
            <w:noProof/>
            <w:webHidden/>
          </w:rPr>
          <w:instrText xml:space="preserve"> PAGEREF _Toc128133792 \h </w:instrText>
        </w:r>
        <w:r w:rsidR="00CE1739">
          <w:rPr>
            <w:noProof/>
            <w:webHidden/>
          </w:rPr>
        </w:r>
        <w:r w:rsidR="00CE1739">
          <w:rPr>
            <w:noProof/>
            <w:webHidden/>
          </w:rPr>
          <w:fldChar w:fldCharType="separate"/>
        </w:r>
        <w:r w:rsidR="00AC79E0">
          <w:rPr>
            <w:noProof/>
            <w:webHidden/>
          </w:rPr>
          <w:t>9</w:t>
        </w:r>
        <w:r w:rsidR="00CE1739">
          <w:rPr>
            <w:noProof/>
            <w:webHidden/>
          </w:rPr>
          <w:fldChar w:fldCharType="end"/>
        </w:r>
      </w:hyperlink>
    </w:p>
    <w:p w14:paraId="03F41622" w14:textId="793E5118" w:rsidR="00CE1739" w:rsidRDefault="009C6DE5">
      <w:pPr>
        <w:pStyle w:val="TOC2"/>
        <w:tabs>
          <w:tab w:val="left" w:pos="880"/>
          <w:tab w:val="right" w:leader="dot" w:pos="9016"/>
        </w:tabs>
        <w:rPr>
          <w:rFonts w:cstheme="minorBidi"/>
          <w:noProof/>
          <w:sz w:val="22"/>
          <w:szCs w:val="22"/>
        </w:rPr>
      </w:pPr>
      <w:hyperlink w:anchor="_Toc128133793" w:history="1">
        <w:r w:rsidR="00CE1739" w:rsidRPr="001C00A6">
          <w:rPr>
            <w:rStyle w:val="Hyperlink"/>
            <w:noProof/>
          </w:rPr>
          <w:t>1.4</w:t>
        </w:r>
        <w:r w:rsidR="00CE1739">
          <w:rPr>
            <w:rFonts w:cstheme="minorBidi"/>
            <w:noProof/>
            <w:sz w:val="22"/>
            <w:szCs w:val="22"/>
          </w:rPr>
          <w:tab/>
        </w:r>
        <w:r w:rsidR="00CE1739" w:rsidRPr="001C00A6">
          <w:rPr>
            <w:rStyle w:val="Hyperlink"/>
            <w:noProof/>
          </w:rPr>
          <w:t>Stakeholder Voice</w:t>
        </w:r>
        <w:r w:rsidR="00CE1739">
          <w:rPr>
            <w:noProof/>
            <w:webHidden/>
          </w:rPr>
          <w:tab/>
        </w:r>
        <w:r w:rsidR="00CE1739">
          <w:rPr>
            <w:noProof/>
            <w:webHidden/>
          </w:rPr>
          <w:fldChar w:fldCharType="begin"/>
        </w:r>
        <w:r w:rsidR="00CE1739">
          <w:rPr>
            <w:noProof/>
            <w:webHidden/>
          </w:rPr>
          <w:instrText xml:space="preserve"> PAGEREF _Toc128133793 \h </w:instrText>
        </w:r>
        <w:r w:rsidR="00CE1739">
          <w:rPr>
            <w:noProof/>
            <w:webHidden/>
          </w:rPr>
        </w:r>
        <w:r w:rsidR="00CE1739">
          <w:rPr>
            <w:noProof/>
            <w:webHidden/>
          </w:rPr>
          <w:fldChar w:fldCharType="separate"/>
        </w:r>
        <w:r w:rsidR="00AC79E0">
          <w:rPr>
            <w:noProof/>
            <w:webHidden/>
          </w:rPr>
          <w:t>10</w:t>
        </w:r>
        <w:r w:rsidR="00CE1739">
          <w:rPr>
            <w:noProof/>
            <w:webHidden/>
          </w:rPr>
          <w:fldChar w:fldCharType="end"/>
        </w:r>
      </w:hyperlink>
    </w:p>
    <w:p w14:paraId="4601CB53" w14:textId="09E69C09" w:rsidR="00CE1739" w:rsidRDefault="009C6DE5">
      <w:pPr>
        <w:pStyle w:val="TOC2"/>
        <w:tabs>
          <w:tab w:val="left" w:pos="880"/>
          <w:tab w:val="right" w:leader="dot" w:pos="9016"/>
        </w:tabs>
        <w:rPr>
          <w:rFonts w:cstheme="minorBidi"/>
          <w:noProof/>
          <w:sz w:val="22"/>
          <w:szCs w:val="22"/>
        </w:rPr>
      </w:pPr>
      <w:hyperlink w:anchor="_Toc128133794" w:history="1">
        <w:r w:rsidR="00CE1739" w:rsidRPr="001C00A6">
          <w:rPr>
            <w:rStyle w:val="Hyperlink"/>
            <w:noProof/>
          </w:rPr>
          <w:t>1.5</w:t>
        </w:r>
        <w:r w:rsidR="00CE1739">
          <w:rPr>
            <w:rFonts w:cstheme="minorBidi"/>
            <w:noProof/>
            <w:sz w:val="22"/>
            <w:szCs w:val="22"/>
          </w:rPr>
          <w:tab/>
        </w:r>
        <w:r w:rsidR="00CE1739" w:rsidRPr="001C00A6">
          <w:rPr>
            <w:rStyle w:val="Hyperlink"/>
            <w:noProof/>
          </w:rPr>
          <w:t>Recommendations – Key priorities for implementation across all programme areas</w:t>
        </w:r>
        <w:r w:rsidR="00CE1739">
          <w:rPr>
            <w:noProof/>
            <w:webHidden/>
          </w:rPr>
          <w:tab/>
        </w:r>
        <w:r w:rsidR="00CE1739">
          <w:rPr>
            <w:noProof/>
            <w:webHidden/>
          </w:rPr>
          <w:fldChar w:fldCharType="begin"/>
        </w:r>
        <w:r w:rsidR="00CE1739">
          <w:rPr>
            <w:noProof/>
            <w:webHidden/>
          </w:rPr>
          <w:instrText xml:space="preserve"> PAGEREF _Toc128133794 \h </w:instrText>
        </w:r>
        <w:r w:rsidR="00CE1739">
          <w:rPr>
            <w:noProof/>
            <w:webHidden/>
          </w:rPr>
        </w:r>
        <w:r w:rsidR="00CE1739">
          <w:rPr>
            <w:noProof/>
            <w:webHidden/>
          </w:rPr>
          <w:fldChar w:fldCharType="separate"/>
        </w:r>
        <w:r w:rsidR="00AC79E0">
          <w:rPr>
            <w:noProof/>
            <w:webHidden/>
          </w:rPr>
          <w:t>11</w:t>
        </w:r>
        <w:r w:rsidR="00CE1739">
          <w:rPr>
            <w:noProof/>
            <w:webHidden/>
          </w:rPr>
          <w:fldChar w:fldCharType="end"/>
        </w:r>
      </w:hyperlink>
    </w:p>
    <w:p w14:paraId="4DE2191A" w14:textId="6DEF8416" w:rsidR="00CE1739" w:rsidRDefault="009C6DE5">
      <w:pPr>
        <w:pStyle w:val="TOC3"/>
        <w:tabs>
          <w:tab w:val="left" w:pos="1320"/>
          <w:tab w:val="right" w:leader="dot" w:pos="9016"/>
        </w:tabs>
        <w:rPr>
          <w:noProof/>
          <w:lang w:val="en-GB" w:eastAsia="en-GB"/>
        </w:rPr>
      </w:pPr>
      <w:hyperlink w:anchor="_Toc128133795" w:history="1">
        <w:r w:rsidR="00CE1739" w:rsidRPr="001C00A6">
          <w:rPr>
            <w:rStyle w:val="Hyperlink"/>
            <w:noProof/>
          </w:rPr>
          <w:t>1.5.1</w:t>
        </w:r>
        <w:r w:rsidR="00CE1739">
          <w:rPr>
            <w:noProof/>
            <w:lang w:val="en-GB" w:eastAsia="en-GB"/>
          </w:rPr>
          <w:tab/>
        </w:r>
        <w:r w:rsidR="00CE1739" w:rsidRPr="001C00A6">
          <w:rPr>
            <w:rStyle w:val="Hyperlink"/>
            <w:noProof/>
          </w:rPr>
          <w:t>Partnership building</w:t>
        </w:r>
        <w:r w:rsidR="00CE1739">
          <w:rPr>
            <w:noProof/>
            <w:webHidden/>
          </w:rPr>
          <w:tab/>
        </w:r>
        <w:r w:rsidR="00CE1739">
          <w:rPr>
            <w:noProof/>
            <w:webHidden/>
          </w:rPr>
          <w:fldChar w:fldCharType="begin"/>
        </w:r>
        <w:r w:rsidR="00CE1739">
          <w:rPr>
            <w:noProof/>
            <w:webHidden/>
          </w:rPr>
          <w:instrText xml:space="preserve"> PAGEREF _Toc128133795 \h </w:instrText>
        </w:r>
        <w:r w:rsidR="00CE1739">
          <w:rPr>
            <w:noProof/>
            <w:webHidden/>
          </w:rPr>
        </w:r>
        <w:r w:rsidR="00CE1739">
          <w:rPr>
            <w:noProof/>
            <w:webHidden/>
          </w:rPr>
          <w:fldChar w:fldCharType="separate"/>
        </w:r>
        <w:r w:rsidR="00AC79E0">
          <w:rPr>
            <w:noProof/>
            <w:webHidden/>
          </w:rPr>
          <w:t>11</w:t>
        </w:r>
        <w:r w:rsidR="00CE1739">
          <w:rPr>
            <w:noProof/>
            <w:webHidden/>
          </w:rPr>
          <w:fldChar w:fldCharType="end"/>
        </w:r>
      </w:hyperlink>
    </w:p>
    <w:p w14:paraId="75E9CE23" w14:textId="799474E5" w:rsidR="00CE1739" w:rsidRDefault="009C6DE5">
      <w:pPr>
        <w:pStyle w:val="TOC3"/>
        <w:tabs>
          <w:tab w:val="left" w:pos="1320"/>
          <w:tab w:val="right" w:leader="dot" w:pos="9016"/>
        </w:tabs>
        <w:rPr>
          <w:noProof/>
          <w:lang w:val="en-GB" w:eastAsia="en-GB"/>
        </w:rPr>
      </w:pPr>
      <w:hyperlink w:anchor="_Toc128133796" w:history="1">
        <w:r w:rsidR="00CE1739" w:rsidRPr="001C00A6">
          <w:rPr>
            <w:rStyle w:val="Hyperlink"/>
            <w:noProof/>
          </w:rPr>
          <w:t>1.5.2</w:t>
        </w:r>
        <w:r w:rsidR="00CE1739">
          <w:rPr>
            <w:noProof/>
            <w:lang w:val="en-GB" w:eastAsia="en-GB"/>
          </w:rPr>
          <w:tab/>
        </w:r>
        <w:r w:rsidR="00CE1739" w:rsidRPr="001C00A6">
          <w:rPr>
            <w:rStyle w:val="Hyperlink"/>
            <w:noProof/>
          </w:rPr>
          <w:t>MECC training</w:t>
        </w:r>
        <w:r w:rsidR="00CE1739">
          <w:rPr>
            <w:noProof/>
            <w:webHidden/>
          </w:rPr>
          <w:tab/>
        </w:r>
        <w:r w:rsidR="00CE1739">
          <w:rPr>
            <w:noProof/>
            <w:webHidden/>
          </w:rPr>
          <w:fldChar w:fldCharType="begin"/>
        </w:r>
        <w:r w:rsidR="00CE1739">
          <w:rPr>
            <w:noProof/>
            <w:webHidden/>
          </w:rPr>
          <w:instrText xml:space="preserve"> PAGEREF _Toc128133796 \h </w:instrText>
        </w:r>
        <w:r w:rsidR="00CE1739">
          <w:rPr>
            <w:noProof/>
            <w:webHidden/>
          </w:rPr>
        </w:r>
        <w:r w:rsidR="00CE1739">
          <w:rPr>
            <w:noProof/>
            <w:webHidden/>
          </w:rPr>
          <w:fldChar w:fldCharType="separate"/>
        </w:r>
        <w:r w:rsidR="00AC79E0">
          <w:rPr>
            <w:noProof/>
            <w:webHidden/>
          </w:rPr>
          <w:t>11</w:t>
        </w:r>
        <w:r w:rsidR="00CE1739">
          <w:rPr>
            <w:noProof/>
            <w:webHidden/>
          </w:rPr>
          <w:fldChar w:fldCharType="end"/>
        </w:r>
      </w:hyperlink>
    </w:p>
    <w:p w14:paraId="259610CC" w14:textId="1BE75C7B" w:rsidR="00CE1739" w:rsidRDefault="009C6DE5">
      <w:pPr>
        <w:pStyle w:val="TOC3"/>
        <w:tabs>
          <w:tab w:val="left" w:pos="1320"/>
          <w:tab w:val="right" w:leader="dot" w:pos="9016"/>
        </w:tabs>
        <w:rPr>
          <w:noProof/>
          <w:lang w:val="en-GB" w:eastAsia="en-GB"/>
        </w:rPr>
      </w:pPr>
      <w:hyperlink w:anchor="_Toc128133797" w:history="1">
        <w:r w:rsidR="00CE1739" w:rsidRPr="001C00A6">
          <w:rPr>
            <w:rStyle w:val="Hyperlink"/>
            <w:noProof/>
          </w:rPr>
          <w:t>1.5.3</w:t>
        </w:r>
        <w:r w:rsidR="00CE1739">
          <w:rPr>
            <w:noProof/>
            <w:lang w:val="en-GB" w:eastAsia="en-GB"/>
          </w:rPr>
          <w:tab/>
        </w:r>
        <w:r w:rsidR="00CE1739" w:rsidRPr="001C00A6">
          <w:rPr>
            <w:rStyle w:val="Hyperlink"/>
            <w:noProof/>
          </w:rPr>
          <w:t>Health Promotion</w:t>
        </w:r>
        <w:r w:rsidR="00CE1739">
          <w:rPr>
            <w:noProof/>
            <w:webHidden/>
          </w:rPr>
          <w:tab/>
        </w:r>
        <w:r w:rsidR="00CE1739">
          <w:rPr>
            <w:noProof/>
            <w:webHidden/>
          </w:rPr>
          <w:fldChar w:fldCharType="begin"/>
        </w:r>
        <w:r w:rsidR="00CE1739">
          <w:rPr>
            <w:noProof/>
            <w:webHidden/>
          </w:rPr>
          <w:instrText xml:space="preserve"> PAGEREF _Toc128133797 \h </w:instrText>
        </w:r>
        <w:r w:rsidR="00CE1739">
          <w:rPr>
            <w:noProof/>
            <w:webHidden/>
          </w:rPr>
        </w:r>
        <w:r w:rsidR="00CE1739">
          <w:rPr>
            <w:noProof/>
            <w:webHidden/>
          </w:rPr>
          <w:fldChar w:fldCharType="separate"/>
        </w:r>
        <w:r w:rsidR="00AC79E0">
          <w:rPr>
            <w:noProof/>
            <w:webHidden/>
          </w:rPr>
          <w:t>11</w:t>
        </w:r>
        <w:r w:rsidR="00CE1739">
          <w:rPr>
            <w:noProof/>
            <w:webHidden/>
          </w:rPr>
          <w:fldChar w:fldCharType="end"/>
        </w:r>
      </w:hyperlink>
    </w:p>
    <w:p w14:paraId="090F3429" w14:textId="6F69336B" w:rsidR="00CE1739" w:rsidRDefault="009C6DE5">
      <w:pPr>
        <w:pStyle w:val="TOC3"/>
        <w:tabs>
          <w:tab w:val="left" w:pos="1320"/>
          <w:tab w:val="right" w:leader="dot" w:pos="9016"/>
        </w:tabs>
        <w:rPr>
          <w:noProof/>
          <w:lang w:val="en-GB" w:eastAsia="en-GB"/>
        </w:rPr>
      </w:pPr>
      <w:hyperlink w:anchor="_Toc128133798" w:history="1">
        <w:r w:rsidR="00CE1739" w:rsidRPr="001C00A6">
          <w:rPr>
            <w:rStyle w:val="Hyperlink"/>
            <w:noProof/>
          </w:rPr>
          <w:t>1.5.4</w:t>
        </w:r>
        <w:r w:rsidR="00CE1739">
          <w:rPr>
            <w:noProof/>
            <w:lang w:val="en-GB" w:eastAsia="en-GB"/>
          </w:rPr>
          <w:tab/>
        </w:r>
        <w:r w:rsidR="00CE1739" w:rsidRPr="001C00A6">
          <w:rPr>
            <w:rStyle w:val="Hyperlink"/>
            <w:noProof/>
          </w:rPr>
          <w:t>Integrated Care delivery</w:t>
        </w:r>
        <w:r w:rsidR="00CE1739">
          <w:rPr>
            <w:noProof/>
            <w:webHidden/>
          </w:rPr>
          <w:tab/>
        </w:r>
        <w:r w:rsidR="00CE1739">
          <w:rPr>
            <w:noProof/>
            <w:webHidden/>
          </w:rPr>
          <w:fldChar w:fldCharType="begin"/>
        </w:r>
        <w:r w:rsidR="00CE1739">
          <w:rPr>
            <w:noProof/>
            <w:webHidden/>
          </w:rPr>
          <w:instrText xml:space="preserve"> PAGEREF _Toc128133798 \h </w:instrText>
        </w:r>
        <w:r w:rsidR="00CE1739">
          <w:rPr>
            <w:noProof/>
            <w:webHidden/>
          </w:rPr>
        </w:r>
        <w:r w:rsidR="00CE1739">
          <w:rPr>
            <w:noProof/>
            <w:webHidden/>
          </w:rPr>
          <w:fldChar w:fldCharType="separate"/>
        </w:r>
        <w:r w:rsidR="00AC79E0">
          <w:rPr>
            <w:noProof/>
            <w:webHidden/>
          </w:rPr>
          <w:t>12</w:t>
        </w:r>
        <w:r w:rsidR="00CE1739">
          <w:rPr>
            <w:noProof/>
            <w:webHidden/>
          </w:rPr>
          <w:fldChar w:fldCharType="end"/>
        </w:r>
      </w:hyperlink>
    </w:p>
    <w:p w14:paraId="2750B867" w14:textId="735D6FA7" w:rsidR="00CE1739" w:rsidRDefault="009C6DE5">
      <w:pPr>
        <w:pStyle w:val="TOC3"/>
        <w:tabs>
          <w:tab w:val="left" w:pos="1320"/>
          <w:tab w:val="right" w:leader="dot" w:pos="9016"/>
        </w:tabs>
        <w:rPr>
          <w:noProof/>
          <w:lang w:val="en-GB" w:eastAsia="en-GB"/>
        </w:rPr>
      </w:pPr>
      <w:hyperlink w:anchor="_Toc128133799" w:history="1">
        <w:r w:rsidR="00CE1739" w:rsidRPr="001C00A6">
          <w:rPr>
            <w:rStyle w:val="Hyperlink"/>
            <w:noProof/>
          </w:rPr>
          <w:t>1.5.5</w:t>
        </w:r>
        <w:r w:rsidR="00CE1739">
          <w:rPr>
            <w:noProof/>
            <w:lang w:val="en-GB" w:eastAsia="en-GB"/>
          </w:rPr>
          <w:tab/>
        </w:r>
        <w:r w:rsidR="00CE1739" w:rsidRPr="001C00A6">
          <w:rPr>
            <w:rStyle w:val="Hyperlink"/>
            <w:noProof/>
          </w:rPr>
          <w:t>Research Innovation and Improvement</w:t>
        </w:r>
        <w:r w:rsidR="00CE1739">
          <w:rPr>
            <w:noProof/>
            <w:webHidden/>
          </w:rPr>
          <w:tab/>
        </w:r>
        <w:r w:rsidR="00CE1739">
          <w:rPr>
            <w:noProof/>
            <w:webHidden/>
          </w:rPr>
          <w:fldChar w:fldCharType="begin"/>
        </w:r>
        <w:r w:rsidR="00CE1739">
          <w:rPr>
            <w:noProof/>
            <w:webHidden/>
          </w:rPr>
          <w:instrText xml:space="preserve"> PAGEREF _Toc128133799 \h </w:instrText>
        </w:r>
        <w:r w:rsidR="00CE1739">
          <w:rPr>
            <w:noProof/>
            <w:webHidden/>
          </w:rPr>
        </w:r>
        <w:r w:rsidR="00CE1739">
          <w:rPr>
            <w:noProof/>
            <w:webHidden/>
          </w:rPr>
          <w:fldChar w:fldCharType="separate"/>
        </w:r>
        <w:r w:rsidR="00AC79E0">
          <w:rPr>
            <w:noProof/>
            <w:webHidden/>
          </w:rPr>
          <w:t>12</w:t>
        </w:r>
        <w:r w:rsidR="00CE1739">
          <w:rPr>
            <w:noProof/>
            <w:webHidden/>
          </w:rPr>
          <w:fldChar w:fldCharType="end"/>
        </w:r>
      </w:hyperlink>
    </w:p>
    <w:p w14:paraId="5EBF0109" w14:textId="7A4ED311" w:rsidR="00CE1739" w:rsidRDefault="009C6DE5">
      <w:pPr>
        <w:pStyle w:val="TOC3"/>
        <w:tabs>
          <w:tab w:val="left" w:pos="1320"/>
          <w:tab w:val="right" w:leader="dot" w:pos="9016"/>
        </w:tabs>
        <w:rPr>
          <w:noProof/>
          <w:lang w:val="en-GB" w:eastAsia="en-GB"/>
        </w:rPr>
      </w:pPr>
      <w:hyperlink w:anchor="_Toc128133800" w:history="1">
        <w:r w:rsidR="00CE1739" w:rsidRPr="001C00A6">
          <w:rPr>
            <w:rStyle w:val="Hyperlink"/>
            <w:noProof/>
          </w:rPr>
          <w:t>1.5.6</w:t>
        </w:r>
        <w:r w:rsidR="00CE1739">
          <w:rPr>
            <w:noProof/>
            <w:lang w:val="en-GB" w:eastAsia="en-GB"/>
          </w:rPr>
          <w:tab/>
        </w:r>
        <w:r w:rsidR="00CE1739" w:rsidRPr="001C00A6">
          <w:rPr>
            <w:rStyle w:val="Hyperlink"/>
            <w:noProof/>
          </w:rPr>
          <w:t>Engagement and Insight</w:t>
        </w:r>
        <w:r w:rsidR="00CE1739">
          <w:rPr>
            <w:noProof/>
            <w:webHidden/>
          </w:rPr>
          <w:tab/>
        </w:r>
        <w:r w:rsidR="00CE1739">
          <w:rPr>
            <w:noProof/>
            <w:webHidden/>
          </w:rPr>
          <w:fldChar w:fldCharType="begin"/>
        </w:r>
        <w:r w:rsidR="00CE1739">
          <w:rPr>
            <w:noProof/>
            <w:webHidden/>
          </w:rPr>
          <w:instrText xml:space="preserve"> PAGEREF _Toc128133800 \h </w:instrText>
        </w:r>
        <w:r w:rsidR="00CE1739">
          <w:rPr>
            <w:noProof/>
            <w:webHidden/>
          </w:rPr>
        </w:r>
        <w:r w:rsidR="00CE1739">
          <w:rPr>
            <w:noProof/>
            <w:webHidden/>
          </w:rPr>
          <w:fldChar w:fldCharType="separate"/>
        </w:r>
        <w:r w:rsidR="00AC79E0">
          <w:rPr>
            <w:noProof/>
            <w:webHidden/>
          </w:rPr>
          <w:t>12</w:t>
        </w:r>
        <w:r w:rsidR="00CE1739">
          <w:rPr>
            <w:noProof/>
            <w:webHidden/>
          </w:rPr>
          <w:fldChar w:fldCharType="end"/>
        </w:r>
      </w:hyperlink>
    </w:p>
    <w:p w14:paraId="6097AA42" w14:textId="64F784C6" w:rsidR="00CE1739" w:rsidRDefault="009C6DE5">
      <w:pPr>
        <w:pStyle w:val="TOC1"/>
        <w:tabs>
          <w:tab w:val="left" w:pos="440"/>
          <w:tab w:val="right" w:leader="dot" w:pos="9016"/>
        </w:tabs>
        <w:rPr>
          <w:rFonts w:cstheme="minorBidi"/>
          <w:b w:val="0"/>
          <w:noProof/>
          <w:sz w:val="22"/>
          <w:szCs w:val="22"/>
        </w:rPr>
      </w:pPr>
      <w:hyperlink w:anchor="_Toc128133801" w:history="1">
        <w:r w:rsidR="00CE1739" w:rsidRPr="001C00A6">
          <w:rPr>
            <w:rStyle w:val="Hyperlink"/>
            <w:noProof/>
          </w:rPr>
          <w:t>2</w:t>
        </w:r>
        <w:r w:rsidR="00CE1739">
          <w:rPr>
            <w:rFonts w:cstheme="minorBidi"/>
            <w:b w:val="0"/>
            <w:noProof/>
            <w:sz w:val="22"/>
            <w:szCs w:val="22"/>
          </w:rPr>
          <w:tab/>
        </w:r>
        <w:r w:rsidR="00CE1739" w:rsidRPr="001C00A6">
          <w:rPr>
            <w:rStyle w:val="Hyperlink"/>
            <w:noProof/>
          </w:rPr>
          <w:t>Introduction &amp; Objectives</w:t>
        </w:r>
        <w:r w:rsidR="00CE1739">
          <w:rPr>
            <w:noProof/>
            <w:webHidden/>
          </w:rPr>
          <w:tab/>
        </w:r>
        <w:r w:rsidR="00CE1739">
          <w:rPr>
            <w:noProof/>
            <w:webHidden/>
          </w:rPr>
          <w:fldChar w:fldCharType="begin"/>
        </w:r>
        <w:r w:rsidR="00CE1739">
          <w:rPr>
            <w:noProof/>
            <w:webHidden/>
          </w:rPr>
          <w:instrText xml:space="preserve"> PAGEREF _Toc128133801 \h </w:instrText>
        </w:r>
        <w:r w:rsidR="00CE1739">
          <w:rPr>
            <w:noProof/>
            <w:webHidden/>
          </w:rPr>
        </w:r>
        <w:r w:rsidR="00CE1739">
          <w:rPr>
            <w:noProof/>
            <w:webHidden/>
          </w:rPr>
          <w:fldChar w:fldCharType="separate"/>
        </w:r>
        <w:r w:rsidR="00AC79E0">
          <w:rPr>
            <w:noProof/>
            <w:webHidden/>
          </w:rPr>
          <w:t>13</w:t>
        </w:r>
        <w:r w:rsidR="00CE1739">
          <w:rPr>
            <w:noProof/>
            <w:webHidden/>
          </w:rPr>
          <w:fldChar w:fldCharType="end"/>
        </w:r>
      </w:hyperlink>
    </w:p>
    <w:p w14:paraId="356B86B6" w14:textId="4BA34404" w:rsidR="00CE1739" w:rsidRDefault="009C6DE5">
      <w:pPr>
        <w:pStyle w:val="TOC2"/>
        <w:tabs>
          <w:tab w:val="left" w:pos="880"/>
          <w:tab w:val="right" w:leader="dot" w:pos="9016"/>
        </w:tabs>
        <w:rPr>
          <w:rFonts w:cstheme="minorBidi"/>
          <w:noProof/>
          <w:sz w:val="22"/>
          <w:szCs w:val="22"/>
        </w:rPr>
      </w:pPr>
      <w:hyperlink w:anchor="_Toc128133802" w:history="1">
        <w:r w:rsidR="00CE1739" w:rsidRPr="001C00A6">
          <w:rPr>
            <w:rStyle w:val="Hyperlink"/>
            <w:noProof/>
          </w:rPr>
          <w:t>2.1</w:t>
        </w:r>
        <w:r w:rsidR="00CE1739">
          <w:rPr>
            <w:rFonts w:cstheme="minorBidi"/>
            <w:noProof/>
            <w:sz w:val="22"/>
            <w:szCs w:val="22"/>
          </w:rPr>
          <w:tab/>
        </w:r>
        <w:r w:rsidR="00CE1739" w:rsidRPr="001C00A6">
          <w:rPr>
            <w:rStyle w:val="Hyperlink"/>
            <w:rFonts w:ascii="Calibri" w:hAnsi="Calibri" w:cs="Calibri"/>
            <w:noProof/>
          </w:rPr>
          <w:t>Methodology</w:t>
        </w:r>
        <w:r w:rsidR="00CE1739">
          <w:rPr>
            <w:noProof/>
            <w:webHidden/>
          </w:rPr>
          <w:tab/>
        </w:r>
        <w:r w:rsidR="00CE1739">
          <w:rPr>
            <w:noProof/>
            <w:webHidden/>
          </w:rPr>
          <w:fldChar w:fldCharType="begin"/>
        </w:r>
        <w:r w:rsidR="00CE1739">
          <w:rPr>
            <w:noProof/>
            <w:webHidden/>
          </w:rPr>
          <w:instrText xml:space="preserve"> PAGEREF _Toc128133802 \h </w:instrText>
        </w:r>
        <w:r w:rsidR="00CE1739">
          <w:rPr>
            <w:noProof/>
            <w:webHidden/>
          </w:rPr>
        </w:r>
        <w:r w:rsidR="00CE1739">
          <w:rPr>
            <w:noProof/>
            <w:webHidden/>
          </w:rPr>
          <w:fldChar w:fldCharType="separate"/>
        </w:r>
        <w:r w:rsidR="00AC79E0">
          <w:rPr>
            <w:noProof/>
            <w:webHidden/>
          </w:rPr>
          <w:t>14</w:t>
        </w:r>
        <w:r w:rsidR="00CE1739">
          <w:rPr>
            <w:noProof/>
            <w:webHidden/>
          </w:rPr>
          <w:fldChar w:fldCharType="end"/>
        </w:r>
      </w:hyperlink>
    </w:p>
    <w:p w14:paraId="791BBAB2" w14:textId="19C6F383" w:rsidR="00CE1739" w:rsidRDefault="009C6DE5">
      <w:pPr>
        <w:pStyle w:val="TOC2"/>
        <w:tabs>
          <w:tab w:val="left" w:pos="880"/>
          <w:tab w:val="right" w:leader="dot" w:pos="9016"/>
        </w:tabs>
        <w:rPr>
          <w:rFonts w:cstheme="minorBidi"/>
          <w:noProof/>
          <w:sz w:val="22"/>
          <w:szCs w:val="22"/>
        </w:rPr>
      </w:pPr>
      <w:hyperlink w:anchor="_Toc128133803" w:history="1">
        <w:r w:rsidR="00CE1739" w:rsidRPr="001C00A6">
          <w:rPr>
            <w:rStyle w:val="Hyperlink"/>
            <w:noProof/>
          </w:rPr>
          <w:t>2.2</w:t>
        </w:r>
        <w:r w:rsidR="00CE1739">
          <w:rPr>
            <w:rFonts w:cstheme="minorBidi"/>
            <w:noProof/>
            <w:sz w:val="22"/>
            <w:szCs w:val="22"/>
          </w:rPr>
          <w:tab/>
        </w:r>
        <w:r w:rsidR="00CE1739" w:rsidRPr="001C00A6">
          <w:rPr>
            <w:rStyle w:val="Hyperlink"/>
            <w:noProof/>
          </w:rPr>
          <w:t>Index of Multiple Deprivation (IMD)</w:t>
        </w:r>
        <w:r w:rsidR="00CE1739">
          <w:rPr>
            <w:noProof/>
            <w:webHidden/>
          </w:rPr>
          <w:tab/>
        </w:r>
        <w:r w:rsidR="00CE1739">
          <w:rPr>
            <w:noProof/>
            <w:webHidden/>
          </w:rPr>
          <w:fldChar w:fldCharType="begin"/>
        </w:r>
        <w:r w:rsidR="00CE1739">
          <w:rPr>
            <w:noProof/>
            <w:webHidden/>
          </w:rPr>
          <w:instrText xml:space="preserve"> PAGEREF _Toc128133803 \h </w:instrText>
        </w:r>
        <w:r w:rsidR="00CE1739">
          <w:rPr>
            <w:noProof/>
            <w:webHidden/>
          </w:rPr>
        </w:r>
        <w:r w:rsidR="00CE1739">
          <w:rPr>
            <w:noProof/>
            <w:webHidden/>
          </w:rPr>
          <w:fldChar w:fldCharType="separate"/>
        </w:r>
        <w:r w:rsidR="00AC79E0">
          <w:rPr>
            <w:noProof/>
            <w:webHidden/>
          </w:rPr>
          <w:t>14</w:t>
        </w:r>
        <w:r w:rsidR="00CE1739">
          <w:rPr>
            <w:noProof/>
            <w:webHidden/>
          </w:rPr>
          <w:fldChar w:fldCharType="end"/>
        </w:r>
      </w:hyperlink>
    </w:p>
    <w:p w14:paraId="37D642EA" w14:textId="2E83A44A" w:rsidR="00CE1739" w:rsidRDefault="009C6DE5">
      <w:pPr>
        <w:pStyle w:val="TOC2"/>
        <w:tabs>
          <w:tab w:val="left" w:pos="880"/>
          <w:tab w:val="right" w:leader="dot" w:pos="9016"/>
        </w:tabs>
        <w:rPr>
          <w:rFonts w:cstheme="minorBidi"/>
          <w:noProof/>
          <w:sz w:val="22"/>
          <w:szCs w:val="22"/>
        </w:rPr>
      </w:pPr>
      <w:hyperlink w:anchor="_Toc128133804" w:history="1">
        <w:r w:rsidR="00CE1739" w:rsidRPr="001C00A6">
          <w:rPr>
            <w:rStyle w:val="Hyperlink"/>
            <w:noProof/>
          </w:rPr>
          <w:t>2.3</w:t>
        </w:r>
        <w:r w:rsidR="00CE1739">
          <w:rPr>
            <w:rFonts w:cstheme="minorBidi"/>
            <w:noProof/>
            <w:sz w:val="22"/>
            <w:szCs w:val="22"/>
          </w:rPr>
          <w:tab/>
        </w:r>
        <w:r w:rsidR="00CE1739" w:rsidRPr="001C00A6">
          <w:rPr>
            <w:rStyle w:val="Hyperlink"/>
            <w:noProof/>
          </w:rPr>
          <w:t>Emphasis on Wider Determinants of Health</w:t>
        </w:r>
        <w:r w:rsidR="00CE1739">
          <w:rPr>
            <w:noProof/>
            <w:webHidden/>
          </w:rPr>
          <w:tab/>
        </w:r>
        <w:r w:rsidR="00CE1739">
          <w:rPr>
            <w:noProof/>
            <w:webHidden/>
          </w:rPr>
          <w:fldChar w:fldCharType="begin"/>
        </w:r>
        <w:r w:rsidR="00CE1739">
          <w:rPr>
            <w:noProof/>
            <w:webHidden/>
          </w:rPr>
          <w:instrText xml:space="preserve"> PAGEREF _Toc128133804 \h </w:instrText>
        </w:r>
        <w:r w:rsidR="00CE1739">
          <w:rPr>
            <w:noProof/>
            <w:webHidden/>
          </w:rPr>
        </w:r>
        <w:r w:rsidR="00CE1739">
          <w:rPr>
            <w:noProof/>
            <w:webHidden/>
          </w:rPr>
          <w:fldChar w:fldCharType="separate"/>
        </w:r>
        <w:r w:rsidR="00AC79E0">
          <w:rPr>
            <w:noProof/>
            <w:webHidden/>
          </w:rPr>
          <w:t>15</w:t>
        </w:r>
        <w:r w:rsidR="00CE1739">
          <w:rPr>
            <w:noProof/>
            <w:webHidden/>
          </w:rPr>
          <w:fldChar w:fldCharType="end"/>
        </w:r>
      </w:hyperlink>
    </w:p>
    <w:p w14:paraId="31D1D56A" w14:textId="0E4A1428" w:rsidR="00CE1739" w:rsidRDefault="009C6DE5">
      <w:pPr>
        <w:pStyle w:val="TOC1"/>
        <w:tabs>
          <w:tab w:val="left" w:pos="440"/>
          <w:tab w:val="right" w:leader="dot" w:pos="9016"/>
        </w:tabs>
        <w:rPr>
          <w:rFonts w:cstheme="minorBidi"/>
          <w:b w:val="0"/>
          <w:noProof/>
          <w:sz w:val="22"/>
          <w:szCs w:val="22"/>
        </w:rPr>
      </w:pPr>
      <w:hyperlink w:anchor="_Toc128133805" w:history="1">
        <w:r w:rsidR="00CE1739" w:rsidRPr="001C00A6">
          <w:rPr>
            <w:rStyle w:val="Hyperlink"/>
            <w:noProof/>
          </w:rPr>
          <w:t>3</w:t>
        </w:r>
        <w:r w:rsidR="00CE1739">
          <w:rPr>
            <w:rFonts w:cstheme="minorBidi"/>
            <w:b w:val="0"/>
            <w:noProof/>
            <w:sz w:val="22"/>
            <w:szCs w:val="22"/>
          </w:rPr>
          <w:tab/>
        </w:r>
        <w:r w:rsidR="00CE1739" w:rsidRPr="001C00A6">
          <w:rPr>
            <w:rStyle w:val="Hyperlink"/>
            <w:noProof/>
          </w:rPr>
          <w:t>Demographics</w:t>
        </w:r>
        <w:r w:rsidR="00CE1739">
          <w:rPr>
            <w:noProof/>
            <w:webHidden/>
          </w:rPr>
          <w:tab/>
        </w:r>
        <w:r w:rsidR="00CE1739">
          <w:rPr>
            <w:noProof/>
            <w:webHidden/>
          </w:rPr>
          <w:fldChar w:fldCharType="begin"/>
        </w:r>
        <w:r w:rsidR="00CE1739">
          <w:rPr>
            <w:noProof/>
            <w:webHidden/>
          </w:rPr>
          <w:instrText xml:space="preserve"> PAGEREF _Toc128133805 \h </w:instrText>
        </w:r>
        <w:r w:rsidR="00CE1739">
          <w:rPr>
            <w:noProof/>
            <w:webHidden/>
          </w:rPr>
        </w:r>
        <w:r w:rsidR="00CE1739">
          <w:rPr>
            <w:noProof/>
            <w:webHidden/>
          </w:rPr>
          <w:fldChar w:fldCharType="separate"/>
        </w:r>
        <w:r w:rsidR="00AC79E0">
          <w:rPr>
            <w:noProof/>
            <w:webHidden/>
          </w:rPr>
          <w:t>16</w:t>
        </w:r>
        <w:r w:rsidR="00CE1739">
          <w:rPr>
            <w:noProof/>
            <w:webHidden/>
          </w:rPr>
          <w:fldChar w:fldCharType="end"/>
        </w:r>
      </w:hyperlink>
    </w:p>
    <w:p w14:paraId="59F50525" w14:textId="0C94A7F1" w:rsidR="00CE1739" w:rsidRDefault="009C6DE5">
      <w:pPr>
        <w:pStyle w:val="TOC2"/>
        <w:tabs>
          <w:tab w:val="left" w:pos="880"/>
          <w:tab w:val="right" w:leader="dot" w:pos="9016"/>
        </w:tabs>
        <w:rPr>
          <w:rFonts w:cstheme="minorBidi"/>
          <w:noProof/>
          <w:sz w:val="22"/>
          <w:szCs w:val="22"/>
        </w:rPr>
      </w:pPr>
      <w:hyperlink w:anchor="_Toc128133806" w:history="1">
        <w:r w:rsidR="00CE1739" w:rsidRPr="001C00A6">
          <w:rPr>
            <w:rStyle w:val="Hyperlink"/>
            <w:noProof/>
          </w:rPr>
          <w:t>3.1</w:t>
        </w:r>
        <w:r w:rsidR="00CE1739">
          <w:rPr>
            <w:rFonts w:cstheme="minorBidi"/>
            <w:noProof/>
            <w:sz w:val="22"/>
            <w:szCs w:val="22"/>
          </w:rPr>
          <w:tab/>
        </w:r>
        <w:r w:rsidR="00CE1739" w:rsidRPr="001C00A6">
          <w:rPr>
            <w:rStyle w:val="Hyperlink"/>
            <w:noProof/>
          </w:rPr>
          <w:t>Population Demographics</w:t>
        </w:r>
        <w:r w:rsidR="00CE1739">
          <w:rPr>
            <w:noProof/>
            <w:webHidden/>
          </w:rPr>
          <w:tab/>
        </w:r>
        <w:r w:rsidR="00CE1739">
          <w:rPr>
            <w:noProof/>
            <w:webHidden/>
          </w:rPr>
          <w:fldChar w:fldCharType="begin"/>
        </w:r>
        <w:r w:rsidR="00CE1739">
          <w:rPr>
            <w:noProof/>
            <w:webHidden/>
          </w:rPr>
          <w:instrText xml:space="preserve"> PAGEREF _Toc128133806 \h </w:instrText>
        </w:r>
        <w:r w:rsidR="00CE1739">
          <w:rPr>
            <w:noProof/>
            <w:webHidden/>
          </w:rPr>
        </w:r>
        <w:r w:rsidR="00CE1739">
          <w:rPr>
            <w:noProof/>
            <w:webHidden/>
          </w:rPr>
          <w:fldChar w:fldCharType="separate"/>
        </w:r>
        <w:r w:rsidR="00AC79E0">
          <w:rPr>
            <w:noProof/>
            <w:webHidden/>
          </w:rPr>
          <w:t>17</w:t>
        </w:r>
        <w:r w:rsidR="00CE1739">
          <w:rPr>
            <w:noProof/>
            <w:webHidden/>
          </w:rPr>
          <w:fldChar w:fldCharType="end"/>
        </w:r>
      </w:hyperlink>
    </w:p>
    <w:p w14:paraId="27D33AC7" w14:textId="7292D891" w:rsidR="00CE1739" w:rsidRDefault="009C6DE5">
      <w:pPr>
        <w:pStyle w:val="TOC2"/>
        <w:tabs>
          <w:tab w:val="left" w:pos="880"/>
          <w:tab w:val="right" w:leader="dot" w:pos="9016"/>
        </w:tabs>
        <w:rPr>
          <w:rFonts w:cstheme="minorBidi"/>
          <w:noProof/>
          <w:sz w:val="22"/>
          <w:szCs w:val="22"/>
        </w:rPr>
      </w:pPr>
      <w:hyperlink w:anchor="_Toc128133807" w:history="1">
        <w:r w:rsidR="00CE1739" w:rsidRPr="001C00A6">
          <w:rPr>
            <w:rStyle w:val="Hyperlink"/>
            <w:rFonts w:eastAsia="Times New Roman"/>
            <w:noProof/>
          </w:rPr>
          <w:t>3.2</w:t>
        </w:r>
        <w:r w:rsidR="00CE1739">
          <w:rPr>
            <w:rFonts w:cstheme="minorBidi"/>
            <w:noProof/>
            <w:sz w:val="22"/>
            <w:szCs w:val="22"/>
          </w:rPr>
          <w:tab/>
        </w:r>
        <w:r w:rsidR="00CE1739" w:rsidRPr="001C00A6">
          <w:rPr>
            <w:rStyle w:val="Hyperlink"/>
            <w:rFonts w:eastAsia="Times New Roman"/>
            <w:noProof/>
          </w:rPr>
          <w:t xml:space="preserve">Life </w:t>
        </w:r>
        <w:r w:rsidR="00CE1739" w:rsidRPr="001C00A6">
          <w:rPr>
            <w:rStyle w:val="Hyperlink"/>
            <w:noProof/>
          </w:rPr>
          <w:t>expectancy</w:t>
        </w:r>
        <w:r w:rsidR="00CE1739" w:rsidRPr="001C00A6">
          <w:rPr>
            <w:rStyle w:val="Hyperlink"/>
            <w:rFonts w:eastAsia="Times New Roman"/>
            <w:noProof/>
          </w:rPr>
          <w:t xml:space="preserve"> at birth</w:t>
        </w:r>
        <w:r w:rsidR="00CE1739">
          <w:rPr>
            <w:noProof/>
            <w:webHidden/>
          </w:rPr>
          <w:tab/>
        </w:r>
        <w:r w:rsidR="00CE1739">
          <w:rPr>
            <w:noProof/>
            <w:webHidden/>
          </w:rPr>
          <w:fldChar w:fldCharType="begin"/>
        </w:r>
        <w:r w:rsidR="00CE1739">
          <w:rPr>
            <w:noProof/>
            <w:webHidden/>
          </w:rPr>
          <w:instrText xml:space="preserve"> PAGEREF _Toc128133807 \h </w:instrText>
        </w:r>
        <w:r w:rsidR="00CE1739">
          <w:rPr>
            <w:noProof/>
            <w:webHidden/>
          </w:rPr>
        </w:r>
        <w:r w:rsidR="00CE1739">
          <w:rPr>
            <w:noProof/>
            <w:webHidden/>
          </w:rPr>
          <w:fldChar w:fldCharType="separate"/>
        </w:r>
        <w:r w:rsidR="00AC79E0">
          <w:rPr>
            <w:noProof/>
            <w:webHidden/>
          </w:rPr>
          <w:t>19</w:t>
        </w:r>
        <w:r w:rsidR="00CE1739">
          <w:rPr>
            <w:noProof/>
            <w:webHidden/>
          </w:rPr>
          <w:fldChar w:fldCharType="end"/>
        </w:r>
      </w:hyperlink>
    </w:p>
    <w:p w14:paraId="6D82B211" w14:textId="24AA5962" w:rsidR="00CE1739" w:rsidRDefault="009C6DE5">
      <w:pPr>
        <w:pStyle w:val="TOC2"/>
        <w:tabs>
          <w:tab w:val="left" w:pos="880"/>
          <w:tab w:val="right" w:leader="dot" w:pos="9016"/>
        </w:tabs>
        <w:rPr>
          <w:rFonts w:cstheme="minorBidi"/>
          <w:noProof/>
          <w:sz w:val="22"/>
          <w:szCs w:val="22"/>
        </w:rPr>
      </w:pPr>
      <w:hyperlink w:anchor="_Toc128133808" w:history="1">
        <w:r w:rsidR="00CE1739" w:rsidRPr="001C00A6">
          <w:rPr>
            <w:rStyle w:val="Hyperlink"/>
            <w:rFonts w:eastAsia="Times New Roman"/>
            <w:noProof/>
          </w:rPr>
          <w:t>3.3</w:t>
        </w:r>
        <w:r w:rsidR="00CE1739">
          <w:rPr>
            <w:rFonts w:cstheme="minorBidi"/>
            <w:noProof/>
            <w:sz w:val="22"/>
            <w:szCs w:val="22"/>
          </w:rPr>
          <w:tab/>
        </w:r>
        <w:r w:rsidR="00CE1739" w:rsidRPr="001C00A6">
          <w:rPr>
            <w:rStyle w:val="Hyperlink"/>
            <w:rFonts w:eastAsia="Times New Roman"/>
            <w:noProof/>
          </w:rPr>
          <w:t>Premature Mortality</w:t>
        </w:r>
        <w:r w:rsidR="00CE1739">
          <w:rPr>
            <w:noProof/>
            <w:webHidden/>
          </w:rPr>
          <w:tab/>
        </w:r>
        <w:r w:rsidR="00CE1739">
          <w:rPr>
            <w:noProof/>
            <w:webHidden/>
          </w:rPr>
          <w:fldChar w:fldCharType="begin"/>
        </w:r>
        <w:r w:rsidR="00CE1739">
          <w:rPr>
            <w:noProof/>
            <w:webHidden/>
          </w:rPr>
          <w:instrText xml:space="preserve"> PAGEREF _Toc128133808 \h </w:instrText>
        </w:r>
        <w:r w:rsidR="00CE1739">
          <w:rPr>
            <w:noProof/>
            <w:webHidden/>
          </w:rPr>
        </w:r>
        <w:r w:rsidR="00CE1739">
          <w:rPr>
            <w:noProof/>
            <w:webHidden/>
          </w:rPr>
          <w:fldChar w:fldCharType="separate"/>
        </w:r>
        <w:r w:rsidR="00AC79E0">
          <w:rPr>
            <w:noProof/>
            <w:webHidden/>
          </w:rPr>
          <w:t>21</w:t>
        </w:r>
        <w:r w:rsidR="00CE1739">
          <w:rPr>
            <w:noProof/>
            <w:webHidden/>
          </w:rPr>
          <w:fldChar w:fldCharType="end"/>
        </w:r>
      </w:hyperlink>
    </w:p>
    <w:p w14:paraId="49F624D8" w14:textId="7A3ABCA6" w:rsidR="00CE1739" w:rsidRDefault="009C6DE5">
      <w:pPr>
        <w:pStyle w:val="TOC2"/>
        <w:tabs>
          <w:tab w:val="left" w:pos="880"/>
          <w:tab w:val="right" w:leader="dot" w:pos="9016"/>
        </w:tabs>
        <w:rPr>
          <w:rFonts w:cstheme="minorBidi"/>
          <w:noProof/>
          <w:sz w:val="22"/>
          <w:szCs w:val="22"/>
        </w:rPr>
      </w:pPr>
      <w:hyperlink w:anchor="_Toc128133809" w:history="1">
        <w:r w:rsidR="00CE1739" w:rsidRPr="001C00A6">
          <w:rPr>
            <w:rStyle w:val="Hyperlink"/>
            <w:rFonts w:eastAsia="Times New Roman"/>
            <w:noProof/>
          </w:rPr>
          <w:t>3.4</w:t>
        </w:r>
        <w:r w:rsidR="00CE1739">
          <w:rPr>
            <w:rFonts w:cstheme="minorBidi"/>
            <w:noProof/>
            <w:sz w:val="22"/>
            <w:szCs w:val="22"/>
          </w:rPr>
          <w:tab/>
        </w:r>
        <w:r w:rsidR="00CE1739" w:rsidRPr="001C00A6">
          <w:rPr>
            <w:rStyle w:val="Hyperlink"/>
            <w:rFonts w:eastAsia="Times New Roman"/>
            <w:noProof/>
          </w:rPr>
          <w:t>Mortality of older people</w:t>
        </w:r>
        <w:r w:rsidR="00CE1739">
          <w:rPr>
            <w:noProof/>
            <w:webHidden/>
          </w:rPr>
          <w:tab/>
        </w:r>
        <w:r w:rsidR="00CE1739">
          <w:rPr>
            <w:noProof/>
            <w:webHidden/>
          </w:rPr>
          <w:fldChar w:fldCharType="begin"/>
        </w:r>
        <w:r w:rsidR="00CE1739">
          <w:rPr>
            <w:noProof/>
            <w:webHidden/>
          </w:rPr>
          <w:instrText xml:space="preserve"> PAGEREF _Toc128133809 \h </w:instrText>
        </w:r>
        <w:r w:rsidR="00CE1739">
          <w:rPr>
            <w:noProof/>
            <w:webHidden/>
          </w:rPr>
        </w:r>
        <w:r w:rsidR="00CE1739">
          <w:rPr>
            <w:noProof/>
            <w:webHidden/>
          </w:rPr>
          <w:fldChar w:fldCharType="separate"/>
        </w:r>
        <w:r w:rsidR="00AC79E0">
          <w:rPr>
            <w:noProof/>
            <w:webHidden/>
          </w:rPr>
          <w:t>22</w:t>
        </w:r>
        <w:r w:rsidR="00CE1739">
          <w:rPr>
            <w:noProof/>
            <w:webHidden/>
          </w:rPr>
          <w:fldChar w:fldCharType="end"/>
        </w:r>
      </w:hyperlink>
    </w:p>
    <w:p w14:paraId="02F05740" w14:textId="2ECD3741" w:rsidR="00CE1739" w:rsidRDefault="009C6DE5">
      <w:pPr>
        <w:pStyle w:val="TOC2"/>
        <w:tabs>
          <w:tab w:val="left" w:pos="880"/>
          <w:tab w:val="right" w:leader="dot" w:pos="9016"/>
        </w:tabs>
        <w:rPr>
          <w:rFonts w:cstheme="minorBidi"/>
          <w:noProof/>
          <w:sz w:val="22"/>
          <w:szCs w:val="22"/>
        </w:rPr>
      </w:pPr>
      <w:hyperlink w:anchor="_Toc128133810" w:history="1">
        <w:r w:rsidR="00CE1739" w:rsidRPr="001C00A6">
          <w:rPr>
            <w:rStyle w:val="Hyperlink"/>
            <w:rFonts w:eastAsia="Times New Roman"/>
            <w:noProof/>
          </w:rPr>
          <w:t>3.5</w:t>
        </w:r>
        <w:r w:rsidR="00CE1739">
          <w:rPr>
            <w:rFonts w:cstheme="minorBidi"/>
            <w:noProof/>
            <w:sz w:val="22"/>
            <w:szCs w:val="22"/>
          </w:rPr>
          <w:tab/>
        </w:r>
        <w:r w:rsidR="00CE1739" w:rsidRPr="001C00A6">
          <w:rPr>
            <w:rStyle w:val="Hyperlink"/>
            <w:rFonts w:eastAsia="Times New Roman"/>
            <w:noProof/>
          </w:rPr>
          <w:t>Migration</w:t>
        </w:r>
        <w:r w:rsidR="00CE1739">
          <w:rPr>
            <w:noProof/>
            <w:webHidden/>
          </w:rPr>
          <w:tab/>
        </w:r>
        <w:r w:rsidR="00CE1739">
          <w:rPr>
            <w:noProof/>
            <w:webHidden/>
          </w:rPr>
          <w:fldChar w:fldCharType="begin"/>
        </w:r>
        <w:r w:rsidR="00CE1739">
          <w:rPr>
            <w:noProof/>
            <w:webHidden/>
          </w:rPr>
          <w:instrText xml:space="preserve"> PAGEREF _Toc128133810 \h </w:instrText>
        </w:r>
        <w:r w:rsidR="00CE1739">
          <w:rPr>
            <w:noProof/>
            <w:webHidden/>
          </w:rPr>
        </w:r>
        <w:r w:rsidR="00CE1739">
          <w:rPr>
            <w:noProof/>
            <w:webHidden/>
          </w:rPr>
          <w:fldChar w:fldCharType="separate"/>
        </w:r>
        <w:r w:rsidR="00AC79E0">
          <w:rPr>
            <w:noProof/>
            <w:webHidden/>
          </w:rPr>
          <w:t>24</w:t>
        </w:r>
        <w:r w:rsidR="00CE1739">
          <w:rPr>
            <w:noProof/>
            <w:webHidden/>
          </w:rPr>
          <w:fldChar w:fldCharType="end"/>
        </w:r>
      </w:hyperlink>
    </w:p>
    <w:p w14:paraId="594FF17D" w14:textId="15F6E3A3" w:rsidR="00CE1739" w:rsidRDefault="009C6DE5">
      <w:pPr>
        <w:pStyle w:val="TOC2"/>
        <w:tabs>
          <w:tab w:val="left" w:pos="880"/>
          <w:tab w:val="right" w:leader="dot" w:pos="9016"/>
        </w:tabs>
        <w:rPr>
          <w:rFonts w:cstheme="minorBidi"/>
          <w:noProof/>
          <w:sz w:val="22"/>
          <w:szCs w:val="22"/>
        </w:rPr>
      </w:pPr>
      <w:hyperlink w:anchor="_Toc128133811" w:history="1">
        <w:r w:rsidR="00CE1739" w:rsidRPr="001C00A6">
          <w:rPr>
            <w:rStyle w:val="Hyperlink"/>
            <w:rFonts w:eastAsia="Times New Roman"/>
            <w:noProof/>
          </w:rPr>
          <w:t>3.6</w:t>
        </w:r>
        <w:r w:rsidR="00CE1739">
          <w:rPr>
            <w:rFonts w:cstheme="minorBidi"/>
            <w:noProof/>
            <w:sz w:val="22"/>
            <w:szCs w:val="22"/>
          </w:rPr>
          <w:tab/>
        </w:r>
        <w:r w:rsidR="00CE1739" w:rsidRPr="001C00A6">
          <w:rPr>
            <w:rStyle w:val="Hyperlink"/>
            <w:rFonts w:eastAsia="Times New Roman"/>
            <w:noProof/>
          </w:rPr>
          <w:t>Fertility</w:t>
        </w:r>
        <w:r w:rsidR="00CE1739">
          <w:rPr>
            <w:noProof/>
            <w:webHidden/>
          </w:rPr>
          <w:tab/>
        </w:r>
        <w:r w:rsidR="00CE1739">
          <w:rPr>
            <w:noProof/>
            <w:webHidden/>
          </w:rPr>
          <w:fldChar w:fldCharType="begin"/>
        </w:r>
        <w:r w:rsidR="00CE1739">
          <w:rPr>
            <w:noProof/>
            <w:webHidden/>
          </w:rPr>
          <w:instrText xml:space="preserve"> PAGEREF _Toc128133811 \h </w:instrText>
        </w:r>
        <w:r w:rsidR="00CE1739">
          <w:rPr>
            <w:noProof/>
            <w:webHidden/>
          </w:rPr>
        </w:r>
        <w:r w:rsidR="00CE1739">
          <w:rPr>
            <w:noProof/>
            <w:webHidden/>
          </w:rPr>
          <w:fldChar w:fldCharType="separate"/>
        </w:r>
        <w:r w:rsidR="00AC79E0">
          <w:rPr>
            <w:noProof/>
            <w:webHidden/>
          </w:rPr>
          <w:t>27</w:t>
        </w:r>
        <w:r w:rsidR="00CE1739">
          <w:rPr>
            <w:noProof/>
            <w:webHidden/>
          </w:rPr>
          <w:fldChar w:fldCharType="end"/>
        </w:r>
      </w:hyperlink>
    </w:p>
    <w:p w14:paraId="6AF02DF0" w14:textId="5ACD9EBD" w:rsidR="00CE1739" w:rsidRDefault="009C6DE5">
      <w:pPr>
        <w:pStyle w:val="TOC2"/>
        <w:tabs>
          <w:tab w:val="left" w:pos="880"/>
          <w:tab w:val="right" w:leader="dot" w:pos="9016"/>
        </w:tabs>
        <w:rPr>
          <w:rFonts w:cstheme="minorBidi"/>
          <w:noProof/>
          <w:sz w:val="22"/>
          <w:szCs w:val="22"/>
        </w:rPr>
      </w:pPr>
      <w:hyperlink w:anchor="_Toc128133812" w:history="1">
        <w:r w:rsidR="00CE1739" w:rsidRPr="001C00A6">
          <w:rPr>
            <w:rStyle w:val="Hyperlink"/>
            <w:noProof/>
          </w:rPr>
          <w:t>3.7</w:t>
        </w:r>
        <w:r w:rsidR="00CE1739">
          <w:rPr>
            <w:rFonts w:cstheme="minorBidi"/>
            <w:noProof/>
            <w:sz w:val="22"/>
            <w:szCs w:val="22"/>
          </w:rPr>
          <w:tab/>
        </w:r>
        <w:r w:rsidR="00CE1739" w:rsidRPr="001C00A6">
          <w:rPr>
            <w:rStyle w:val="Hyperlink"/>
            <w:noProof/>
          </w:rPr>
          <w:t>GP workforce data</w:t>
        </w:r>
        <w:r w:rsidR="00CE1739">
          <w:rPr>
            <w:noProof/>
            <w:webHidden/>
          </w:rPr>
          <w:tab/>
        </w:r>
        <w:r w:rsidR="00CE1739">
          <w:rPr>
            <w:noProof/>
            <w:webHidden/>
          </w:rPr>
          <w:fldChar w:fldCharType="begin"/>
        </w:r>
        <w:r w:rsidR="00CE1739">
          <w:rPr>
            <w:noProof/>
            <w:webHidden/>
          </w:rPr>
          <w:instrText xml:space="preserve"> PAGEREF _Toc128133812 \h </w:instrText>
        </w:r>
        <w:r w:rsidR="00CE1739">
          <w:rPr>
            <w:noProof/>
            <w:webHidden/>
          </w:rPr>
        </w:r>
        <w:r w:rsidR="00CE1739">
          <w:rPr>
            <w:noProof/>
            <w:webHidden/>
          </w:rPr>
          <w:fldChar w:fldCharType="separate"/>
        </w:r>
        <w:r w:rsidR="00AC79E0">
          <w:rPr>
            <w:noProof/>
            <w:webHidden/>
          </w:rPr>
          <w:t>30</w:t>
        </w:r>
        <w:r w:rsidR="00CE1739">
          <w:rPr>
            <w:noProof/>
            <w:webHidden/>
          </w:rPr>
          <w:fldChar w:fldCharType="end"/>
        </w:r>
      </w:hyperlink>
    </w:p>
    <w:p w14:paraId="1B1F45C1" w14:textId="1517F79C" w:rsidR="00CE1739" w:rsidRDefault="009C6DE5">
      <w:pPr>
        <w:pStyle w:val="TOC1"/>
        <w:tabs>
          <w:tab w:val="left" w:pos="440"/>
          <w:tab w:val="right" w:leader="dot" w:pos="9016"/>
        </w:tabs>
        <w:rPr>
          <w:rFonts w:cstheme="minorBidi"/>
          <w:b w:val="0"/>
          <w:noProof/>
          <w:sz w:val="22"/>
          <w:szCs w:val="22"/>
        </w:rPr>
      </w:pPr>
      <w:hyperlink w:anchor="_Toc128133813" w:history="1">
        <w:r w:rsidR="00CE1739" w:rsidRPr="001C00A6">
          <w:rPr>
            <w:rStyle w:val="Hyperlink"/>
            <w:noProof/>
          </w:rPr>
          <w:t>4</w:t>
        </w:r>
        <w:r w:rsidR="00CE1739">
          <w:rPr>
            <w:rFonts w:cstheme="minorBidi"/>
            <w:b w:val="0"/>
            <w:noProof/>
            <w:sz w:val="22"/>
            <w:szCs w:val="22"/>
          </w:rPr>
          <w:tab/>
        </w:r>
        <w:r w:rsidR="00CE1739" w:rsidRPr="001C00A6">
          <w:rPr>
            <w:rStyle w:val="Hyperlink"/>
            <w:noProof/>
          </w:rPr>
          <w:t>Heath Inequalities</w:t>
        </w:r>
        <w:r w:rsidR="00CE1739">
          <w:rPr>
            <w:noProof/>
            <w:webHidden/>
          </w:rPr>
          <w:tab/>
        </w:r>
        <w:r w:rsidR="00CE1739">
          <w:rPr>
            <w:noProof/>
            <w:webHidden/>
          </w:rPr>
          <w:fldChar w:fldCharType="begin"/>
        </w:r>
        <w:r w:rsidR="00CE1739">
          <w:rPr>
            <w:noProof/>
            <w:webHidden/>
          </w:rPr>
          <w:instrText xml:space="preserve"> PAGEREF _Toc128133813 \h </w:instrText>
        </w:r>
        <w:r w:rsidR="00CE1739">
          <w:rPr>
            <w:noProof/>
            <w:webHidden/>
          </w:rPr>
        </w:r>
        <w:r w:rsidR="00CE1739">
          <w:rPr>
            <w:noProof/>
            <w:webHidden/>
          </w:rPr>
          <w:fldChar w:fldCharType="separate"/>
        </w:r>
        <w:r w:rsidR="00AC79E0">
          <w:rPr>
            <w:noProof/>
            <w:webHidden/>
          </w:rPr>
          <w:t>32</w:t>
        </w:r>
        <w:r w:rsidR="00CE1739">
          <w:rPr>
            <w:noProof/>
            <w:webHidden/>
          </w:rPr>
          <w:fldChar w:fldCharType="end"/>
        </w:r>
      </w:hyperlink>
    </w:p>
    <w:p w14:paraId="19C3B071" w14:textId="5C3D9761" w:rsidR="00CE1739" w:rsidRDefault="009C6DE5">
      <w:pPr>
        <w:pStyle w:val="TOC2"/>
        <w:tabs>
          <w:tab w:val="left" w:pos="880"/>
          <w:tab w:val="right" w:leader="dot" w:pos="9016"/>
        </w:tabs>
        <w:rPr>
          <w:rFonts w:cstheme="minorBidi"/>
          <w:noProof/>
          <w:sz w:val="22"/>
          <w:szCs w:val="22"/>
        </w:rPr>
      </w:pPr>
      <w:hyperlink w:anchor="_Toc128133814" w:history="1">
        <w:r w:rsidR="00CE1739" w:rsidRPr="001C00A6">
          <w:rPr>
            <w:rStyle w:val="Hyperlink"/>
            <w:noProof/>
          </w:rPr>
          <w:t>4.1</w:t>
        </w:r>
        <w:r w:rsidR="00CE1739">
          <w:rPr>
            <w:rFonts w:cstheme="minorBidi"/>
            <w:noProof/>
            <w:sz w:val="22"/>
            <w:szCs w:val="22"/>
          </w:rPr>
          <w:tab/>
        </w:r>
        <w:r w:rsidR="00CE1739" w:rsidRPr="001C00A6">
          <w:rPr>
            <w:rStyle w:val="Hyperlink"/>
            <w:noProof/>
          </w:rPr>
          <w:t>Impact of COVID</w:t>
        </w:r>
        <w:r w:rsidR="00CE1739">
          <w:rPr>
            <w:noProof/>
            <w:webHidden/>
          </w:rPr>
          <w:tab/>
        </w:r>
        <w:r w:rsidR="00CE1739">
          <w:rPr>
            <w:noProof/>
            <w:webHidden/>
          </w:rPr>
          <w:fldChar w:fldCharType="begin"/>
        </w:r>
        <w:r w:rsidR="00CE1739">
          <w:rPr>
            <w:noProof/>
            <w:webHidden/>
          </w:rPr>
          <w:instrText xml:space="preserve"> PAGEREF _Toc128133814 \h </w:instrText>
        </w:r>
        <w:r w:rsidR="00CE1739">
          <w:rPr>
            <w:noProof/>
            <w:webHidden/>
          </w:rPr>
        </w:r>
        <w:r w:rsidR="00CE1739">
          <w:rPr>
            <w:noProof/>
            <w:webHidden/>
          </w:rPr>
          <w:fldChar w:fldCharType="separate"/>
        </w:r>
        <w:r w:rsidR="00AC79E0">
          <w:rPr>
            <w:noProof/>
            <w:webHidden/>
          </w:rPr>
          <w:t>32</w:t>
        </w:r>
        <w:r w:rsidR="00CE1739">
          <w:rPr>
            <w:noProof/>
            <w:webHidden/>
          </w:rPr>
          <w:fldChar w:fldCharType="end"/>
        </w:r>
      </w:hyperlink>
    </w:p>
    <w:p w14:paraId="0354A2CA" w14:textId="16CCC5ED" w:rsidR="00CE1739" w:rsidRDefault="009C6DE5">
      <w:pPr>
        <w:pStyle w:val="TOC2"/>
        <w:tabs>
          <w:tab w:val="left" w:pos="880"/>
          <w:tab w:val="right" w:leader="dot" w:pos="9016"/>
        </w:tabs>
        <w:rPr>
          <w:rFonts w:cstheme="minorBidi"/>
          <w:noProof/>
          <w:sz w:val="22"/>
          <w:szCs w:val="22"/>
        </w:rPr>
      </w:pPr>
      <w:hyperlink w:anchor="_Toc128133815" w:history="1">
        <w:r w:rsidR="00CE1739" w:rsidRPr="001C00A6">
          <w:rPr>
            <w:rStyle w:val="Hyperlink"/>
            <w:noProof/>
          </w:rPr>
          <w:t>4.2</w:t>
        </w:r>
        <w:r w:rsidR="00CE1739">
          <w:rPr>
            <w:rFonts w:cstheme="minorBidi"/>
            <w:noProof/>
            <w:sz w:val="22"/>
            <w:szCs w:val="22"/>
          </w:rPr>
          <w:tab/>
        </w:r>
        <w:r w:rsidR="00CE1739" w:rsidRPr="001C00A6">
          <w:rPr>
            <w:rStyle w:val="Hyperlink"/>
            <w:noProof/>
          </w:rPr>
          <w:t>Cost of Living – examined in a later section.</w:t>
        </w:r>
        <w:r w:rsidR="00CE1739">
          <w:rPr>
            <w:noProof/>
            <w:webHidden/>
          </w:rPr>
          <w:tab/>
        </w:r>
        <w:r w:rsidR="00CE1739">
          <w:rPr>
            <w:noProof/>
            <w:webHidden/>
          </w:rPr>
          <w:fldChar w:fldCharType="begin"/>
        </w:r>
        <w:r w:rsidR="00CE1739">
          <w:rPr>
            <w:noProof/>
            <w:webHidden/>
          </w:rPr>
          <w:instrText xml:space="preserve"> PAGEREF _Toc128133815 \h </w:instrText>
        </w:r>
        <w:r w:rsidR="00CE1739">
          <w:rPr>
            <w:noProof/>
            <w:webHidden/>
          </w:rPr>
        </w:r>
        <w:r w:rsidR="00CE1739">
          <w:rPr>
            <w:noProof/>
            <w:webHidden/>
          </w:rPr>
          <w:fldChar w:fldCharType="separate"/>
        </w:r>
        <w:r w:rsidR="00AC79E0">
          <w:rPr>
            <w:noProof/>
            <w:webHidden/>
          </w:rPr>
          <w:t>33</w:t>
        </w:r>
        <w:r w:rsidR="00CE1739">
          <w:rPr>
            <w:noProof/>
            <w:webHidden/>
          </w:rPr>
          <w:fldChar w:fldCharType="end"/>
        </w:r>
      </w:hyperlink>
    </w:p>
    <w:p w14:paraId="60F5DAA6" w14:textId="349DCED7" w:rsidR="00CE1739" w:rsidRDefault="009C6DE5">
      <w:pPr>
        <w:pStyle w:val="TOC3"/>
        <w:tabs>
          <w:tab w:val="left" w:pos="1320"/>
          <w:tab w:val="right" w:leader="dot" w:pos="9016"/>
        </w:tabs>
        <w:rPr>
          <w:noProof/>
          <w:lang w:val="en-GB" w:eastAsia="en-GB"/>
        </w:rPr>
      </w:pPr>
      <w:hyperlink w:anchor="_Toc128133816" w:history="1">
        <w:r w:rsidR="00CE1739" w:rsidRPr="001C00A6">
          <w:rPr>
            <w:rStyle w:val="Hyperlink"/>
            <w:noProof/>
          </w:rPr>
          <w:t>4.2.1</w:t>
        </w:r>
        <w:r w:rsidR="00CE1739">
          <w:rPr>
            <w:noProof/>
            <w:lang w:val="en-GB" w:eastAsia="en-GB"/>
          </w:rPr>
          <w:tab/>
        </w:r>
        <w:r w:rsidR="00CE1739" w:rsidRPr="001C00A6">
          <w:rPr>
            <w:rStyle w:val="Hyperlink"/>
            <w:bCs/>
            <w:noProof/>
          </w:rPr>
          <w:t>Trend comparison of 40 health indicators by district council</w:t>
        </w:r>
        <w:r w:rsidR="00CE1739">
          <w:rPr>
            <w:noProof/>
            <w:webHidden/>
          </w:rPr>
          <w:tab/>
        </w:r>
        <w:r w:rsidR="00CE1739">
          <w:rPr>
            <w:noProof/>
            <w:webHidden/>
          </w:rPr>
          <w:fldChar w:fldCharType="begin"/>
        </w:r>
        <w:r w:rsidR="00CE1739">
          <w:rPr>
            <w:noProof/>
            <w:webHidden/>
          </w:rPr>
          <w:instrText xml:space="preserve"> PAGEREF _Toc128133816 \h </w:instrText>
        </w:r>
        <w:r w:rsidR="00CE1739">
          <w:rPr>
            <w:noProof/>
            <w:webHidden/>
          </w:rPr>
        </w:r>
        <w:r w:rsidR="00CE1739">
          <w:rPr>
            <w:noProof/>
            <w:webHidden/>
          </w:rPr>
          <w:fldChar w:fldCharType="separate"/>
        </w:r>
        <w:r w:rsidR="00AC79E0">
          <w:rPr>
            <w:noProof/>
            <w:webHidden/>
          </w:rPr>
          <w:t>33</w:t>
        </w:r>
        <w:r w:rsidR="00CE1739">
          <w:rPr>
            <w:noProof/>
            <w:webHidden/>
          </w:rPr>
          <w:fldChar w:fldCharType="end"/>
        </w:r>
      </w:hyperlink>
    </w:p>
    <w:p w14:paraId="52D20625" w14:textId="2D2A2B10" w:rsidR="00CE1739" w:rsidRDefault="009C6DE5">
      <w:pPr>
        <w:pStyle w:val="TOC1"/>
        <w:tabs>
          <w:tab w:val="left" w:pos="440"/>
          <w:tab w:val="right" w:leader="dot" w:pos="9016"/>
        </w:tabs>
        <w:rPr>
          <w:rFonts w:cstheme="minorBidi"/>
          <w:b w:val="0"/>
          <w:noProof/>
          <w:sz w:val="22"/>
          <w:szCs w:val="22"/>
        </w:rPr>
      </w:pPr>
      <w:hyperlink w:anchor="_Toc128133817" w:history="1">
        <w:r w:rsidR="00CE1739" w:rsidRPr="001C00A6">
          <w:rPr>
            <w:rStyle w:val="Hyperlink"/>
            <w:noProof/>
          </w:rPr>
          <w:t>5</w:t>
        </w:r>
        <w:r w:rsidR="00CE1739">
          <w:rPr>
            <w:rFonts w:cstheme="minorBidi"/>
            <w:b w:val="0"/>
            <w:noProof/>
            <w:sz w:val="22"/>
            <w:szCs w:val="22"/>
          </w:rPr>
          <w:tab/>
        </w:r>
        <w:r w:rsidR="00CE1739" w:rsidRPr="001C00A6">
          <w:rPr>
            <w:rStyle w:val="Hyperlink"/>
            <w:noProof/>
          </w:rPr>
          <w:t>Behaviour Change</w:t>
        </w:r>
        <w:r w:rsidR="00CE1739">
          <w:rPr>
            <w:noProof/>
            <w:webHidden/>
          </w:rPr>
          <w:tab/>
        </w:r>
        <w:r w:rsidR="00CE1739">
          <w:rPr>
            <w:noProof/>
            <w:webHidden/>
          </w:rPr>
          <w:fldChar w:fldCharType="begin"/>
        </w:r>
        <w:r w:rsidR="00CE1739">
          <w:rPr>
            <w:noProof/>
            <w:webHidden/>
          </w:rPr>
          <w:instrText xml:space="preserve"> PAGEREF _Toc128133817 \h </w:instrText>
        </w:r>
        <w:r w:rsidR="00CE1739">
          <w:rPr>
            <w:noProof/>
            <w:webHidden/>
          </w:rPr>
        </w:r>
        <w:r w:rsidR="00CE1739">
          <w:rPr>
            <w:noProof/>
            <w:webHidden/>
          </w:rPr>
          <w:fldChar w:fldCharType="separate"/>
        </w:r>
        <w:r w:rsidR="00AC79E0">
          <w:rPr>
            <w:noProof/>
            <w:webHidden/>
          </w:rPr>
          <w:t>38</w:t>
        </w:r>
        <w:r w:rsidR="00CE1739">
          <w:rPr>
            <w:noProof/>
            <w:webHidden/>
          </w:rPr>
          <w:fldChar w:fldCharType="end"/>
        </w:r>
      </w:hyperlink>
    </w:p>
    <w:p w14:paraId="5E42A33D" w14:textId="5E1B72E7" w:rsidR="00CE1739" w:rsidRDefault="009C6DE5">
      <w:pPr>
        <w:pStyle w:val="TOC2"/>
        <w:tabs>
          <w:tab w:val="left" w:pos="880"/>
          <w:tab w:val="right" w:leader="dot" w:pos="9016"/>
        </w:tabs>
        <w:rPr>
          <w:rFonts w:cstheme="minorBidi"/>
          <w:noProof/>
          <w:sz w:val="22"/>
          <w:szCs w:val="22"/>
        </w:rPr>
      </w:pPr>
      <w:hyperlink w:anchor="_Toc128133818" w:history="1">
        <w:r w:rsidR="00CE1739" w:rsidRPr="001C00A6">
          <w:rPr>
            <w:rStyle w:val="Hyperlink"/>
            <w:noProof/>
          </w:rPr>
          <w:t>5.1</w:t>
        </w:r>
        <w:r w:rsidR="00CE1739">
          <w:rPr>
            <w:rFonts w:cstheme="minorBidi"/>
            <w:noProof/>
            <w:sz w:val="22"/>
            <w:szCs w:val="22"/>
          </w:rPr>
          <w:tab/>
        </w:r>
        <w:r w:rsidR="00CE1739" w:rsidRPr="001C00A6">
          <w:rPr>
            <w:rStyle w:val="Hyperlink"/>
            <w:noProof/>
          </w:rPr>
          <w:t>Smoking</w:t>
        </w:r>
        <w:r w:rsidR="00CE1739">
          <w:rPr>
            <w:noProof/>
            <w:webHidden/>
          </w:rPr>
          <w:tab/>
        </w:r>
        <w:r w:rsidR="00CE1739">
          <w:rPr>
            <w:noProof/>
            <w:webHidden/>
          </w:rPr>
          <w:fldChar w:fldCharType="begin"/>
        </w:r>
        <w:r w:rsidR="00CE1739">
          <w:rPr>
            <w:noProof/>
            <w:webHidden/>
          </w:rPr>
          <w:instrText xml:space="preserve"> PAGEREF _Toc128133818 \h </w:instrText>
        </w:r>
        <w:r w:rsidR="00CE1739">
          <w:rPr>
            <w:noProof/>
            <w:webHidden/>
          </w:rPr>
        </w:r>
        <w:r w:rsidR="00CE1739">
          <w:rPr>
            <w:noProof/>
            <w:webHidden/>
          </w:rPr>
          <w:fldChar w:fldCharType="separate"/>
        </w:r>
        <w:r w:rsidR="00AC79E0">
          <w:rPr>
            <w:noProof/>
            <w:webHidden/>
          </w:rPr>
          <w:t>38</w:t>
        </w:r>
        <w:r w:rsidR="00CE1739">
          <w:rPr>
            <w:noProof/>
            <w:webHidden/>
          </w:rPr>
          <w:fldChar w:fldCharType="end"/>
        </w:r>
      </w:hyperlink>
    </w:p>
    <w:p w14:paraId="3D7D4748" w14:textId="3C2D3C9F" w:rsidR="00CE1739" w:rsidRDefault="009C6DE5">
      <w:pPr>
        <w:pStyle w:val="TOC2"/>
        <w:tabs>
          <w:tab w:val="left" w:pos="880"/>
          <w:tab w:val="right" w:leader="dot" w:pos="9016"/>
        </w:tabs>
        <w:rPr>
          <w:rFonts w:cstheme="minorBidi"/>
          <w:noProof/>
          <w:sz w:val="22"/>
          <w:szCs w:val="22"/>
        </w:rPr>
      </w:pPr>
      <w:hyperlink w:anchor="_Toc128133819" w:history="1">
        <w:r w:rsidR="00CE1739" w:rsidRPr="001C00A6">
          <w:rPr>
            <w:rStyle w:val="Hyperlink"/>
            <w:noProof/>
          </w:rPr>
          <w:t>5.2</w:t>
        </w:r>
        <w:r w:rsidR="00CE1739">
          <w:rPr>
            <w:rFonts w:cstheme="minorBidi"/>
            <w:noProof/>
            <w:sz w:val="22"/>
            <w:szCs w:val="22"/>
          </w:rPr>
          <w:tab/>
        </w:r>
        <w:r w:rsidR="00CE1739" w:rsidRPr="001C00A6">
          <w:rPr>
            <w:rStyle w:val="Hyperlink"/>
            <w:noProof/>
          </w:rPr>
          <w:t>Alcohol</w:t>
        </w:r>
        <w:r w:rsidR="00CE1739">
          <w:rPr>
            <w:noProof/>
            <w:webHidden/>
          </w:rPr>
          <w:tab/>
        </w:r>
        <w:r w:rsidR="00CE1739">
          <w:rPr>
            <w:noProof/>
            <w:webHidden/>
          </w:rPr>
          <w:fldChar w:fldCharType="begin"/>
        </w:r>
        <w:r w:rsidR="00CE1739">
          <w:rPr>
            <w:noProof/>
            <w:webHidden/>
          </w:rPr>
          <w:instrText xml:space="preserve"> PAGEREF _Toc128133819 \h </w:instrText>
        </w:r>
        <w:r w:rsidR="00CE1739">
          <w:rPr>
            <w:noProof/>
            <w:webHidden/>
          </w:rPr>
        </w:r>
        <w:r w:rsidR="00CE1739">
          <w:rPr>
            <w:noProof/>
            <w:webHidden/>
          </w:rPr>
          <w:fldChar w:fldCharType="separate"/>
        </w:r>
        <w:r w:rsidR="00AC79E0">
          <w:rPr>
            <w:noProof/>
            <w:webHidden/>
          </w:rPr>
          <w:t>42</w:t>
        </w:r>
        <w:r w:rsidR="00CE1739">
          <w:rPr>
            <w:noProof/>
            <w:webHidden/>
          </w:rPr>
          <w:fldChar w:fldCharType="end"/>
        </w:r>
      </w:hyperlink>
    </w:p>
    <w:p w14:paraId="0A24731F" w14:textId="53452B7C" w:rsidR="00CE1739" w:rsidRDefault="009C6DE5">
      <w:pPr>
        <w:pStyle w:val="TOC2"/>
        <w:tabs>
          <w:tab w:val="left" w:pos="880"/>
          <w:tab w:val="right" w:leader="dot" w:pos="9016"/>
        </w:tabs>
        <w:rPr>
          <w:rFonts w:cstheme="minorBidi"/>
          <w:noProof/>
          <w:sz w:val="22"/>
          <w:szCs w:val="22"/>
        </w:rPr>
      </w:pPr>
      <w:hyperlink w:anchor="_Toc128133820" w:history="1">
        <w:r w:rsidR="00CE1739" w:rsidRPr="001C00A6">
          <w:rPr>
            <w:rStyle w:val="Hyperlink"/>
            <w:noProof/>
          </w:rPr>
          <w:t>5.3</w:t>
        </w:r>
        <w:r w:rsidR="00CE1739">
          <w:rPr>
            <w:rFonts w:cstheme="minorBidi"/>
            <w:noProof/>
            <w:sz w:val="22"/>
            <w:szCs w:val="22"/>
          </w:rPr>
          <w:tab/>
        </w:r>
        <w:r w:rsidR="00CE1739" w:rsidRPr="001C00A6">
          <w:rPr>
            <w:rStyle w:val="Hyperlink"/>
            <w:noProof/>
          </w:rPr>
          <w:t>Adult Obesity</w:t>
        </w:r>
        <w:r w:rsidR="00CE1739">
          <w:rPr>
            <w:noProof/>
            <w:webHidden/>
          </w:rPr>
          <w:tab/>
        </w:r>
        <w:r w:rsidR="00CE1739">
          <w:rPr>
            <w:noProof/>
            <w:webHidden/>
          </w:rPr>
          <w:fldChar w:fldCharType="begin"/>
        </w:r>
        <w:r w:rsidR="00CE1739">
          <w:rPr>
            <w:noProof/>
            <w:webHidden/>
          </w:rPr>
          <w:instrText xml:space="preserve"> PAGEREF _Toc128133820 \h </w:instrText>
        </w:r>
        <w:r w:rsidR="00CE1739">
          <w:rPr>
            <w:noProof/>
            <w:webHidden/>
          </w:rPr>
        </w:r>
        <w:r w:rsidR="00CE1739">
          <w:rPr>
            <w:noProof/>
            <w:webHidden/>
          </w:rPr>
          <w:fldChar w:fldCharType="separate"/>
        </w:r>
        <w:r w:rsidR="00AC79E0">
          <w:rPr>
            <w:noProof/>
            <w:webHidden/>
          </w:rPr>
          <w:t>44</w:t>
        </w:r>
        <w:r w:rsidR="00CE1739">
          <w:rPr>
            <w:noProof/>
            <w:webHidden/>
          </w:rPr>
          <w:fldChar w:fldCharType="end"/>
        </w:r>
      </w:hyperlink>
    </w:p>
    <w:p w14:paraId="33611732" w14:textId="29659355" w:rsidR="00CE1739" w:rsidRDefault="009C6DE5">
      <w:pPr>
        <w:pStyle w:val="TOC2"/>
        <w:tabs>
          <w:tab w:val="left" w:pos="880"/>
          <w:tab w:val="right" w:leader="dot" w:pos="9016"/>
        </w:tabs>
        <w:rPr>
          <w:rFonts w:cstheme="minorBidi"/>
          <w:noProof/>
          <w:sz w:val="22"/>
          <w:szCs w:val="22"/>
        </w:rPr>
      </w:pPr>
      <w:hyperlink w:anchor="_Toc128133821" w:history="1">
        <w:r w:rsidR="00CE1739" w:rsidRPr="001C00A6">
          <w:rPr>
            <w:rStyle w:val="Hyperlink"/>
            <w:rFonts w:eastAsia="Calibri"/>
            <w:noProof/>
          </w:rPr>
          <w:t>5.4</w:t>
        </w:r>
        <w:r w:rsidR="00CE1739">
          <w:rPr>
            <w:rFonts w:cstheme="minorBidi"/>
            <w:noProof/>
            <w:sz w:val="22"/>
            <w:szCs w:val="22"/>
          </w:rPr>
          <w:tab/>
        </w:r>
        <w:r w:rsidR="00CE1739" w:rsidRPr="001C00A6">
          <w:rPr>
            <w:rStyle w:val="Hyperlink"/>
            <w:rFonts w:eastAsia="Calibri"/>
            <w:noProof/>
          </w:rPr>
          <w:t>Childhood obesity</w:t>
        </w:r>
        <w:r w:rsidR="00CE1739">
          <w:rPr>
            <w:noProof/>
            <w:webHidden/>
          </w:rPr>
          <w:tab/>
        </w:r>
        <w:r w:rsidR="00CE1739">
          <w:rPr>
            <w:noProof/>
            <w:webHidden/>
          </w:rPr>
          <w:fldChar w:fldCharType="begin"/>
        </w:r>
        <w:r w:rsidR="00CE1739">
          <w:rPr>
            <w:noProof/>
            <w:webHidden/>
          </w:rPr>
          <w:instrText xml:space="preserve"> PAGEREF _Toc128133821 \h </w:instrText>
        </w:r>
        <w:r w:rsidR="00CE1739">
          <w:rPr>
            <w:noProof/>
            <w:webHidden/>
          </w:rPr>
        </w:r>
        <w:r w:rsidR="00CE1739">
          <w:rPr>
            <w:noProof/>
            <w:webHidden/>
          </w:rPr>
          <w:fldChar w:fldCharType="separate"/>
        </w:r>
        <w:r w:rsidR="00AC79E0">
          <w:rPr>
            <w:noProof/>
            <w:webHidden/>
          </w:rPr>
          <w:t>47</w:t>
        </w:r>
        <w:r w:rsidR="00CE1739">
          <w:rPr>
            <w:noProof/>
            <w:webHidden/>
          </w:rPr>
          <w:fldChar w:fldCharType="end"/>
        </w:r>
      </w:hyperlink>
    </w:p>
    <w:p w14:paraId="2EC3B614" w14:textId="6A6134A0" w:rsidR="00CE1739" w:rsidRDefault="009C6DE5">
      <w:pPr>
        <w:pStyle w:val="TOC2"/>
        <w:tabs>
          <w:tab w:val="left" w:pos="880"/>
          <w:tab w:val="right" w:leader="dot" w:pos="9016"/>
        </w:tabs>
        <w:rPr>
          <w:rFonts w:cstheme="minorBidi"/>
          <w:noProof/>
          <w:sz w:val="22"/>
          <w:szCs w:val="22"/>
        </w:rPr>
      </w:pPr>
      <w:hyperlink w:anchor="_Toc128133822" w:history="1">
        <w:r w:rsidR="00CE1739" w:rsidRPr="001C00A6">
          <w:rPr>
            <w:rStyle w:val="Hyperlink"/>
            <w:rFonts w:eastAsia="Calibri"/>
            <w:noProof/>
          </w:rPr>
          <w:t>5.5</w:t>
        </w:r>
        <w:r w:rsidR="00CE1739">
          <w:rPr>
            <w:rFonts w:cstheme="minorBidi"/>
            <w:noProof/>
            <w:sz w:val="22"/>
            <w:szCs w:val="22"/>
          </w:rPr>
          <w:tab/>
        </w:r>
        <w:r w:rsidR="00CE1739" w:rsidRPr="001C00A6">
          <w:rPr>
            <w:rStyle w:val="Hyperlink"/>
            <w:rFonts w:eastAsia="Calibri"/>
            <w:noProof/>
          </w:rPr>
          <w:t>Physical Activity</w:t>
        </w:r>
        <w:r w:rsidR="00CE1739">
          <w:rPr>
            <w:noProof/>
            <w:webHidden/>
          </w:rPr>
          <w:tab/>
        </w:r>
        <w:r w:rsidR="00CE1739">
          <w:rPr>
            <w:noProof/>
            <w:webHidden/>
          </w:rPr>
          <w:fldChar w:fldCharType="begin"/>
        </w:r>
        <w:r w:rsidR="00CE1739">
          <w:rPr>
            <w:noProof/>
            <w:webHidden/>
          </w:rPr>
          <w:instrText xml:space="preserve"> PAGEREF _Toc128133822 \h </w:instrText>
        </w:r>
        <w:r w:rsidR="00CE1739">
          <w:rPr>
            <w:noProof/>
            <w:webHidden/>
          </w:rPr>
        </w:r>
        <w:r w:rsidR="00CE1739">
          <w:rPr>
            <w:noProof/>
            <w:webHidden/>
          </w:rPr>
          <w:fldChar w:fldCharType="separate"/>
        </w:r>
        <w:r w:rsidR="00AC79E0">
          <w:rPr>
            <w:noProof/>
            <w:webHidden/>
          </w:rPr>
          <w:t>50</w:t>
        </w:r>
        <w:r w:rsidR="00CE1739">
          <w:rPr>
            <w:noProof/>
            <w:webHidden/>
          </w:rPr>
          <w:fldChar w:fldCharType="end"/>
        </w:r>
      </w:hyperlink>
    </w:p>
    <w:p w14:paraId="252CD9BC" w14:textId="09C1B50C" w:rsidR="00CE1739" w:rsidRDefault="009C6DE5">
      <w:pPr>
        <w:pStyle w:val="TOC1"/>
        <w:tabs>
          <w:tab w:val="left" w:pos="440"/>
          <w:tab w:val="right" w:leader="dot" w:pos="9016"/>
        </w:tabs>
        <w:rPr>
          <w:rFonts w:cstheme="minorBidi"/>
          <w:b w:val="0"/>
          <w:noProof/>
          <w:sz w:val="22"/>
          <w:szCs w:val="22"/>
        </w:rPr>
      </w:pPr>
      <w:hyperlink w:anchor="_Toc128133823" w:history="1">
        <w:r w:rsidR="00CE1739" w:rsidRPr="001C00A6">
          <w:rPr>
            <w:rStyle w:val="Hyperlink"/>
            <w:noProof/>
          </w:rPr>
          <w:t>6</w:t>
        </w:r>
        <w:r w:rsidR="00CE1739">
          <w:rPr>
            <w:rFonts w:cstheme="minorBidi"/>
            <w:b w:val="0"/>
            <w:noProof/>
            <w:sz w:val="22"/>
            <w:szCs w:val="22"/>
          </w:rPr>
          <w:tab/>
        </w:r>
        <w:r w:rsidR="00CE1739" w:rsidRPr="001C00A6">
          <w:rPr>
            <w:rStyle w:val="Hyperlink"/>
            <w:rFonts w:ascii="Calibri" w:hAnsi="Calibri" w:cs="Calibri"/>
            <w:noProof/>
          </w:rPr>
          <w:t>Multimorbidity</w:t>
        </w:r>
        <w:r w:rsidR="00CE1739">
          <w:rPr>
            <w:noProof/>
            <w:webHidden/>
          </w:rPr>
          <w:tab/>
        </w:r>
        <w:r w:rsidR="00CE1739">
          <w:rPr>
            <w:noProof/>
            <w:webHidden/>
          </w:rPr>
          <w:fldChar w:fldCharType="begin"/>
        </w:r>
        <w:r w:rsidR="00CE1739">
          <w:rPr>
            <w:noProof/>
            <w:webHidden/>
          </w:rPr>
          <w:instrText xml:space="preserve"> PAGEREF _Toc128133823 \h </w:instrText>
        </w:r>
        <w:r w:rsidR="00CE1739">
          <w:rPr>
            <w:noProof/>
            <w:webHidden/>
          </w:rPr>
        </w:r>
        <w:r w:rsidR="00CE1739">
          <w:rPr>
            <w:noProof/>
            <w:webHidden/>
          </w:rPr>
          <w:fldChar w:fldCharType="separate"/>
        </w:r>
        <w:r w:rsidR="00AC79E0">
          <w:rPr>
            <w:noProof/>
            <w:webHidden/>
          </w:rPr>
          <w:t>50</w:t>
        </w:r>
        <w:r w:rsidR="00CE1739">
          <w:rPr>
            <w:noProof/>
            <w:webHidden/>
          </w:rPr>
          <w:fldChar w:fldCharType="end"/>
        </w:r>
      </w:hyperlink>
    </w:p>
    <w:p w14:paraId="44A9CB2D" w14:textId="4B2E987E" w:rsidR="00CE1739" w:rsidRDefault="009C6DE5">
      <w:pPr>
        <w:pStyle w:val="TOC1"/>
        <w:tabs>
          <w:tab w:val="left" w:pos="440"/>
          <w:tab w:val="right" w:leader="dot" w:pos="9016"/>
        </w:tabs>
        <w:rPr>
          <w:rFonts w:cstheme="minorBidi"/>
          <w:b w:val="0"/>
          <w:noProof/>
          <w:sz w:val="22"/>
          <w:szCs w:val="22"/>
        </w:rPr>
      </w:pPr>
      <w:hyperlink w:anchor="_Toc128133824" w:history="1">
        <w:r w:rsidR="00CE1739" w:rsidRPr="001C00A6">
          <w:rPr>
            <w:rStyle w:val="Hyperlink"/>
            <w:rFonts w:eastAsia="Times New Roman"/>
            <w:noProof/>
          </w:rPr>
          <w:t>7</w:t>
        </w:r>
        <w:r w:rsidR="00CE1739">
          <w:rPr>
            <w:rFonts w:cstheme="minorBidi"/>
            <w:b w:val="0"/>
            <w:noProof/>
            <w:sz w:val="22"/>
            <w:szCs w:val="22"/>
          </w:rPr>
          <w:tab/>
        </w:r>
        <w:r w:rsidR="00CE1739" w:rsidRPr="001C00A6">
          <w:rPr>
            <w:rStyle w:val="Hyperlink"/>
            <w:rFonts w:eastAsia="Times New Roman"/>
            <w:noProof/>
          </w:rPr>
          <w:t>Frailty</w:t>
        </w:r>
        <w:r w:rsidR="00CE1739">
          <w:rPr>
            <w:noProof/>
            <w:webHidden/>
          </w:rPr>
          <w:tab/>
        </w:r>
        <w:r w:rsidR="00CE1739">
          <w:rPr>
            <w:noProof/>
            <w:webHidden/>
          </w:rPr>
          <w:fldChar w:fldCharType="begin"/>
        </w:r>
        <w:r w:rsidR="00CE1739">
          <w:rPr>
            <w:noProof/>
            <w:webHidden/>
          </w:rPr>
          <w:instrText xml:space="preserve"> PAGEREF _Toc128133824 \h </w:instrText>
        </w:r>
        <w:r w:rsidR="00CE1739">
          <w:rPr>
            <w:noProof/>
            <w:webHidden/>
          </w:rPr>
        </w:r>
        <w:r w:rsidR="00CE1739">
          <w:rPr>
            <w:noProof/>
            <w:webHidden/>
          </w:rPr>
          <w:fldChar w:fldCharType="separate"/>
        </w:r>
        <w:r w:rsidR="00AC79E0">
          <w:rPr>
            <w:noProof/>
            <w:webHidden/>
          </w:rPr>
          <w:t>54</w:t>
        </w:r>
        <w:r w:rsidR="00CE1739">
          <w:rPr>
            <w:noProof/>
            <w:webHidden/>
          </w:rPr>
          <w:fldChar w:fldCharType="end"/>
        </w:r>
      </w:hyperlink>
    </w:p>
    <w:p w14:paraId="40E45AEF" w14:textId="04179EBC" w:rsidR="00CE1739" w:rsidRDefault="009C6DE5">
      <w:pPr>
        <w:pStyle w:val="TOC1"/>
        <w:tabs>
          <w:tab w:val="left" w:pos="440"/>
          <w:tab w:val="right" w:leader="dot" w:pos="9016"/>
        </w:tabs>
        <w:rPr>
          <w:rFonts w:cstheme="minorBidi"/>
          <w:b w:val="0"/>
          <w:noProof/>
          <w:sz w:val="22"/>
          <w:szCs w:val="22"/>
        </w:rPr>
      </w:pPr>
      <w:hyperlink w:anchor="_Toc128133825" w:history="1">
        <w:r w:rsidR="00CE1739" w:rsidRPr="001C00A6">
          <w:rPr>
            <w:rStyle w:val="Hyperlink"/>
            <w:rFonts w:eastAsia="Times New Roman"/>
            <w:noProof/>
          </w:rPr>
          <w:t>8</w:t>
        </w:r>
        <w:r w:rsidR="00CE1739">
          <w:rPr>
            <w:rFonts w:cstheme="minorBidi"/>
            <w:b w:val="0"/>
            <w:noProof/>
            <w:sz w:val="22"/>
            <w:szCs w:val="22"/>
          </w:rPr>
          <w:tab/>
        </w:r>
        <w:r w:rsidR="00CE1739" w:rsidRPr="001C00A6">
          <w:rPr>
            <w:rStyle w:val="Hyperlink"/>
            <w:rFonts w:eastAsia="Times New Roman"/>
            <w:noProof/>
          </w:rPr>
          <w:t>Falls</w:t>
        </w:r>
        <w:r w:rsidR="00CE1739">
          <w:rPr>
            <w:noProof/>
            <w:webHidden/>
          </w:rPr>
          <w:tab/>
        </w:r>
        <w:r w:rsidR="00CE1739">
          <w:rPr>
            <w:noProof/>
            <w:webHidden/>
          </w:rPr>
          <w:fldChar w:fldCharType="begin"/>
        </w:r>
        <w:r w:rsidR="00CE1739">
          <w:rPr>
            <w:noProof/>
            <w:webHidden/>
          </w:rPr>
          <w:instrText xml:space="preserve"> PAGEREF _Toc128133825 \h </w:instrText>
        </w:r>
        <w:r w:rsidR="00CE1739">
          <w:rPr>
            <w:noProof/>
            <w:webHidden/>
          </w:rPr>
        </w:r>
        <w:r w:rsidR="00CE1739">
          <w:rPr>
            <w:noProof/>
            <w:webHidden/>
          </w:rPr>
          <w:fldChar w:fldCharType="separate"/>
        </w:r>
        <w:r w:rsidR="00AC79E0">
          <w:rPr>
            <w:noProof/>
            <w:webHidden/>
          </w:rPr>
          <w:t>58</w:t>
        </w:r>
        <w:r w:rsidR="00CE1739">
          <w:rPr>
            <w:noProof/>
            <w:webHidden/>
          </w:rPr>
          <w:fldChar w:fldCharType="end"/>
        </w:r>
      </w:hyperlink>
    </w:p>
    <w:p w14:paraId="138157A5" w14:textId="0FFB8960" w:rsidR="00CE1739" w:rsidRDefault="009C6DE5">
      <w:pPr>
        <w:pStyle w:val="TOC2"/>
        <w:tabs>
          <w:tab w:val="left" w:pos="880"/>
          <w:tab w:val="right" w:leader="dot" w:pos="9016"/>
        </w:tabs>
        <w:rPr>
          <w:rFonts w:cstheme="minorBidi"/>
          <w:noProof/>
          <w:sz w:val="22"/>
          <w:szCs w:val="22"/>
        </w:rPr>
      </w:pPr>
      <w:hyperlink w:anchor="_Toc128133826" w:history="1">
        <w:r w:rsidR="00CE1739" w:rsidRPr="001C00A6">
          <w:rPr>
            <w:rStyle w:val="Hyperlink"/>
            <w:rFonts w:eastAsia="Times New Roman"/>
            <w:noProof/>
          </w:rPr>
          <w:t>8.1</w:t>
        </w:r>
        <w:r w:rsidR="00CE1739">
          <w:rPr>
            <w:rFonts w:cstheme="minorBidi"/>
            <w:noProof/>
            <w:sz w:val="22"/>
            <w:szCs w:val="22"/>
          </w:rPr>
          <w:tab/>
        </w:r>
        <w:r w:rsidR="00CE1739" w:rsidRPr="001C00A6">
          <w:rPr>
            <w:rStyle w:val="Hyperlink"/>
            <w:rFonts w:eastAsia="Times New Roman"/>
            <w:noProof/>
          </w:rPr>
          <w:t>Falls-related injury.</w:t>
        </w:r>
        <w:r w:rsidR="00CE1739">
          <w:rPr>
            <w:noProof/>
            <w:webHidden/>
          </w:rPr>
          <w:tab/>
        </w:r>
        <w:r w:rsidR="00CE1739">
          <w:rPr>
            <w:noProof/>
            <w:webHidden/>
          </w:rPr>
          <w:fldChar w:fldCharType="begin"/>
        </w:r>
        <w:r w:rsidR="00CE1739">
          <w:rPr>
            <w:noProof/>
            <w:webHidden/>
          </w:rPr>
          <w:instrText xml:space="preserve"> PAGEREF _Toc128133826 \h </w:instrText>
        </w:r>
        <w:r w:rsidR="00CE1739">
          <w:rPr>
            <w:noProof/>
            <w:webHidden/>
          </w:rPr>
        </w:r>
        <w:r w:rsidR="00CE1739">
          <w:rPr>
            <w:noProof/>
            <w:webHidden/>
          </w:rPr>
          <w:fldChar w:fldCharType="separate"/>
        </w:r>
        <w:r w:rsidR="00AC79E0">
          <w:rPr>
            <w:noProof/>
            <w:webHidden/>
          </w:rPr>
          <w:t>58</w:t>
        </w:r>
        <w:r w:rsidR="00CE1739">
          <w:rPr>
            <w:noProof/>
            <w:webHidden/>
          </w:rPr>
          <w:fldChar w:fldCharType="end"/>
        </w:r>
      </w:hyperlink>
    </w:p>
    <w:p w14:paraId="640C2018" w14:textId="72236E7E" w:rsidR="00CE1739" w:rsidRDefault="009C6DE5">
      <w:pPr>
        <w:pStyle w:val="TOC2"/>
        <w:tabs>
          <w:tab w:val="left" w:pos="880"/>
          <w:tab w:val="right" w:leader="dot" w:pos="9016"/>
        </w:tabs>
        <w:rPr>
          <w:rFonts w:cstheme="minorBidi"/>
          <w:noProof/>
          <w:sz w:val="22"/>
          <w:szCs w:val="22"/>
        </w:rPr>
      </w:pPr>
      <w:hyperlink w:anchor="_Toc128133827" w:history="1">
        <w:r w:rsidR="00CE1739" w:rsidRPr="001C00A6">
          <w:rPr>
            <w:rStyle w:val="Hyperlink"/>
            <w:rFonts w:eastAsia="Times New Roman"/>
            <w:noProof/>
          </w:rPr>
          <w:t>8.2</w:t>
        </w:r>
        <w:r w:rsidR="00CE1739">
          <w:rPr>
            <w:rFonts w:cstheme="minorBidi"/>
            <w:noProof/>
            <w:sz w:val="22"/>
            <w:szCs w:val="22"/>
          </w:rPr>
          <w:tab/>
        </w:r>
        <w:r w:rsidR="00CE1739" w:rsidRPr="001C00A6">
          <w:rPr>
            <w:rStyle w:val="Hyperlink"/>
            <w:rFonts w:eastAsia="Times New Roman"/>
            <w:noProof/>
          </w:rPr>
          <w:t>Services in West Kent for Falls Prevention</w:t>
        </w:r>
        <w:r w:rsidR="00CE1739">
          <w:rPr>
            <w:noProof/>
            <w:webHidden/>
          </w:rPr>
          <w:tab/>
        </w:r>
        <w:r w:rsidR="00CE1739">
          <w:rPr>
            <w:noProof/>
            <w:webHidden/>
          </w:rPr>
          <w:fldChar w:fldCharType="begin"/>
        </w:r>
        <w:r w:rsidR="00CE1739">
          <w:rPr>
            <w:noProof/>
            <w:webHidden/>
          </w:rPr>
          <w:instrText xml:space="preserve"> PAGEREF _Toc128133827 \h </w:instrText>
        </w:r>
        <w:r w:rsidR="00CE1739">
          <w:rPr>
            <w:noProof/>
            <w:webHidden/>
          </w:rPr>
        </w:r>
        <w:r w:rsidR="00CE1739">
          <w:rPr>
            <w:noProof/>
            <w:webHidden/>
          </w:rPr>
          <w:fldChar w:fldCharType="separate"/>
        </w:r>
        <w:r w:rsidR="00AC79E0">
          <w:rPr>
            <w:noProof/>
            <w:webHidden/>
          </w:rPr>
          <w:t>65</w:t>
        </w:r>
        <w:r w:rsidR="00CE1739">
          <w:rPr>
            <w:noProof/>
            <w:webHidden/>
          </w:rPr>
          <w:fldChar w:fldCharType="end"/>
        </w:r>
      </w:hyperlink>
    </w:p>
    <w:p w14:paraId="403819AD" w14:textId="071ADBAE" w:rsidR="00CE1739" w:rsidRDefault="009C6DE5">
      <w:pPr>
        <w:pStyle w:val="TOC1"/>
        <w:tabs>
          <w:tab w:val="left" w:pos="440"/>
          <w:tab w:val="right" w:leader="dot" w:pos="9016"/>
        </w:tabs>
        <w:rPr>
          <w:rFonts w:cstheme="minorBidi"/>
          <w:b w:val="0"/>
          <w:noProof/>
          <w:sz w:val="22"/>
          <w:szCs w:val="22"/>
        </w:rPr>
      </w:pPr>
      <w:hyperlink w:anchor="_Toc128133828" w:history="1">
        <w:r w:rsidR="00CE1739" w:rsidRPr="001C00A6">
          <w:rPr>
            <w:rStyle w:val="Hyperlink"/>
            <w:noProof/>
          </w:rPr>
          <w:t>9</w:t>
        </w:r>
        <w:r w:rsidR="00CE1739">
          <w:rPr>
            <w:rFonts w:cstheme="minorBidi"/>
            <w:b w:val="0"/>
            <w:noProof/>
            <w:sz w:val="22"/>
            <w:szCs w:val="22"/>
          </w:rPr>
          <w:tab/>
        </w:r>
        <w:r w:rsidR="00CE1739" w:rsidRPr="001C00A6">
          <w:rPr>
            <w:rStyle w:val="Hyperlink"/>
            <w:noProof/>
          </w:rPr>
          <w:t>Dementia</w:t>
        </w:r>
        <w:r w:rsidR="00CE1739">
          <w:rPr>
            <w:noProof/>
            <w:webHidden/>
          </w:rPr>
          <w:tab/>
        </w:r>
        <w:r w:rsidR="00CE1739">
          <w:rPr>
            <w:noProof/>
            <w:webHidden/>
          </w:rPr>
          <w:fldChar w:fldCharType="begin"/>
        </w:r>
        <w:r w:rsidR="00CE1739">
          <w:rPr>
            <w:noProof/>
            <w:webHidden/>
          </w:rPr>
          <w:instrText xml:space="preserve"> PAGEREF _Toc128133828 \h </w:instrText>
        </w:r>
        <w:r w:rsidR="00CE1739">
          <w:rPr>
            <w:noProof/>
            <w:webHidden/>
          </w:rPr>
        </w:r>
        <w:r w:rsidR="00CE1739">
          <w:rPr>
            <w:noProof/>
            <w:webHidden/>
          </w:rPr>
          <w:fldChar w:fldCharType="separate"/>
        </w:r>
        <w:r w:rsidR="00AC79E0">
          <w:rPr>
            <w:noProof/>
            <w:webHidden/>
          </w:rPr>
          <w:t>66</w:t>
        </w:r>
        <w:r w:rsidR="00CE1739">
          <w:rPr>
            <w:noProof/>
            <w:webHidden/>
          </w:rPr>
          <w:fldChar w:fldCharType="end"/>
        </w:r>
      </w:hyperlink>
    </w:p>
    <w:p w14:paraId="433DDD56" w14:textId="06D62D92" w:rsidR="00CE1739" w:rsidRDefault="009C6DE5">
      <w:pPr>
        <w:pStyle w:val="TOC1"/>
        <w:tabs>
          <w:tab w:val="left" w:pos="660"/>
          <w:tab w:val="right" w:leader="dot" w:pos="9016"/>
        </w:tabs>
        <w:rPr>
          <w:rFonts w:cstheme="minorBidi"/>
          <w:b w:val="0"/>
          <w:noProof/>
          <w:sz w:val="22"/>
          <w:szCs w:val="22"/>
        </w:rPr>
      </w:pPr>
      <w:hyperlink w:anchor="_Toc128133829" w:history="1">
        <w:r w:rsidR="00CE1739" w:rsidRPr="001C00A6">
          <w:rPr>
            <w:rStyle w:val="Hyperlink"/>
            <w:noProof/>
          </w:rPr>
          <w:t>10</w:t>
        </w:r>
        <w:r w:rsidR="00CE1739">
          <w:rPr>
            <w:rFonts w:cstheme="minorBidi"/>
            <w:b w:val="0"/>
            <w:noProof/>
            <w:sz w:val="22"/>
            <w:szCs w:val="22"/>
          </w:rPr>
          <w:tab/>
        </w:r>
        <w:r w:rsidR="00CE1739" w:rsidRPr="001C00A6">
          <w:rPr>
            <w:rStyle w:val="Hyperlink"/>
            <w:noProof/>
          </w:rPr>
          <w:t>Adult Mental Health in West Kent</w:t>
        </w:r>
        <w:r w:rsidR="00CE1739">
          <w:rPr>
            <w:noProof/>
            <w:webHidden/>
          </w:rPr>
          <w:tab/>
        </w:r>
        <w:r w:rsidR="00CE1739">
          <w:rPr>
            <w:noProof/>
            <w:webHidden/>
          </w:rPr>
          <w:fldChar w:fldCharType="begin"/>
        </w:r>
        <w:r w:rsidR="00CE1739">
          <w:rPr>
            <w:noProof/>
            <w:webHidden/>
          </w:rPr>
          <w:instrText xml:space="preserve"> PAGEREF _Toc128133829 \h </w:instrText>
        </w:r>
        <w:r w:rsidR="00CE1739">
          <w:rPr>
            <w:noProof/>
            <w:webHidden/>
          </w:rPr>
        </w:r>
        <w:r w:rsidR="00CE1739">
          <w:rPr>
            <w:noProof/>
            <w:webHidden/>
          </w:rPr>
          <w:fldChar w:fldCharType="separate"/>
        </w:r>
        <w:r w:rsidR="00AC79E0">
          <w:rPr>
            <w:noProof/>
            <w:webHidden/>
          </w:rPr>
          <w:t>67</w:t>
        </w:r>
        <w:r w:rsidR="00CE1739">
          <w:rPr>
            <w:noProof/>
            <w:webHidden/>
          </w:rPr>
          <w:fldChar w:fldCharType="end"/>
        </w:r>
      </w:hyperlink>
    </w:p>
    <w:p w14:paraId="3760FDC4" w14:textId="27E29FF3" w:rsidR="00CE1739" w:rsidRDefault="009C6DE5">
      <w:pPr>
        <w:pStyle w:val="TOC2"/>
        <w:tabs>
          <w:tab w:val="left" w:pos="1100"/>
          <w:tab w:val="right" w:leader="dot" w:pos="9016"/>
        </w:tabs>
        <w:rPr>
          <w:rFonts w:cstheme="minorBidi"/>
          <w:noProof/>
          <w:sz w:val="22"/>
          <w:szCs w:val="22"/>
        </w:rPr>
      </w:pPr>
      <w:hyperlink w:anchor="_Toc128133830" w:history="1">
        <w:r w:rsidR="00CE1739" w:rsidRPr="001C00A6">
          <w:rPr>
            <w:rStyle w:val="Hyperlink"/>
            <w:noProof/>
          </w:rPr>
          <w:t>10.1</w:t>
        </w:r>
        <w:r w:rsidR="00CE1739">
          <w:rPr>
            <w:rFonts w:cstheme="minorBidi"/>
            <w:noProof/>
            <w:sz w:val="22"/>
            <w:szCs w:val="22"/>
          </w:rPr>
          <w:tab/>
        </w:r>
        <w:r w:rsidR="00CE1739" w:rsidRPr="001C00A6">
          <w:rPr>
            <w:rStyle w:val="Hyperlink"/>
            <w:noProof/>
          </w:rPr>
          <w:t>Introduction</w:t>
        </w:r>
        <w:r w:rsidR="00CE1739">
          <w:rPr>
            <w:noProof/>
            <w:webHidden/>
          </w:rPr>
          <w:tab/>
        </w:r>
        <w:r w:rsidR="00CE1739">
          <w:rPr>
            <w:noProof/>
            <w:webHidden/>
          </w:rPr>
          <w:fldChar w:fldCharType="begin"/>
        </w:r>
        <w:r w:rsidR="00CE1739">
          <w:rPr>
            <w:noProof/>
            <w:webHidden/>
          </w:rPr>
          <w:instrText xml:space="preserve"> PAGEREF _Toc128133830 \h </w:instrText>
        </w:r>
        <w:r w:rsidR="00CE1739">
          <w:rPr>
            <w:noProof/>
            <w:webHidden/>
          </w:rPr>
        </w:r>
        <w:r w:rsidR="00CE1739">
          <w:rPr>
            <w:noProof/>
            <w:webHidden/>
          </w:rPr>
          <w:fldChar w:fldCharType="separate"/>
        </w:r>
        <w:r w:rsidR="00AC79E0">
          <w:rPr>
            <w:noProof/>
            <w:webHidden/>
          </w:rPr>
          <w:t>67</w:t>
        </w:r>
        <w:r w:rsidR="00CE1739">
          <w:rPr>
            <w:noProof/>
            <w:webHidden/>
          </w:rPr>
          <w:fldChar w:fldCharType="end"/>
        </w:r>
      </w:hyperlink>
    </w:p>
    <w:p w14:paraId="1EF413A9" w14:textId="07EEBA4C" w:rsidR="00CE1739" w:rsidRDefault="009C6DE5">
      <w:pPr>
        <w:pStyle w:val="TOC2"/>
        <w:tabs>
          <w:tab w:val="left" w:pos="1100"/>
          <w:tab w:val="right" w:leader="dot" w:pos="9016"/>
        </w:tabs>
        <w:rPr>
          <w:rFonts w:cstheme="minorBidi"/>
          <w:noProof/>
          <w:sz w:val="22"/>
          <w:szCs w:val="22"/>
        </w:rPr>
      </w:pPr>
      <w:hyperlink w:anchor="_Toc128133831" w:history="1">
        <w:r w:rsidR="00CE1739" w:rsidRPr="001C00A6">
          <w:rPr>
            <w:rStyle w:val="Hyperlink"/>
            <w:noProof/>
          </w:rPr>
          <w:t>10.2</w:t>
        </w:r>
        <w:r w:rsidR="00CE1739">
          <w:rPr>
            <w:rFonts w:cstheme="minorBidi"/>
            <w:noProof/>
            <w:sz w:val="22"/>
            <w:szCs w:val="22"/>
          </w:rPr>
          <w:tab/>
        </w:r>
        <w:r w:rsidR="00CE1739" w:rsidRPr="001C00A6">
          <w:rPr>
            <w:rStyle w:val="Hyperlink"/>
            <w:rFonts w:eastAsia="Calibri"/>
            <w:noProof/>
          </w:rPr>
          <w:t>APMS Prevalence of Common Mental Health Illness (CMI)/ Conditions</w:t>
        </w:r>
        <w:r w:rsidR="00CE1739">
          <w:rPr>
            <w:noProof/>
            <w:webHidden/>
          </w:rPr>
          <w:tab/>
        </w:r>
        <w:r w:rsidR="00CE1739">
          <w:rPr>
            <w:noProof/>
            <w:webHidden/>
          </w:rPr>
          <w:fldChar w:fldCharType="begin"/>
        </w:r>
        <w:r w:rsidR="00CE1739">
          <w:rPr>
            <w:noProof/>
            <w:webHidden/>
          </w:rPr>
          <w:instrText xml:space="preserve"> PAGEREF _Toc128133831 \h </w:instrText>
        </w:r>
        <w:r w:rsidR="00CE1739">
          <w:rPr>
            <w:noProof/>
            <w:webHidden/>
          </w:rPr>
        </w:r>
        <w:r w:rsidR="00CE1739">
          <w:rPr>
            <w:noProof/>
            <w:webHidden/>
          </w:rPr>
          <w:fldChar w:fldCharType="separate"/>
        </w:r>
        <w:r w:rsidR="00AC79E0">
          <w:rPr>
            <w:noProof/>
            <w:webHidden/>
          </w:rPr>
          <w:t>67</w:t>
        </w:r>
        <w:r w:rsidR="00CE1739">
          <w:rPr>
            <w:noProof/>
            <w:webHidden/>
          </w:rPr>
          <w:fldChar w:fldCharType="end"/>
        </w:r>
      </w:hyperlink>
    </w:p>
    <w:p w14:paraId="14A2EA80" w14:textId="467DDCD8" w:rsidR="00CE1739" w:rsidRDefault="009C6DE5">
      <w:pPr>
        <w:pStyle w:val="TOC2"/>
        <w:tabs>
          <w:tab w:val="left" w:pos="1100"/>
          <w:tab w:val="right" w:leader="dot" w:pos="9016"/>
        </w:tabs>
        <w:rPr>
          <w:rFonts w:cstheme="minorBidi"/>
          <w:noProof/>
          <w:sz w:val="22"/>
          <w:szCs w:val="22"/>
        </w:rPr>
      </w:pPr>
      <w:hyperlink w:anchor="_Toc128133832" w:history="1">
        <w:r w:rsidR="00CE1739" w:rsidRPr="001C00A6">
          <w:rPr>
            <w:rStyle w:val="Hyperlink"/>
            <w:noProof/>
          </w:rPr>
          <w:t>10.3</w:t>
        </w:r>
        <w:r w:rsidR="00CE1739">
          <w:rPr>
            <w:rFonts w:cstheme="minorBidi"/>
            <w:noProof/>
            <w:sz w:val="22"/>
            <w:szCs w:val="22"/>
          </w:rPr>
          <w:tab/>
        </w:r>
        <w:r w:rsidR="00CE1739" w:rsidRPr="001C00A6">
          <w:rPr>
            <w:rStyle w:val="Hyperlink"/>
            <w:rFonts w:eastAsia="Calibri"/>
            <w:noProof/>
          </w:rPr>
          <w:t>APMS Prevalence of Serious and Enduring Mental Health Conditions</w:t>
        </w:r>
        <w:r w:rsidR="00CE1739">
          <w:rPr>
            <w:noProof/>
            <w:webHidden/>
          </w:rPr>
          <w:tab/>
        </w:r>
        <w:r w:rsidR="00CE1739">
          <w:rPr>
            <w:noProof/>
            <w:webHidden/>
          </w:rPr>
          <w:fldChar w:fldCharType="begin"/>
        </w:r>
        <w:r w:rsidR="00CE1739">
          <w:rPr>
            <w:noProof/>
            <w:webHidden/>
          </w:rPr>
          <w:instrText xml:space="preserve"> PAGEREF _Toc128133832 \h </w:instrText>
        </w:r>
        <w:r w:rsidR="00CE1739">
          <w:rPr>
            <w:noProof/>
            <w:webHidden/>
          </w:rPr>
        </w:r>
        <w:r w:rsidR="00CE1739">
          <w:rPr>
            <w:noProof/>
            <w:webHidden/>
          </w:rPr>
          <w:fldChar w:fldCharType="separate"/>
        </w:r>
        <w:r w:rsidR="00AC79E0">
          <w:rPr>
            <w:noProof/>
            <w:webHidden/>
          </w:rPr>
          <w:t>68</w:t>
        </w:r>
        <w:r w:rsidR="00CE1739">
          <w:rPr>
            <w:noProof/>
            <w:webHidden/>
          </w:rPr>
          <w:fldChar w:fldCharType="end"/>
        </w:r>
      </w:hyperlink>
    </w:p>
    <w:p w14:paraId="490AFB81" w14:textId="19F9B207" w:rsidR="00CE1739" w:rsidRDefault="009C6DE5">
      <w:pPr>
        <w:pStyle w:val="TOC2"/>
        <w:tabs>
          <w:tab w:val="left" w:pos="1100"/>
          <w:tab w:val="right" w:leader="dot" w:pos="9016"/>
        </w:tabs>
        <w:rPr>
          <w:rFonts w:cstheme="minorBidi"/>
          <w:noProof/>
          <w:sz w:val="22"/>
          <w:szCs w:val="22"/>
        </w:rPr>
      </w:pPr>
      <w:hyperlink w:anchor="_Toc128133833" w:history="1">
        <w:r w:rsidR="00CE1739" w:rsidRPr="001C00A6">
          <w:rPr>
            <w:rStyle w:val="Hyperlink"/>
            <w:noProof/>
          </w:rPr>
          <w:t>10.4</w:t>
        </w:r>
        <w:r w:rsidR="00CE1739">
          <w:rPr>
            <w:rFonts w:cstheme="minorBidi"/>
            <w:noProof/>
            <w:sz w:val="22"/>
            <w:szCs w:val="22"/>
          </w:rPr>
          <w:tab/>
        </w:r>
        <w:r w:rsidR="00CE1739" w:rsidRPr="001C00A6">
          <w:rPr>
            <w:rStyle w:val="Hyperlink"/>
            <w:rFonts w:eastAsia="Calibri"/>
            <w:noProof/>
          </w:rPr>
          <w:t>Common Mental Illness (Depression) QoF</w:t>
        </w:r>
        <w:r w:rsidR="00CE1739">
          <w:rPr>
            <w:noProof/>
            <w:webHidden/>
          </w:rPr>
          <w:tab/>
        </w:r>
        <w:r w:rsidR="00CE1739">
          <w:rPr>
            <w:noProof/>
            <w:webHidden/>
          </w:rPr>
          <w:fldChar w:fldCharType="begin"/>
        </w:r>
        <w:r w:rsidR="00CE1739">
          <w:rPr>
            <w:noProof/>
            <w:webHidden/>
          </w:rPr>
          <w:instrText xml:space="preserve"> PAGEREF _Toc128133833 \h </w:instrText>
        </w:r>
        <w:r w:rsidR="00CE1739">
          <w:rPr>
            <w:noProof/>
            <w:webHidden/>
          </w:rPr>
        </w:r>
        <w:r w:rsidR="00CE1739">
          <w:rPr>
            <w:noProof/>
            <w:webHidden/>
          </w:rPr>
          <w:fldChar w:fldCharType="separate"/>
        </w:r>
        <w:r w:rsidR="00AC79E0">
          <w:rPr>
            <w:noProof/>
            <w:webHidden/>
          </w:rPr>
          <w:t>68</w:t>
        </w:r>
        <w:r w:rsidR="00CE1739">
          <w:rPr>
            <w:noProof/>
            <w:webHidden/>
          </w:rPr>
          <w:fldChar w:fldCharType="end"/>
        </w:r>
      </w:hyperlink>
    </w:p>
    <w:p w14:paraId="455F56E2" w14:textId="0747B95E" w:rsidR="00CE1739" w:rsidRDefault="009C6DE5">
      <w:pPr>
        <w:pStyle w:val="TOC2"/>
        <w:tabs>
          <w:tab w:val="left" w:pos="1100"/>
          <w:tab w:val="right" w:leader="dot" w:pos="9016"/>
        </w:tabs>
        <w:rPr>
          <w:rFonts w:cstheme="minorBidi"/>
          <w:noProof/>
          <w:sz w:val="22"/>
          <w:szCs w:val="22"/>
        </w:rPr>
      </w:pPr>
      <w:hyperlink w:anchor="_Toc128133834" w:history="1">
        <w:r w:rsidR="00CE1739" w:rsidRPr="001C00A6">
          <w:rPr>
            <w:rStyle w:val="Hyperlink"/>
            <w:noProof/>
          </w:rPr>
          <w:t>10.5</w:t>
        </w:r>
        <w:r w:rsidR="00CE1739">
          <w:rPr>
            <w:rFonts w:cstheme="minorBidi"/>
            <w:noProof/>
            <w:sz w:val="22"/>
            <w:szCs w:val="22"/>
          </w:rPr>
          <w:tab/>
        </w:r>
        <w:r w:rsidR="00CE1739" w:rsidRPr="001C00A6">
          <w:rPr>
            <w:rStyle w:val="Hyperlink"/>
            <w:rFonts w:eastAsia="Calibri"/>
            <w:noProof/>
          </w:rPr>
          <w:t>Depression QoF in West Kent PCNs</w:t>
        </w:r>
        <w:r w:rsidR="00CE1739">
          <w:rPr>
            <w:noProof/>
            <w:webHidden/>
          </w:rPr>
          <w:tab/>
        </w:r>
        <w:r w:rsidR="00CE1739">
          <w:rPr>
            <w:noProof/>
            <w:webHidden/>
          </w:rPr>
          <w:fldChar w:fldCharType="begin"/>
        </w:r>
        <w:r w:rsidR="00CE1739">
          <w:rPr>
            <w:noProof/>
            <w:webHidden/>
          </w:rPr>
          <w:instrText xml:space="preserve"> PAGEREF _Toc128133834 \h </w:instrText>
        </w:r>
        <w:r w:rsidR="00CE1739">
          <w:rPr>
            <w:noProof/>
            <w:webHidden/>
          </w:rPr>
        </w:r>
        <w:r w:rsidR="00CE1739">
          <w:rPr>
            <w:noProof/>
            <w:webHidden/>
          </w:rPr>
          <w:fldChar w:fldCharType="separate"/>
        </w:r>
        <w:r w:rsidR="00AC79E0">
          <w:rPr>
            <w:noProof/>
            <w:webHidden/>
          </w:rPr>
          <w:t>68</w:t>
        </w:r>
        <w:r w:rsidR="00CE1739">
          <w:rPr>
            <w:noProof/>
            <w:webHidden/>
          </w:rPr>
          <w:fldChar w:fldCharType="end"/>
        </w:r>
      </w:hyperlink>
    </w:p>
    <w:p w14:paraId="7594FFD4" w14:textId="21447EA9" w:rsidR="00CE1739" w:rsidRDefault="009C6DE5">
      <w:pPr>
        <w:pStyle w:val="TOC2"/>
        <w:tabs>
          <w:tab w:val="left" w:pos="1100"/>
          <w:tab w:val="right" w:leader="dot" w:pos="9016"/>
        </w:tabs>
        <w:rPr>
          <w:rFonts w:cstheme="minorBidi"/>
          <w:noProof/>
          <w:sz w:val="22"/>
          <w:szCs w:val="22"/>
        </w:rPr>
      </w:pPr>
      <w:hyperlink w:anchor="_Toc128133835" w:history="1">
        <w:r w:rsidR="00CE1739" w:rsidRPr="001C00A6">
          <w:rPr>
            <w:rStyle w:val="Hyperlink"/>
            <w:noProof/>
          </w:rPr>
          <w:t>10.6</w:t>
        </w:r>
        <w:r w:rsidR="00CE1739">
          <w:rPr>
            <w:rFonts w:cstheme="minorBidi"/>
            <w:noProof/>
            <w:sz w:val="22"/>
            <w:szCs w:val="22"/>
          </w:rPr>
          <w:tab/>
        </w:r>
        <w:r w:rsidR="00CE1739" w:rsidRPr="001C00A6">
          <w:rPr>
            <w:rStyle w:val="Hyperlink"/>
            <w:rFonts w:eastAsia="Calibri"/>
            <w:noProof/>
          </w:rPr>
          <w:t>Other Indicators of population Common Mental Health for West Kent</w:t>
        </w:r>
        <w:r w:rsidR="00CE1739">
          <w:rPr>
            <w:noProof/>
            <w:webHidden/>
          </w:rPr>
          <w:tab/>
        </w:r>
        <w:r w:rsidR="00CE1739">
          <w:rPr>
            <w:noProof/>
            <w:webHidden/>
          </w:rPr>
          <w:fldChar w:fldCharType="begin"/>
        </w:r>
        <w:r w:rsidR="00CE1739">
          <w:rPr>
            <w:noProof/>
            <w:webHidden/>
          </w:rPr>
          <w:instrText xml:space="preserve"> PAGEREF _Toc128133835 \h </w:instrText>
        </w:r>
        <w:r w:rsidR="00CE1739">
          <w:rPr>
            <w:noProof/>
            <w:webHidden/>
          </w:rPr>
        </w:r>
        <w:r w:rsidR="00CE1739">
          <w:rPr>
            <w:noProof/>
            <w:webHidden/>
          </w:rPr>
          <w:fldChar w:fldCharType="separate"/>
        </w:r>
        <w:r w:rsidR="00AC79E0">
          <w:rPr>
            <w:noProof/>
            <w:webHidden/>
          </w:rPr>
          <w:t>69</w:t>
        </w:r>
        <w:r w:rsidR="00CE1739">
          <w:rPr>
            <w:noProof/>
            <w:webHidden/>
          </w:rPr>
          <w:fldChar w:fldCharType="end"/>
        </w:r>
      </w:hyperlink>
    </w:p>
    <w:p w14:paraId="70275F26" w14:textId="4F3392BC" w:rsidR="00CE1739" w:rsidRDefault="009C6DE5">
      <w:pPr>
        <w:pStyle w:val="TOC2"/>
        <w:tabs>
          <w:tab w:val="left" w:pos="1100"/>
          <w:tab w:val="right" w:leader="dot" w:pos="9016"/>
        </w:tabs>
        <w:rPr>
          <w:rFonts w:cstheme="minorBidi"/>
          <w:noProof/>
          <w:sz w:val="22"/>
          <w:szCs w:val="22"/>
        </w:rPr>
      </w:pPr>
      <w:hyperlink w:anchor="_Toc128133836" w:history="1">
        <w:r w:rsidR="00CE1739" w:rsidRPr="001C00A6">
          <w:rPr>
            <w:rStyle w:val="Hyperlink"/>
            <w:noProof/>
          </w:rPr>
          <w:t>10.7</w:t>
        </w:r>
        <w:r w:rsidR="00CE1739">
          <w:rPr>
            <w:rFonts w:cstheme="minorBidi"/>
            <w:noProof/>
            <w:sz w:val="22"/>
            <w:szCs w:val="22"/>
          </w:rPr>
          <w:tab/>
        </w:r>
        <w:r w:rsidR="00CE1739" w:rsidRPr="001C00A6">
          <w:rPr>
            <w:rStyle w:val="Hyperlink"/>
            <w:rFonts w:eastAsia="Calibri"/>
            <w:noProof/>
          </w:rPr>
          <w:t>Serious and Enduring Mental Illness in West Kent</w:t>
        </w:r>
        <w:r w:rsidR="00CE1739">
          <w:rPr>
            <w:noProof/>
            <w:webHidden/>
          </w:rPr>
          <w:tab/>
        </w:r>
        <w:r w:rsidR="00CE1739">
          <w:rPr>
            <w:noProof/>
            <w:webHidden/>
          </w:rPr>
          <w:fldChar w:fldCharType="begin"/>
        </w:r>
        <w:r w:rsidR="00CE1739">
          <w:rPr>
            <w:noProof/>
            <w:webHidden/>
          </w:rPr>
          <w:instrText xml:space="preserve"> PAGEREF _Toc128133836 \h </w:instrText>
        </w:r>
        <w:r w:rsidR="00CE1739">
          <w:rPr>
            <w:noProof/>
            <w:webHidden/>
          </w:rPr>
        </w:r>
        <w:r w:rsidR="00CE1739">
          <w:rPr>
            <w:noProof/>
            <w:webHidden/>
          </w:rPr>
          <w:fldChar w:fldCharType="separate"/>
        </w:r>
        <w:r w:rsidR="00AC79E0">
          <w:rPr>
            <w:noProof/>
            <w:webHidden/>
          </w:rPr>
          <w:t>69</w:t>
        </w:r>
        <w:r w:rsidR="00CE1739">
          <w:rPr>
            <w:noProof/>
            <w:webHidden/>
          </w:rPr>
          <w:fldChar w:fldCharType="end"/>
        </w:r>
      </w:hyperlink>
    </w:p>
    <w:p w14:paraId="317A2DD1" w14:textId="4069DD48" w:rsidR="00CE1739" w:rsidRDefault="009C6DE5">
      <w:pPr>
        <w:pStyle w:val="TOC2"/>
        <w:tabs>
          <w:tab w:val="left" w:pos="1100"/>
          <w:tab w:val="right" w:leader="dot" w:pos="9016"/>
        </w:tabs>
        <w:rPr>
          <w:rFonts w:cstheme="minorBidi"/>
          <w:noProof/>
          <w:sz w:val="22"/>
          <w:szCs w:val="22"/>
        </w:rPr>
      </w:pPr>
      <w:hyperlink w:anchor="_Toc128133837" w:history="1">
        <w:r w:rsidR="00CE1739" w:rsidRPr="001C00A6">
          <w:rPr>
            <w:rStyle w:val="Hyperlink"/>
            <w:noProof/>
          </w:rPr>
          <w:t>10.8</w:t>
        </w:r>
        <w:r w:rsidR="00CE1739">
          <w:rPr>
            <w:rFonts w:cstheme="minorBidi"/>
            <w:noProof/>
            <w:sz w:val="22"/>
            <w:szCs w:val="22"/>
          </w:rPr>
          <w:tab/>
        </w:r>
        <w:r w:rsidR="00CE1739" w:rsidRPr="001C00A6">
          <w:rPr>
            <w:rStyle w:val="Hyperlink"/>
            <w:rFonts w:eastAsia="Calibri"/>
            <w:noProof/>
          </w:rPr>
          <w:t>SMI (Psychosis) in Primary Care</w:t>
        </w:r>
        <w:r w:rsidR="00CE1739">
          <w:rPr>
            <w:noProof/>
            <w:webHidden/>
          </w:rPr>
          <w:tab/>
        </w:r>
        <w:r w:rsidR="00CE1739">
          <w:rPr>
            <w:noProof/>
            <w:webHidden/>
          </w:rPr>
          <w:fldChar w:fldCharType="begin"/>
        </w:r>
        <w:r w:rsidR="00CE1739">
          <w:rPr>
            <w:noProof/>
            <w:webHidden/>
          </w:rPr>
          <w:instrText xml:space="preserve"> PAGEREF _Toc128133837 \h </w:instrText>
        </w:r>
        <w:r w:rsidR="00CE1739">
          <w:rPr>
            <w:noProof/>
            <w:webHidden/>
          </w:rPr>
        </w:r>
        <w:r w:rsidR="00CE1739">
          <w:rPr>
            <w:noProof/>
            <w:webHidden/>
          </w:rPr>
          <w:fldChar w:fldCharType="separate"/>
        </w:r>
        <w:r w:rsidR="00AC79E0">
          <w:rPr>
            <w:noProof/>
            <w:webHidden/>
          </w:rPr>
          <w:t>69</w:t>
        </w:r>
        <w:r w:rsidR="00CE1739">
          <w:rPr>
            <w:noProof/>
            <w:webHidden/>
          </w:rPr>
          <w:fldChar w:fldCharType="end"/>
        </w:r>
      </w:hyperlink>
    </w:p>
    <w:p w14:paraId="373C6BE4" w14:textId="159E6927" w:rsidR="00CE1739" w:rsidRDefault="009C6DE5">
      <w:pPr>
        <w:pStyle w:val="TOC2"/>
        <w:tabs>
          <w:tab w:val="left" w:pos="1100"/>
          <w:tab w:val="right" w:leader="dot" w:pos="9016"/>
        </w:tabs>
        <w:rPr>
          <w:rFonts w:cstheme="minorBidi"/>
          <w:noProof/>
          <w:sz w:val="22"/>
          <w:szCs w:val="22"/>
        </w:rPr>
      </w:pPr>
      <w:hyperlink w:anchor="_Toc128133838" w:history="1">
        <w:r w:rsidR="00CE1739" w:rsidRPr="001C00A6">
          <w:rPr>
            <w:rStyle w:val="Hyperlink"/>
            <w:noProof/>
          </w:rPr>
          <w:t>10.9</w:t>
        </w:r>
        <w:r w:rsidR="00CE1739">
          <w:rPr>
            <w:rFonts w:cstheme="minorBidi"/>
            <w:noProof/>
            <w:sz w:val="22"/>
            <w:szCs w:val="22"/>
          </w:rPr>
          <w:tab/>
        </w:r>
        <w:r w:rsidR="00CE1739" w:rsidRPr="001C00A6">
          <w:rPr>
            <w:rStyle w:val="Hyperlink"/>
            <w:rFonts w:eastAsia="Calibri"/>
            <w:noProof/>
          </w:rPr>
          <w:t>Mental Illness and Worklessness (Claiming Benefits)</w:t>
        </w:r>
        <w:r w:rsidR="00CE1739">
          <w:rPr>
            <w:noProof/>
            <w:webHidden/>
          </w:rPr>
          <w:tab/>
        </w:r>
        <w:r w:rsidR="00CE1739">
          <w:rPr>
            <w:noProof/>
            <w:webHidden/>
          </w:rPr>
          <w:fldChar w:fldCharType="begin"/>
        </w:r>
        <w:r w:rsidR="00CE1739">
          <w:rPr>
            <w:noProof/>
            <w:webHidden/>
          </w:rPr>
          <w:instrText xml:space="preserve"> PAGEREF _Toc128133838 \h </w:instrText>
        </w:r>
        <w:r w:rsidR="00CE1739">
          <w:rPr>
            <w:noProof/>
            <w:webHidden/>
          </w:rPr>
        </w:r>
        <w:r w:rsidR="00CE1739">
          <w:rPr>
            <w:noProof/>
            <w:webHidden/>
          </w:rPr>
          <w:fldChar w:fldCharType="separate"/>
        </w:r>
        <w:r w:rsidR="00AC79E0">
          <w:rPr>
            <w:noProof/>
            <w:webHidden/>
          </w:rPr>
          <w:t>71</w:t>
        </w:r>
        <w:r w:rsidR="00CE1739">
          <w:rPr>
            <w:noProof/>
            <w:webHidden/>
          </w:rPr>
          <w:fldChar w:fldCharType="end"/>
        </w:r>
      </w:hyperlink>
    </w:p>
    <w:p w14:paraId="2403CFD0" w14:textId="77E1DF29" w:rsidR="00CE1739" w:rsidRDefault="009C6DE5">
      <w:pPr>
        <w:pStyle w:val="TOC2"/>
        <w:tabs>
          <w:tab w:val="left" w:pos="1100"/>
          <w:tab w:val="right" w:leader="dot" w:pos="9016"/>
        </w:tabs>
        <w:rPr>
          <w:rFonts w:cstheme="minorBidi"/>
          <w:noProof/>
          <w:sz w:val="22"/>
          <w:szCs w:val="22"/>
        </w:rPr>
      </w:pPr>
      <w:hyperlink w:anchor="_Toc128133839" w:history="1">
        <w:r w:rsidR="00CE1739" w:rsidRPr="001C00A6">
          <w:rPr>
            <w:rStyle w:val="Hyperlink"/>
            <w:rFonts w:eastAsia="Calibri"/>
            <w:noProof/>
          </w:rPr>
          <w:t>10.10</w:t>
        </w:r>
        <w:r w:rsidR="00CE1739">
          <w:rPr>
            <w:rFonts w:cstheme="minorBidi"/>
            <w:noProof/>
            <w:sz w:val="22"/>
            <w:szCs w:val="22"/>
          </w:rPr>
          <w:tab/>
        </w:r>
        <w:r w:rsidR="00CE1739" w:rsidRPr="001C00A6">
          <w:rPr>
            <w:rStyle w:val="Hyperlink"/>
            <w:rFonts w:eastAsia="Calibri"/>
            <w:noProof/>
          </w:rPr>
          <w:t>Managing Demand: Hospital Admissions for Mental Illness</w:t>
        </w:r>
        <w:r w:rsidR="00CE1739">
          <w:rPr>
            <w:noProof/>
            <w:webHidden/>
          </w:rPr>
          <w:tab/>
        </w:r>
        <w:r w:rsidR="00CE1739">
          <w:rPr>
            <w:noProof/>
            <w:webHidden/>
          </w:rPr>
          <w:fldChar w:fldCharType="begin"/>
        </w:r>
        <w:r w:rsidR="00CE1739">
          <w:rPr>
            <w:noProof/>
            <w:webHidden/>
          </w:rPr>
          <w:instrText xml:space="preserve"> PAGEREF _Toc128133839 \h </w:instrText>
        </w:r>
        <w:r w:rsidR="00CE1739">
          <w:rPr>
            <w:noProof/>
            <w:webHidden/>
          </w:rPr>
        </w:r>
        <w:r w:rsidR="00CE1739">
          <w:rPr>
            <w:noProof/>
            <w:webHidden/>
          </w:rPr>
          <w:fldChar w:fldCharType="separate"/>
        </w:r>
        <w:r w:rsidR="00AC79E0">
          <w:rPr>
            <w:noProof/>
            <w:webHidden/>
          </w:rPr>
          <w:t>71</w:t>
        </w:r>
        <w:r w:rsidR="00CE1739">
          <w:rPr>
            <w:noProof/>
            <w:webHidden/>
          </w:rPr>
          <w:fldChar w:fldCharType="end"/>
        </w:r>
      </w:hyperlink>
    </w:p>
    <w:p w14:paraId="41482B11" w14:textId="07CF4340" w:rsidR="00CE1739" w:rsidRDefault="009C6DE5">
      <w:pPr>
        <w:pStyle w:val="TOC2"/>
        <w:tabs>
          <w:tab w:val="left" w:pos="1100"/>
          <w:tab w:val="right" w:leader="dot" w:pos="9016"/>
        </w:tabs>
        <w:rPr>
          <w:rFonts w:cstheme="minorBidi"/>
          <w:noProof/>
          <w:sz w:val="22"/>
          <w:szCs w:val="22"/>
        </w:rPr>
      </w:pPr>
      <w:hyperlink w:anchor="_Toc128133840" w:history="1">
        <w:r w:rsidR="00CE1739" w:rsidRPr="001C00A6">
          <w:rPr>
            <w:rStyle w:val="Hyperlink"/>
            <w:noProof/>
          </w:rPr>
          <w:t>10.11</w:t>
        </w:r>
        <w:r w:rsidR="00CE1739">
          <w:rPr>
            <w:rFonts w:cstheme="minorBidi"/>
            <w:noProof/>
            <w:sz w:val="22"/>
            <w:szCs w:val="22"/>
          </w:rPr>
          <w:tab/>
        </w:r>
        <w:r w:rsidR="00CE1739" w:rsidRPr="001C00A6">
          <w:rPr>
            <w:rStyle w:val="Hyperlink"/>
            <w:noProof/>
          </w:rPr>
          <w:t>Detentions under the Mental Health Act</w:t>
        </w:r>
        <w:r w:rsidR="00CE1739">
          <w:rPr>
            <w:noProof/>
            <w:webHidden/>
          </w:rPr>
          <w:tab/>
        </w:r>
        <w:r w:rsidR="00CE1739">
          <w:rPr>
            <w:noProof/>
            <w:webHidden/>
          </w:rPr>
          <w:fldChar w:fldCharType="begin"/>
        </w:r>
        <w:r w:rsidR="00CE1739">
          <w:rPr>
            <w:noProof/>
            <w:webHidden/>
          </w:rPr>
          <w:instrText xml:space="preserve"> PAGEREF _Toc128133840 \h </w:instrText>
        </w:r>
        <w:r w:rsidR="00CE1739">
          <w:rPr>
            <w:noProof/>
            <w:webHidden/>
          </w:rPr>
        </w:r>
        <w:r w:rsidR="00CE1739">
          <w:rPr>
            <w:noProof/>
            <w:webHidden/>
          </w:rPr>
          <w:fldChar w:fldCharType="separate"/>
        </w:r>
        <w:r w:rsidR="00AC79E0">
          <w:rPr>
            <w:noProof/>
            <w:webHidden/>
          </w:rPr>
          <w:t>72</w:t>
        </w:r>
        <w:r w:rsidR="00CE1739">
          <w:rPr>
            <w:noProof/>
            <w:webHidden/>
          </w:rPr>
          <w:fldChar w:fldCharType="end"/>
        </w:r>
      </w:hyperlink>
    </w:p>
    <w:p w14:paraId="08A8F01D" w14:textId="66C33378" w:rsidR="00CE1739" w:rsidRDefault="009C6DE5">
      <w:pPr>
        <w:pStyle w:val="TOC2"/>
        <w:tabs>
          <w:tab w:val="left" w:pos="1100"/>
          <w:tab w:val="right" w:leader="dot" w:pos="9016"/>
        </w:tabs>
        <w:rPr>
          <w:rFonts w:cstheme="minorBidi"/>
          <w:noProof/>
          <w:sz w:val="22"/>
          <w:szCs w:val="22"/>
        </w:rPr>
      </w:pPr>
      <w:hyperlink w:anchor="_Toc128133841" w:history="1">
        <w:r w:rsidR="00CE1739" w:rsidRPr="001C00A6">
          <w:rPr>
            <w:rStyle w:val="Hyperlink"/>
            <w:noProof/>
          </w:rPr>
          <w:t>10.12</w:t>
        </w:r>
        <w:r w:rsidR="00CE1739">
          <w:rPr>
            <w:rFonts w:cstheme="minorBidi"/>
            <w:noProof/>
            <w:sz w:val="22"/>
            <w:szCs w:val="22"/>
          </w:rPr>
          <w:tab/>
        </w:r>
        <w:r w:rsidR="00CE1739" w:rsidRPr="001C00A6">
          <w:rPr>
            <w:rStyle w:val="Hyperlink"/>
            <w:rFonts w:eastAsia="Calibri"/>
            <w:noProof/>
          </w:rPr>
          <w:t>Hospital Admissions for Self-Harm</w:t>
        </w:r>
        <w:r w:rsidR="00CE1739">
          <w:rPr>
            <w:noProof/>
            <w:webHidden/>
          </w:rPr>
          <w:tab/>
        </w:r>
        <w:r w:rsidR="00CE1739">
          <w:rPr>
            <w:noProof/>
            <w:webHidden/>
          </w:rPr>
          <w:fldChar w:fldCharType="begin"/>
        </w:r>
        <w:r w:rsidR="00CE1739">
          <w:rPr>
            <w:noProof/>
            <w:webHidden/>
          </w:rPr>
          <w:instrText xml:space="preserve"> PAGEREF _Toc128133841 \h </w:instrText>
        </w:r>
        <w:r w:rsidR="00CE1739">
          <w:rPr>
            <w:noProof/>
            <w:webHidden/>
          </w:rPr>
        </w:r>
        <w:r w:rsidR="00CE1739">
          <w:rPr>
            <w:noProof/>
            <w:webHidden/>
          </w:rPr>
          <w:fldChar w:fldCharType="separate"/>
        </w:r>
        <w:r w:rsidR="00AC79E0">
          <w:rPr>
            <w:noProof/>
            <w:webHidden/>
          </w:rPr>
          <w:t>74</w:t>
        </w:r>
        <w:r w:rsidR="00CE1739">
          <w:rPr>
            <w:noProof/>
            <w:webHidden/>
          </w:rPr>
          <w:fldChar w:fldCharType="end"/>
        </w:r>
      </w:hyperlink>
    </w:p>
    <w:p w14:paraId="54104035" w14:textId="662B8E34" w:rsidR="00CE1739" w:rsidRDefault="009C6DE5">
      <w:pPr>
        <w:pStyle w:val="TOC2"/>
        <w:tabs>
          <w:tab w:val="left" w:pos="1100"/>
          <w:tab w:val="right" w:leader="dot" w:pos="9016"/>
        </w:tabs>
        <w:rPr>
          <w:rFonts w:cstheme="minorBidi"/>
          <w:noProof/>
          <w:sz w:val="22"/>
          <w:szCs w:val="22"/>
        </w:rPr>
      </w:pPr>
      <w:hyperlink w:anchor="_Toc128133842" w:history="1">
        <w:r w:rsidR="00CE1739" w:rsidRPr="001C00A6">
          <w:rPr>
            <w:rStyle w:val="Hyperlink"/>
            <w:noProof/>
          </w:rPr>
          <w:t>10.13</w:t>
        </w:r>
        <w:r w:rsidR="00CE1739">
          <w:rPr>
            <w:rFonts w:cstheme="minorBidi"/>
            <w:noProof/>
            <w:sz w:val="22"/>
            <w:szCs w:val="22"/>
          </w:rPr>
          <w:tab/>
        </w:r>
        <w:r w:rsidR="00CE1739" w:rsidRPr="001C00A6">
          <w:rPr>
            <w:rStyle w:val="Hyperlink"/>
            <w:rFonts w:eastAsia="Calibri"/>
            <w:noProof/>
          </w:rPr>
          <w:t>Premature Mortality from SMI</w:t>
        </w:r>
        <w:r w:rsidR="00CE1739">
          <w:rPr>
            <w:noProof/>
            <w:webHidden/>
          </w:rPr>
          <w:tab/>
        </w:r>
        <w:r w:rsidR="00CE1739">
          <w:rPr>
            <w:noProof/>
            <w:webHidden/>
          </w:rPr>
          <w:fldChar w:fldCharType="begin"/>
        </w:r>
        <w:r w:rsidR="00CE1739">
          <w:rPr>
            <w:noProof/>
            <w:webHidden/>
          </w:rPr>
          <w:instrText xml:space="preserve"> PAGEREF _Toc128133842 \h </w:instrText>
        </w:r>
        <w:r w:rsidR="00CE1739">
          <w:rPr>
            <w:noProof/>
            <w:webHidden/>
          </w:rPr>
        </w:r>
        <w:r w:rsidR="00CE1739">
          <w:rPr>
            <w:noProof/>
            <w:webHidden/>
          </w:rPr>
          <w:fldChar w:fldCharType="separate"/>
        </w:r>
        <w:r w:rsidR="00AC79E0">
          <w:rPr>
            <w:noProof/>
            <w:webHidden/>
          </w:rPr>
          <w:t>75</w:t>
        </w:r>
        <w:r w:rsidR="00CE1739">
          <w:rPr>
            <w:noProof/>
            <w:webHidden/>
          </w:rPr>
          <w:fldChar w:fldCharType="end"/>
        </w:r>
      </w:hyperlink>
    </w:p>
    <w:p w14:paraId="0E7C0986" w14:textId="57A95FD5" w:rsidR="00CE1739" w:rsidRDefault="009C6DE5">
      <w:pPr>
        <w:pStyle w:val="TOC2"/>
        <w:tabs>
          <w:tab w:val="left" w:pos="1100"/>
          <w:tab w:val="right" w:leader="dot" w:pos="9016"/>
        </w:tabs>
        <w:rPr>
          <w:rFonts w:cstheme="minorBidi"/>
          <w:noProof/>
          <w:sz w:val="22"/>
          <w:szCs w:val="22"/>
        </w:rPr>
      </w:pPr>
      <w:hyperlink w:anchor="_Toc128133843" w:history="1">
        <w:r w:rsidR="00CE1739" w:rsidRPr="001C00A6">
          <w:rPr>
            <w:rStyle w:val="Hyperlink"/>
            <w:rFonts w:eastAsia="Calibri"/>
            <w:noProof/>
          </w:rPr>
          <w:t>10.14</w:t>
        </w:r>
        <w:r w:rsidR="00CE1739">
          <w:rPr>
            <w:rFonts w:cstheme="minorBidi"/>
            <w:noProof/>
            <w:sz w:val="22"/>
            <w:szCs w:val="22"/>
          </w:rPr>
          <w:tab/>
        </w:r>
        <w:r w:rsidR="00CE1739" w:rsidRPr="001C00A6">
          <w:rPr>
            <w:rStyle w:val="Hyperlink"/>
            <w:rFonts w:eastAsia="Calibri"/>
            <w:noProof/>
          </w:rPr>
          <w:t>Suicide</w:t>
        </w:r>
        <w:r w:rsidR="00CE1739">
          <w:rPr>
            <w:noProof/>
            <w:webHidden/>
          </w:rPr>
          <w:tab/>
        </w:r>
        <w:r w:rsidR="00CE1739">
          <w:rPr>
            <w:noProof/>
            <w:webHidden/>
          </w:rPr>
          <w:fldChar w:fldCharType="begin"/>
        </w:r>
        <w:r w:rsidR="00CE1739">
          <w:rPr>
            <w:noProof/>
            <w:webHidden/>
          </w:rPr>
          <w:instrText xml:space="preserve"> PAGEREF _Toc128133843 \h </w:instrText>
        </w:r>
        <w:r w:rsidR="00CE1739">
          <w:rPr>
            <w:noProof/>
            <w:webHidden/>
          </w:rPr>
        </w:r>
        <w:r w:rsidR="00CE1739">
          <w:rPr>
            <w:noProof/>
            <w:webHidden/>
          </w:rPr>
          <w:fldChar w:fldCharType="separate"/>
        </w:r>
        <w:r w:rsidR="00AC79E0">
          <w:rPr>
            <w:noProof/>
            <w:webHidden/>
          </w:rPr>
          <w:t>75</w:t>
        </w:r>
        <w:r w:rsidR="00CE1739">
          <w:rPr>
            <w:noProof/>
            <w:webHidden/>
          </w:rPr>
          <w:fldChar w:fldCharType="end"/>
        </w:r>
      </w:hyperlink>
    </w:p>
    <w:p w14:paraId="47860C1B" w14:textId="6161AABF" w:rsidR="00CE1739" w:rsidRDefault="009C6DE5">
      <w:pPr>
        <w:pStyle w:val="TOC1"/>
        <w:tabs>
          <w:tab w:val="left" w:pos="660"/>
          <w:tab w:val="right" w:leader="dot" w:pos="9016"/>
        </w:tabs>
        <w:rPr>
          <w:rFonts w:cstheme="minorBidi"/>
          <w:b w:val="0"/>
          <w:noProof/>
          <w:sz w:val="22"/>
          <w:szCs w:val="22"/>
        </w:rPr>
      </w:pPr>
      <w:hyperlink w:anchor="_Toc128133844" w:history="1">
        <w:r w:rsidR="00CE1739" w:rsidRPr="001C00A6">
          <w:rPr>
            <w:rStyle w:val="Hyperlink"/>
            <w:noProof/>
          </w:rPr>
          <w:t>11</w:t>
        </w:r>
        <w:r w:rsidR="00CE1739">
          <w:rPr>
            <w:rFonts w:cstheme="minorBidi"/>
            <w:b w:val="0"/>
            <w:noProof/>
            <w:sz w:val="22"/>
            <w:szCs w:val="22"/>
          </w:rPr>
          <w:tab/>
        </w:r>
        <w:r w:rsidR="00CE1739" w:rsidRPr="001C00A6">
          <w:rPr>
            <w:rStyle w:val="Hyperlink"/>
            <w:noProof/>
          </w:rPr>
          <w:t>Sexual Health</w:t>
        </w:r>
        <w:r w:rsidR="00CE1739">
          <w:rPr>
            <w:noProof/>
            <w:webHidden/>
          </w:rPr>
          <w:tab/>
        </w:r>
        <w:r w:rsidR="00CE1739">
          <w:rPr>
            <w:noProof/>
            <w:webHidden/>
          </w:rPr>
          <w:fldChar w:fldCharType="begin"/>
        </w:r>
        <w:r w:rsidR="00CE1739">
          <w:rPr>
            <w:noProof/>
            <w:webHidden/>
          </w:rPr>
          <w:instrText xml:space="preserve"> PAGEREF _Toc128133844 \h </w:instrText>
        </w:r>
        <w:r w:rsidR="00CE1739">
          <w:rPr>
            <w:noProof/>
            <w:webHidden/>
          </w:rPr>
        </w:r>
        <w:r w:rsidR="00CE1739">
          <w:rPr>
            <w:noProof/>
            <w:webHidden/>
          </w:rPr>
          <w:fldChar w:fldCharType="separate"/>
        </w:r>
        <w:r w:rsidR="00AC79E0">
          <w:rPr>
            <w:noProof/>
            <w:webHidden/>
          </w:rPr>
          <w:t>76</w:t>
        </w:r>
        <w:r w:rsidR="00CE1739">
          <w:rPr>
            <w:noProof/>
            <w:webHidden/>
          </w:rPr>
          <w:fldChar w:fldCharType="end"/>
        </w:r>
      </w:hyperlink>
    </w:p>
    <w:p w14:paraId="7C8B4B03" w14:textId="073312E9" w:rsidR="00CE1739" w:rsidRDefault="009C6DE5">
      <w:pPr>
        <w:pStyle w:val="TOC2"/>
        <w:tabs>
          <w:tab w:val="left" w:pos="1100"/>
          <w:tab w:val="right" w:leader="dot" w:pos="9016"/>
        </w:tabs>
        <w:rPr>
          <w:rFonts w:cstheme="minorBidi"/>
          <w:noProof/>
          <w:sz w:val="22"/>
          <w:szCs w:val="22"/>
        </w:rPr>
      </w:pPr>
      <w:hyperlink w:anchor="_Toc128133845" w:history="1">
        <w:r w:rsidR="00CE1739" w:rsidRPr="001C00A6">
          <w:rPr>
            <w:rStyle w:val="Hyperlink"/>
            <w:noProof/>
          </w:rPr>
          <w:t>11.1</w:t>
        </w:r>
        <w:r w:rsidR="00CE1739">
          <w:rPr>
            <w:rFonts w:cstheme="minorBidi"/>
            <w:noProof/>
            <w:sz w:val="22"/>
            <w:szCs w:val="22"/>
          </w:rPr>
          <w:tab/>
        </w:r>
        <w:r w:rsidR="00CE1739" w:rsidRPr="001C00A6">
          <w:rPr>
            <w:rStyle w:val="Hyperlink"/>
            <w:noProof/>
          </w:rPr>
          <w:t>Teenage Conceptions</w:t>
        </w:r>
        <w:r w:rsidR="00CE1739">
          <w:rPr>
            <w:noProof/>
            <w:webHidden/>
          </w:rPr>
          <w:tab/>
        </w:r>
        <w:r w:rsidR="00CE1739">
          <w:rPr>
            <w:noProof/>
            <w:webHidden/>
          </w:rPr>
          <w:fldChar w:fldCharType="begin"/>
        </w:r>
        <w:r w:rsidR="00CE1739">
          <w:rPr>
            <w:noProof/>
            <w:webHidden/>
          </w:rPr>
          <w:instrText xml:space="preserve"> PAGEREF _Toc128133845 \h </w:instrText>
        </w:r>
        <w:r w:rsidR="00CE1739">
          <w:rPr>
            <w:noProof/>
            <w:webHidden/>
          </w:rPr>
        </w:r>
        <w:r w:rsidR="00CE1739">
          <w:rPr>
            <w:noProof/>
            <w:webHidden/>
          </w:rPr>
          <w:fldChar w:fldCharType="separate"/>
        </w:r>
        <w:r w:rsidR="00AC79E0">
          <w:rPr>
            <w:noProof/>
            <w:webHidden/>
          </w:rPr>
          <w:t>80</w:t>
        </w:r>
        <w:r w:rsidR="00CE1739">
          <w:rPr>
            <w:noProof/>
            <w:webHidden/>
          </w:rPr>
          <w:fldChar w:fldCharType="end"/>
        </w:r>
      </w:hyperlink>
    </w:p>
    <w:p w14:paraId="06C99ED1" w14:textId="55F5C1C7" w:rsidR="00CE1739" w:rsidRDefault="009C6DE5">
      <w:pPr>
        <w:pStyle w:val="TOC2"/>
        <w:tabs>
          <w:tab w:val="left" w:pos="1100"/>
          <w:tab w:val="right" w:leader="dot" w:pos="9016"/>
        </w:tabs>
        <w:rPr>
          <w:rFonts w:cstheme="minorBidi"/>
          <w:noProof/>
          <w:sz w:val="22"/>
          <w:szCs w:val="22"/>
        </w:rPr>
      </w:pPr>
      <w:hyperlink w:anchor="_Toc128133846" w:history="1">
        <w:r w:rsidR="00CE1739" w:rsidRPr="001C00A6">
          <w:rPr>
            <w:rStyle w:val="Hyperlink"/>
            <w:rFonts w:eastAsia="Times New Roman"/>
            <w:noProof/>
          </w:rPr>
          <w:t>11.2</w:t>
        </w:r>
        <w:r w:rsidR="00CE1739">
          <w:rPr>
            <w:rFonts w:cstheme="minorBidi"/>
            <w:noProof/>
            <w:sz w:val="22"/>
            <w:szCs w:val="22"/>
          </w:rPr>
          <w:tab/>
        </w:r>
        <w:r w:rsidR="00CE1739" w:rsidRPr="001C00A6">
          <w:rPr>
            <w:rStyle w:val="Hyperlink"/>
            <w:rFonts w:eastAsia="Times New Roman"/>
            <w:noProof/>
          </w:rPr>
          <w:t>Contraceptives</w:t>
        </w:r>
        <w:r w:rsidR="00CE1739">
          <w:rPr>
            <w:noProof/>
            <w:webHidden/>
          </w:rPr>
          <w:tab/>
        </w:r>
        <w:r w:rsidR="00CE1739">
          <w:rPr>
            <w:noProof/>
            <w:webHidden/>
          </w:rPr>
          <w:fldChar w:fldCharType="begin"/>
        </w:r>
        <w:r w:rsidR="00CE1739">
          <w:rPr>
            <w:noProof/>
            <w:webHidden/>
          </w:rPr>
          <w:instrText xml:space="preserve"> PAGEREF _Toc128133846 \h </w:instrText>
        </w:r>
        <w:r w:rsidR="00CE1739">
          <w:rPr>
            <w:noProof/>
            <w:webHidden/>
          </w:rPr>
        </w:r>
        <w:r w:rsidR="00CE1739">
          <w:rPr>
            <w:noProof/>
            <w:webHidden/>
          </w:rPr>
          <w:fldChar w:fldCharType="separate"/>
        </w:r>
        <w:r w:rsidR="00AC79E0">
          <w:rPr>
            <w:noProof/>
            <w:webHidden/>
          </w:rPr>
          <w:t>80</w:t>
        </w:r>
        <w:r w:rsidR="00CE1739">
          <w:rPr>
            <w:noProof/>
            <w:webHidden/>
          </w:rPr>
          <w:fldChar w:fldCharType="end"/>
        </w:r>
      </w:hyperlink>
    </w:p>
    <w:p w14:paraId="7FDE5A9D" w14:textId="3D9157BF" w:rsidR="00CE1739" w:rsidRDefault="009C6DE5">
      <w:pPr>
        <w:pStyle w:val="TOC1"/>
        <w:tabs>
          <w:tab w:val="left" w:pos="660"/>
          <w:tab w:val="right" w:leader="dot" w:pos="9016"/>
        </w:tabs>
        <w:rPr>
          <w:rFonts w:cstheme="minorBidi"/>
          <w:b w:val="0"/>
          <w:noProof/>
          <w:sz w:val="22"/>
          <w:szCs w:val="22"/>
        </w:rPr>
      </w:pPr>
      <w:hyperlink w:anchor="_Toc128133847" w:history="1">
        <w:r w:rsidR="00CE1739" w:rsidRPr="001C00A6">
          <w:rPr>
            <w:rStyle w:val="Hyperlink"/>
            <w:noProof/>
          </w:rPr>
          <w:t>12</w:t>
        </w:r>
        <w:r w:rsidR="00CE1739">
          <w:rPr>
            <w:rFonts w:cstheme="minorBidi"/>
            <w:b w:val="0"/>
            <w:noProof/>
            <w:sz w:val="22"/>
            <w:szCs w:val="22"/>
          </w:rPr>
          <w:tab/>
        </w:r>
        <w:r w:rsidR="00CE1739" w:rsidRPr="001C00A6">
          <w:rPr>
            <w:rStyle w:val="Hyperlink"/>
            <w:noProof/>
          </w:rPr>
          <w:t>Learning Difficulties (ASC and ADHD) Kent and Medway: Context and current provision</w:t>
        </w:r>
        <w:r w:rsidR="00CE1739">
          <w:rPr>
            <w:noProof/>
            <w:webHidden/>
          </w:rPr>
          <w:tab/>
        </w:r>
        <w:r w:rsidR="00CE1739">
          <w:rPr>
            <w:noProof/>
            <w:webHidden/>
          </w:rPr>
          <w:fldChar w:fldCharType="begin"/>
        </w:r>
        <w:r w:rsidR="00CE1739">
          <w:rPr>
            <w:noProof/>
            <w:webHidden/>
          </w:rPr>
          <w:instrText xml:space="preserve"> PAGEREF _Toc128133847 \h </w:instrText>
        </w:r>
        <w:r w:rsidR="00CE1739">
          <w:rPr>
            <w:noProof/>
            <w:webHidden/>
          </w:rPr>
        </w:r>
        <w:r w:rsidR="00CE1739">
          <w:rPr>
            <w:noProof/>
            <w:webHidden/>
          </w:rPr>
          <w:fldChar w:fldCharType="separate"/>
        </w:r>
        <w:r w:rsidR="00AC79E0">
          <w:rPr>
            <w:noProof/>
            <w:webHidden/>
          </w:rPr>
          <w:t>81</w:t>
        </w:r>
        <w:r w:rsidR="00CE1739">
          <w:rPr>
            <w:noProof/>
            <w:webHidden/>
          </w:rPr>
          <w:fldChar w:fldCharType="end"/>
        </w:r>
      </w:hyperlink>
    </w:p>
    <w:p w14:paraId="10473D10" w14:textId="2C751DC4" w:rsidR="00CE1739" w:rsidRDefault="009C6DE5">
      <w:pPr>
        <w:pStyle w:val="TOC2"/>
        <w:tabs>
          <w:tab w:val="left" w:pos="1100"/>
          <w:tab w:val="right" w:leader="dot" w:pos="9016"/>
        </w:tabs>
        <w:rPr>
          <w:rFonts w:cstheme="minorBidi"/>
          <w:noProof/>
          <w:sz w:val="22"/>
          <w:szCs w:val="22"/>
        </w:rPr>
      </w:pPr>
      <w:hyperlink w:anchor="_Toc128133848" w:history="1">
        <w:r w:rsidR="00CE1739" w:rsidRPr="001C00A6">
          <w:rPr>
            <w:rStyle w:val="Hyperlink"/>
            <w:noProof/>
          </w:rPr>
          <w:t>12.1</w:t>
        </w:r>
        <w:r w:rsidR="00CE1739">
          <w:rPr>
            <w:rFonts w:cstheme="minorBidi"/>
            <w:noProof/>
            <w:sz w:val="22"/>
            <w:szCs w:val="22"/>
          </w:rPr>
          <w:tab/>
        </w:r>
        <w:r w:rsidR="00CE1739" w:rsidRPr="001C00A6">
          <w:rPr>
            <w:rStyle w:val="Hyperlink"/>
            <w:rFonts w:eastAsia="Calibri"/>
            <w:noProof/>
          </w:rPr>
          <w:t>Data context and limitations</w:t>
        </w:r>
        <w:r w:rsidR="00CE1739">
          <w:rPr>
            <w:noProof/>
            <w:webHidden/>
          </w:rPr>
          <w:tab/>
        </w:r>
        <w:r w:rsidR="00CE1739">
          <w:rPr>
            <w:noProof/>
            <w:webHidden/>
          </w:rPr>
          <w:fldChar w:fldCharType="begin"/>
        </w:r>
        <w:r w:rsidR="00CE1739">
          <w:rPr>
            <w:noProof/>
            <w:webHidden/>
          </w:rPr>
          <w:instrText xml:space="preserve"> PAGEREF _Toc128133848 \h </w:instrText>
        </w:r>
        <w:r w:rsidR="00CE1739">
          <w:rPr>
            <w:noProof/>
            <w:webHidden/>
          </w:rPr>
        </w:r>
        <w:r w:rsidR="00CE1739">
          <w:rPr>
            <w:noProof/>
            <w:webHidden/>
          </w:rPr>
          <w:fldChar w:fldCharType="separate"/>
        </w:r>
        <w:r w:rsidR="00AC79E0">
          <w:rPr>
            <w:noProof/>
            <w:webHidden/>
          </w:rPr>
          <w:t>82</w:t>
        </w:r>
        <w:r w:rsidR="00CE1739">
          <w:rPr>
            <w:noProof/>
            <w:webHidden/>
          </w:rPr>
          <w:fldChar w:fldCharType="end"/>
        </w:r>
      </w:hyperlink>
    </w:p>
    <w:p w14:paraId="17FE4464" w14:textId="3A192CA4" w:rsidR="00CE1739" w:rsidRDefault="009C6DE5">
      <w:pPr>
        <w:pStyle w:val="TOC2"/>
        <w:tabs>
          <w:tab w:val="left" w:pos="1100"/>
          <w:tab w:val="right" w:leader="dot" w:pos="9016"/>
        </w:tabs>
        <w:rPr>
          <w:rFonts w:cstheme="minorBidi"/>
          <w:noProof/>
          <w:sz w:val="22"/>
          <w:szCs w:val="22"/>
        </w:rPr>
      </w:pPr>
      <w:hyperlink w:anchor="_Toc128133849" w:history="1">
        <w:r w:rsidR="00CE1739" w:rsidRPr="001C00A6">
          <w:rPr>
            <w:rStyle w:val="Hyperlink"/>
            <w:rFonts w:eastAsia="Calibri"/>
            <w:noProof/>
          </w:rPr>
          <w:t>12.2</w:t>
        </w:r>
        <w:r w:rsidR="00CE1739">
          <w:rPr>
            <w:rFonts w:cstheme="minorBidi"/>
            <w:noProof/>
            <w:sz w:val="22"/>
            <w:szCs w:val="22"/>
          </w:rPr>
          <w:tab/>
        </w:r>
        <w:r w:rsidR="00CE1739" w:rsidRPr="001C00A6">
          <w:rPr>
            <w:rStyle w:val="Hyperlink"/>
            <w:rFonts w:eastAsia="Calibri"/>
            <w:noProof/>
          </w:rPr>
          <w:t>Kent and Medway: Projections</w:t>
        </w:r>
        <w:r w:rsidR="00CE1739">
          <w:rPr>
            <w:noProof/>
            <w:webHidden/>
          </w:rPr>
          <w:tab/>
        </w:r>
        <w:r w:rsidR="00CE1739">
          <w:rPr>
            <w:noProof/>
            <w:webHidden/>
          </w:rPr>
          <w:fldChar w:fldCharType="begin"/>
        </w:r>
        <w:r w:rsidR="00CE1739">
          <w:rPr>
            <w:noProof/>
            <w:webHidden/>
          </w:rPr>
          <w:instrText xml:space="preserve"> PAGEREF _Toc128133849 \h </w:instrText>
        </w:r>
        <w:r w:rsidR="00CE1739">
          <w:rPr>
            <w:noProof/>
            <w:webHidden/>
          </w:rPr>
        </w:r>
        <w:r w:rsidR="00CE1739">
          <w:rPr>
            <w:noProof/>
            <w:webHidden/>
          </w:rPr>
          <w:fldChar w:fldCharType="separate"/>
        </w:r>
        <w:r w:rsidR="00AC79E0">
          <w:rPr>
            <w:noProof/>
            <w:webHidden/>
          </w:rPr>
          <w:t>83</w:t>
        </w:r>
        <w:r w:rsidR="00CE1739">
          <w:rPr>
            <w:noProof/>
            <w:webHidden/>
          </w:rPr>
          <w:fldChar w:fldCharType="end"/>
        </w:r>
      </w:hyperlink>
    </w:p>
    <w:p w14:paraId="10925EF0" w14:textId="0CFAC15B" w:rsidR="00CE1739" w:rsidRDefault="009C6DE5">
      <w:pPr>
        <w:pStyle w:val="TOC2"/>
        <w:tabs>
          <w:tab w:val="left" w:pos="1100"/>
          <w:tab w:val="right" w:leader="dot" w:pos="9016"/>
        </w:tabs>
        <w:rPr>
          <w:rFonts w:cstheme="minorBidi"/>
          <w:noProof/>
          <w:sz w:val="22"/>
          <w:szCs w:val="22"/>
        </w:rPr>
      </w:pPr>
      <w:hyperlink w:anchor="_Toc128133850" w:history="1">
        <w:r w:rsidR="00CE1739" w:rsidRPr="001C00A6">
          <w:rPr>
            <w:rStyle w:val="Hyperlink"/>
            <w:noProof/>
          </w:rPr>
          <w:t>12.3</w:t>
        </w:r>
        <w:r w:rsidR="00CE1739">
          <w:rPr>
            <w:rFonts w:cstheme="minorBidi"/>
            <w:noProof/>
            <w:sz w:val="22"/>
            <w:szCs w:val="22"/>
          </w:rPr>
          <w:tab/>
        </w:r>
        <w:r w:rsidR="00CE1739" w:rsidRPr="001C00A6">
          <w:rPr>
            <w:rStyle w:val="Hyperlink"/>
            <w:rFonts w:eastAsia="Calibri"/>
            <w:noProof/>
          </w:rPr>
          <w:t>Recommendations:</w:t>
        </w:r>
        <w:r w:rsidR="00CE1739">
          <w:rPr>
            <w:noProof/>
            <w:webHidden/>
          </w:rPr>
          <w:tab/>
        </w:r>
        <w:r w:rsidR="00CE1739">
          <w:rPr>
            <w:noProof/>
            <w:webHidden/>
          </w:rPr>
          <w:fldChar w:fldCharType="begin"/>
        </w:r>
        <w:r w:rsidR="00CE1739">
          <w:rPr>
            <w:noProof/>
            <w:webHidden/>
          </w:rPr>
          <w:instrText xml:space="preserve"> PAGEREF _Toc128133850 \h </w:instrText>
        </w:r>
        <w:r w:rsidR="00CE1739">
          <w:rPr>
            <w:noProof/>
            <w:webHidden/>
          </w:rPr>
        </w:r>
        <w:r w:rsidR="00CE1739">
          <w:rPr>
            <w:noProof/>
            <w:webHidden/>
          </w:rPr>
          <w:fldChar w:fldCharType="separate"/>
        </w:r>
        <w:r w:rsidR="00AC79E0">
          <w:rPr>
            <w:noProof/>
            <w:webHidden/>
          </w:rPr>
          <w:t>86</w:t>
        </w:r>
        <w:r w:rsidR="00CE1739">
          <w:rPr>
            <w:noProof/>
            <w:webHidden/>
          </w:rPr>
          <w:fldChar w:fldCharType="end"/>
        </w:r>
      </w:hyperlink>
    </w:p>
    <w:p w14:paraId="5A50CFEA" w14:textId="2FA97FDA" w:rsidR="00CE1739" w:rsidRDefault="009C6DE5">
      <w:pPr>
        <w:pStyle w:val="TOC1"/>
        <w:tabs>
          <w:tab w:val="left" w:pos="660"/>
          <w:tab w:val="right" w:leader="dot" w:pos="9016"/>
        </w:tabs>
        <w:rPr>
          <w:rFonts w:cstheme="minorBidi"/>
          <w:b w:val="0"/>
          <w:noProof/>
          <w:sz w:val="22"/>
          <w:szCs w:val="22"/>
        </w:rPr>
      </w:pPr>
      <w:hyperlink w:anchor="_Toc128133851" w:history="1">
        <w:r w:rsidR="00CE1739" w:rsidRPr="001C00A6">
          <w:rPr>
            <w:rStyle w:val="Hyperlink"/>
            <w:noProof/>
          </w:rPr>
          <w:t>13</w:t>
        </w:r>
        <w:r w:rsidR="00CE1739">
          <w:rPr>
            <w:rFonts w:cstheme="minorBidi"/>
            <w:b w:val="0"/>
            <w:noProof/>
            <w:sz w:val="22"/>
            <w:szCs w:val="22"/>
          </w:rPr>
          <w:tab/>
        </w:r>
        <w:r w:rsidR="00CE1739" w:rsidRPr="001C00A6">
          <w:rPr>
            <w:rStyle w:val="Hyperlink"/>
            <w:noProof/>
          </w:rPr>
          <w:t>Wider determinants affecting health outcomes.</w:t>
        </w:r>
        <w:r w:rsidR="00CE1739">
          <w:rPr>
            <w:noProof/>
            <w:webHidden/>
          </w:rPr>
          <w:tab/>
        </w:r>
        <w:r w:rsidR="00CE1739">
          <w:rPr>
            <w:noProof/>
            <w:webHidden/>
          </w:rPr>
          <w:fldChar w:fldCharType="begin"/>
        </w:r>
        <w:r w:rsidR="00CE1739">
          <w:rPr>
            <w:noProof/>
            <w:webHidden/>
          </w:rPr>
          <w:instrText xml:space="preserve"> PAGEREF _Toc128133851 \h </w:instrText>
        </w:r>
        <w:r w:rsidR="00CE1739">
          <w:rPr>
            <w:noProof/>
            <w:webHidden/>
          </w:rPr>
        </w:r>
        <w:r w:rsidR="00CE1739">
          <w:rPr>
            <w:noProof/>
            <w:webHidden/>
          </w:rPr>
          <w:fldChar w:fldCharType="separate"/>
        </w:r>
        <w:r w:rsidR="00AC79E0">
          <w:rPr>
            <w:noProof/>
            <w:webHidden/>
          </w:rPr>
          <w:t>87</w:t>
        </w:r>
        <w:r w:rsidR="00CE1739">
          <w:rPr>
            <w:noProof/>
            <w:webHidden/>
          </w:rPr>
          <w:fldChar w:fldCharType="end"/>
        </w:r>
      </w:hyperlink>
    </w:p>
    <w:p w14:paraId="69451CB9" w14:textId="0BB47860" w:rsidR="00CE1739" w:rsidRDefault="009C6DE5">
      <w:pPr>
        <w:pStyle w:val="TOC2"/>
        <w:tabs>
          <w:tab w:val="left" w:pos="1100"/>
          <w:tab w:val="right" w:leader="dot" w:pos="9016"/>
        </w:tabs>
        <w:rPr>
          <w:rFonts w:cstheme="minorBidi"/>
          <w:noProof/>
          <w:sz w:val="22"/>
          <w:szCs w:val="22"/>
        </w:rPr>
      </w:pPr>
      <w:hyperlink w:anchor="_Toc128133852" w:history="1">
        <w:r w:rsidR="00CE1739" w:rsidRPr="001C00A6">
          <w:rPr>
            <w:rStyle w:val="Hyperlink"/>
            <w:noProof/>
          </w:rPr>
          <w:t>13.1</w:t>
        </w:r>
        <w:r w:rsidR="00CE1739">
          <w:rPr>
            <w:rFonts w:cstheme="minorBidi"/>
            <w:noProof/>
            <w:sz w:val="22"/>
            <w:szCs w:val="22"/>
          </w:rPr>
          <w:tab/>
        </w:r>
        <w:r w:rsidR="00CE1739" w:rsidRPr="001C00A6">
          <w:rPr>
            <w:rStyle w:val="Hyperlink"/>
            <w:noProof/>
          </w:rPr>
          <w:t>Index of multiple deprivation 2019</w:t>
        </w:r>
        <w:r w:rsidR="00CE1739">
          <w:rPr>
            <w:noProof/>
            <w:webHidden/>
          </w:rPr>
          <w:tab/>
        </w:r>
        <w:r w:rsidR="00CE1739">
          <w:rPr>
            <w:noProof/>
            <w:webHidden/>
          </w:rPr>
          <w:fldChar w:fldCharType="begin"/>
        </w:r>
        <w:r w:rsidR="00CE1739">
          <w:rPr>
            <w:noProof/>
            <w:webHidden/>
          </w:rPr>
          <w:instrText xml:space="preserve"> PAGEREF _Toc128133852 \h </w:instrText>
        </w:r>
        <w:r w:rsidR="00CE1739">
          <w:rPr>
            <w:noProof/>
            <w:webHidden/>
          </w:rPr>
        </w:r>
        <w:r w:rsidR="00CE1739">
          <w:rPr>
            <w:noProof/>
            <w:webHidden/>
          </w:rPr>
          <w:fldChar w:fldCharType="separate"/>
        </w:r>
        <w:r w:rsidR="00AC79E0">
          <w:rPr>
            <w:noProof/>
            <w:webHidden/>
          </w:rPr>
          <w:t>87</w:t>
        </w:r>
        <w:r w:rsidR="00CE1739">
          <w:rPr>
            <w:noProof/>
            <w:webHidden/>
          </w:rPr>
          <w:fldChar w:fldCharType="end"/>
        </w:r>
      </w:hyperlink>
    </w:p>
    <w:p w14:paraId="1B6BC172" w14:textId="715F6342" w:rsidR="00CE1739" w:rsidRDefault="009C6DE5">
      <w:pPr>
        <w:pStyle w:val="TOC3"/>
        <w:tabs>
          <w:tab w:val="left" w:pos="1320"/>
          <w:tab w:val="right" w:leader="dot" w:pos="9016"/>
        </w:tabs>
        <w:rPr>
          <w:noProof/>
          <w:lang w:val="en-GB" w:eastAsia="en-GB"/>
        </w:rPr>
      </w:pPr>
      <w:hyperlink w:anchor="_Toc128133853" w:history="1">
        <w:r w:rsidR="00CE1739" w:rsidRPr="001C00A6">
          <w:rPr>
            <w:rStyle w:val="Hyperlink"/>
            <w:bCs/>
            <w:noProof/>
          </w:rPr>
          <w:t>13.1.1</w:t>
        </w:r>
        <w:r w:rsidR="00CE1739">
          <w:rPr>
            <w:noProof/>
            <w:lang w:val="en-GB" w:eastAsia="en-GB"/>
          </w:rPr>
          <w:tab/>
        </w:r>
        <w:r w:rsidR="00CE1739" w:rsidRPr="001C00A6">
          <w:rPr>
            <w:rStyle w:val="Hyperlink"/>
            <w:noProof/>
          </w:rPr>
          <w:t>Income Deprivation Affecting Children (IDACI)</w:t>
        </w:r>
        <w:r w:rsidR="00CE1739">
          <w:rPr>
            <w:noProof/>
            <w:webHidden/>
          </w:rPr>
          <w:tab/>
        </w:r>
        <w:r w:rsidR="00CE1739">
          <w:rPr>
            <w:noProof/>
            <w:webHidden/>
          </w:rPr>
          <w:fldChar w:fldCharType="begin"/>
        </w:r>
        <w:r w:rsidR="00CE1739">
          <w:rPr>
            <w:noProof/>
            <w:webHidden/>
          </w:rPr>
          <w:instrText xml:space="preserve"> PAGEREF _Toc128133853 \h </w:instrText>
        </w:r>
        <w:r w:rsidR="00CE1739">
          <w:rPr>
            <w:noProof/>
            <w:webHidden/>
          </w:rPr>
        </w:r>
        <w:r w:rsidR="00CE1739">
          <w:rPr>
            <w:noProof/>
            <w:webHidden/>
          </w:rPr>
          <w:fldChar w:fldCharType="separate"/>
        </w:r>
        <w:r w:rsidR="00AC79E0">
          <w:rPr>
            <w:noProof/>
            <w:webHidden/>
          </w:rPr>
          <w:t>87</w:t>
        </w:r>
        <w:r w:rsidR="00CE1739">
          <w:rPr>
            <w:noProof/>
            <w:webHidden/>
          </w:rPr>
          <w:fldChar w:fldCharType="end"/>
        </w:r>
      </w:hyperlink>
    </w:p>
    <w:p w14:paraId="0FE8FCE5" w14:textId="22472758" w:rsidR="00CE1739" w:rsidRDefault="009C6DE5">
      <w:pPr>
        <w:pStyle w:val="TOC2"/>
        <w:tabs>
          <w:tab w:val="left" w:pos="1100"/>
          <w:tab w:val="right" w:leader="dot" w:pos="9016"/>
        </w:tabs>
        <w:rPr>
          <w:rFonts w:cstheme="minorBidi"/>
          <w:noProof/>
          <w:sz w:val="22"/>
          <w:szCs w:val="22"/>
        </w:rPr>
      </w:pPr>
      <w:hyperlink w:anchor="_Toc128133854" w:history="1">
        <w:r w:rsidR="00CE1739" w:rsidRPr="001C00A6">
          <w:rPr>
            <w:rStyle w:val="Hyperlink"/>
            <w:noProof/>
          </w:rPr>
          <w:t>13.2</w:t>
        </w:r>
        <w:r w:rsidR="00CE1739">
          <w:rPr>
            <w:rFonts w:cstheme="minorBidi"/>
            <w:noProof/>
            <w:sz w:val="22"/>
            <w:szCs w:val="22"/>
          </w:rPr>
          <w:tab/>
        </w:r>
        <w:r w:rsidR="00CE1739" w:rsidRPr="001C00A6">
          <w:rPr>
            <w:rStyle w:val="Hyperlink"/>
            <w:noProof/>
          </w:rPr>
          <w:t>Unemployment</w:t>
        </w:r>
        <w:r w:rsidR="00CE1739">
          <w:rPr>
            <w:noProof/>
            <w:webHidden/>
          </w:rPr>
          <w:tab/>
        </w:r>
        <w:r w:rsidR="00CE1739">
          <w:rPr>
            <w:noProof/>
            <w:webHidden/>
          </w:rPr>
          <w:fldChar w:fldCharType="begin"/>
        </w:r>
        <w:r w:rsidR="00CE1739">
          <w:rPr>
            <w:noProof/>
            <w:webHidden/>
          </w:rPr>
          <w:instrText xml:space="preserve"> PAGEREF _Toc128133854 \h </w:instrText>
        </w:r>
        <w:r w:rsidR="00CE1739">
          <w:rPr>
            <w:noProof/>
            <w:webHidden/>
          </w:rPr>
        </w:r>
        <w:r w:rsidR="00CE1739">
          <w:rPr>
            <w:noProof/>
            <w:webHidden/>
          </w:rPr>
          <w:fldChar w:fldCharType="separate"/>
        </w:r>
        <w:r w:rsidR="00AC79E0">
          <w:rPr>
            <w:noProof/>
            <w:webHidden/>
          </w:rPr>
          <w:t>88</w:t>
        </w:r>
        <w:r w:rsidR="00CE1739">
          <w:rPr>
            <w:noProof/>
            <w:webHidden/>
          </w:rPr>
          <w:fldChar w:fldCharType="end"/>
        </w:r>
      </w:hyperlink>
    </w:p>
    <w:p w14:paraId="783AA5CB" w14:textId="57B1A822" w:rsidR="00CE1739" w:rsidRDefault="009C6DE5">
      <w:pPr>
        <w:pStyle w:val="TOC2"/>
        <w:tabs>
          <w:tab w:val="left" w:pos="1100"/>
          <w:tab w:val="right" w:leader="dot" w:pos="9016"/>
        </w:tabs>
        <w:rPr>
          <w:rFonts w:cstheme="minorBidi"/>
          <w:noProof/>
          <w:sz w:val="22"/>
          <w:szCs w:val="22"/>
        </w:rPr>
      </w:pPr>
      <w:hyperlink w:anchor="_Toc128133855" w:history="1">
        <w:r w:rsidR="00CE1739" w:rsidRPr="001C00A6">
          <w:rPr>
            <w:rStyle w:val="Hyperlink"/>
            <w:noProof/>
          </w:rPr>
          <w:t>13.3</w:t>
        </w:r>
        <w:r w:rsidR="00CE1739">
          <w:rPr>
            <w:rFonts w:cstheme="minorBidi"/>
            <w:noProof/>
            <w:sz w:val="22"/>
            <w:szCs w:val="22"/>
          </w:rPr>
          <w:tab/>
        </w:r>
        <w:r w:rsidR="00CE1739" w:rsidRPr="001C00A6">
          <w:rPr>
            <w:rStyle w:val="Hyperlink"/>
            <w:noProof/>
          </w:rPr>
          <w:t>Fuel poverty</w:t>
        </w:r>
        <w:r w:rsidR="00CE1739">
          <w:rPr>
            <w:noProof/>
            <w:webHidden/>
          </w:rPr>
          <w:tab/>
        </w:r>
        <w:r w:rsidR="00CE1739">
          <w:rPr>
            <w:noProof/>
            <w:webHidden/>
          </w:rPr>
          <w:fldChar w:fldCharType="begin"/>
        </w:r>
        <w:r w:rsidR="00CE1739">
          <w:rPr>
            <w:noProof/>
            <w:webHidden/>
          </w:rPr>
          <w:instrText xml:space="preserve"> PAGEREF _Toc128133855 \h </w:instrText>
        </w:r>
        <w:r w:rsidR="00CE1739">
          <w:rPr>
            <w:noProof/>
            <w:webHidden/>
          </w:rPr>
        </w:r>
        <w:r w:rsidR="00CE1739">
          <w:rPr>
            <w:noProof/>
            <w:webHidden/>
          </w:rPr>
          <w:fldChar w:fldCharType="separate"/>
        </w:r>
        <w:r w:rsidR="00AC79E0">
          <w:rPr>
            <w:noProof/>
            <w:webHidden/>
          </w:rPr>
          <w:t>89</w:t>
        </w:r>
        <w:r w:rsidR="00CE1739">
          <w:rPr>
            <w:noProof/>
            <w:webHidden/>
          </w:rPr>
          <w:fldChar w:fldCharType="end"/>
        </w:r>
      </w:hyperlink>
    </w:p>
    <w:p w14:paraId="7CF75D52" w14:textId="796854AC" w:rsidR="00CE1739" w:rsidRDefault="009C6DE5">
      <w:pPr>
        <w:pStyle w:val="TOC2"/>
        <w:tabs>
          <w:tab w:val="left" w:pos="1100"/>
          <w:tab w:val="right" w:leader="dot" w:pos="9016"/>
        </w:tabs>
        <w:rPr>
          <w:rFonts w:cstheme="minorBidi"/>
          <w:noProof/>
          <w:sz w:val="22"/>
          <w:szCs w:val="22"/>
        </w:rPr>
      </w:pPr>
      <w:hyperlink w:anchor="_Toc128133856" w:history="1">
        <w:r w:rsidR="00CE1739" w:rsidRPr="001C00A6">
          <w:rPr>
            <w:rStyle w:val="Hyperlink"/>
            <w:noProof/>
          </w:rPr>
          <w:t>13.4</w:t>
        </w:r>
        <w:r w:rsidR="00CE1739">
          <w:rPr>
            <w:rFonts w:cstheme="minorBidi"/>
            <w:noProof/>
            <w:sz w:val="22"/>
            <w:szCs w:val="22"/>
          </w:rPr>
          <w:tab/>
        </w:r>
        <w:r w:rsidR="00CE1739" w:rsidRPr="001C00A6">
          <w:rPr>
            <w:rStyle w:val="Hyperlink"/>
            <w:noProof/>
          </w:rPr>
          <w:t>Universal credit</w:t>
        </w:r>
        <w:r w:rsidR="00CE1739">
          <w:rPr>
            <w:noProof/>
            <w:webHidden/>
          </w:rPr>
          <w:tab/>
        </w:r>
        <w:r w:rsidR="00CE1739">
          <w:rPr>
            <w:noProof/>
            <w:webHidden/>
          </w:rPr>
          <w:fldChar w:fldCharType="begin"/>
        </w:r>
        <w:r w:rsidR="00CE1739">
          <w:rPr>
            <w:noProof/>
            <w:webHidden/>
          </w:rPr>
          <w:instrText xml:space="preserve"> PAGEREF _Toc128133856 \h </w:instrText>
        </w:r>
        <w:r w:rsidR="00CE1739">
          <w:rPr>
            <w:noProof/>
            <w:webHidden/>
          </w:rPr>
        </w:r>
        <w:r w:rsidR="00CE1739">
          <w:rPr>
            <w:noProof/>
            <w:webHidden/>
          </w:rPr>
          <w:fldChar w:fldCharType="separate"/>
        </w:r>
        <w:r w:rsidR="00AC79E0">
          <w:rPr>
            <w:noProof/>
            <w:webHidden/>
          </w:rPr>
          <w:t>90</w:t>
        </w:r>
        <w:r w:rsidR="00CE1739">
          <w:rPr>
            <w:noProof/>
            <w:webHidden/>
          </w:rPr>
          <w:fldChar w:fldCharType="end"/>
        </w:r>
      </w:hyperlink>
    </w:p>
    <w:p w14:paraId="38C4074E" w14:textId="3D306376" w:rsidR="00CE1739" w:rsidRDefault="009C6DE5">
      <w:pPr>
        <w:pStyle w:val="TOC2"/>
        <w:tabs>
          <w:tab w:val="left" w:pos="1100"/>
          <w:tab w:val="right" w:leader="dot" w:pos="9016"/>
        </w:tabs>
        <w:rPr>
          <w:rFonts w:cstheme="minorBidi"/>
          <w:noProof/>
          <w:sz w:val="22"/>
          <w:szCs w:val="22"/>
        </w:rPr>
      </w:pPr>
      <w:hyperlink w:anchor="_Toc128133857" w:history="1">
        <w:r w:rsidR="00CE1739" w:rsidRPr="001C00A6">
          <w:rPr>
            <w:rStyle w:val="Hyperlink"/>
            <w:noProof/>
          </w:rPr>
          <w:t>13.5</w:t>
        </w:r>
        <w:r w:rsidR="00CE1739">
          <w:rPr>
            <w:rFonts w:cstheme="minorBidi"/>
            <w:noProof/>
            <w:sz w:val="22"/>
            <w:szCs w:val="22"/>
          </w:rPr>
          <w:tab/>
        </w:r>
        <w:r w:rsidR="00CE1739" w:rsidRPr="001C00A6">
          <w:rPr>
            <w:rStyle w:val="Hyperlink"/>
            <w:noProof/>
          </w:rPr>
          <w:t>Housing</w:t>
        </w:r>
        <w:r w:rsidR="00CE1739">
          <w:rPr>
            <w:noProof/>
            <w:webHidden/>
          </w:rPr>
          <w:tab/>
        </w:r>
        <w:r w:rsidR="00CE1739">
          <w:rPr>
            <w:noProof/>
            <w:webHidden/>
          </w:rPr>
          <w:fldChar w:fldCharType="begin"/>
        </w:r>
        <w:r w:rsidR="00CE1739">
          <w:rPr>
            <w:noProof/>
            <w:webHidden/>
          </w:rPr>
          <w:instrText xml:space="preserve"> PAGEREF _Toc128133857 \h </w:instrText>
        </w:r>
        <w:r w:rsidR="00CE1739">
          <w:rPr>
            <w:noProof/>
            <w:webHidden/>
          </w:rPr>
        </w:r>
        <w:r w:rsidR="00CE1739">
          <w:rPr>
            <w:noProof/>
            <w:webHidden/>
          </w:rPr>
          <w:fldChar w:fldCharType="separate"/>
        </w:r>
        <w:r w:rsidR="00AC79E0">
          <w:rPr>
            <w:noProof/>
            <w:webHidden/>
          </w:rPr>
          <w:t>92</w:t>
        </w:r>
        <w:r w:rsidR="00CE1739">
          <w:rPr>
            <w:noProof/>
            <w:webHidden/>
          </w:rPr>
          <w:fldChar w:fldCharType="end"/>
        </w:r>
      </w:hyperlink>
    </w:p>
    <w:p w14:paraId="53590032" w14:textId="20196231" w:rsidR="00CE1739" w:rsidRDefault="009C6DE5">
      <w:pPr>
        <w:pStyle w:val="TOC2"/>
        <w:tabs>
          <w:tab w:val="left" w:pos="1100"/>
          <w:tab w:val="right" w:leader="dot" w:pos="9016"/>
        </w:tabs>
        <w:rPr>
          <w:rFonts w:cstheme="minorBidi"/>
          <w:noProof/>
          <w:sz w:val="22"/>
          <w:szCs w:val="22"/>
        </w:rPr>
      </w:pPr>
      <w:hyperlink w:anchor="_Toc128133858" w:history="1">
        <w:r w:rsidR="00CE1739" w:rsidRPr="001C00A6">
          <w:rPr>
            <w:rStyle w:val="Hyperlink"/>
            <w:noProof/>
          </w:rPr>
          <w:t>13.6</w:t>
        </w:r>
        <w:r w:rsidR="00CE1739">
          <w:rPr>
            <w:rFonts w:cstheme="minorBidi"/>
            <w:noProof/>
            <w:sz w:val="22"/>
            <w:szCs w:val="22"/>
          </w:rPr>
          <w:tab/>
        </w:r>
        <w:r w:rsidR="00CE1739" w:rsidRPr="001C00A6">
          <w:rPr>
            <w:rStyle w:val="Hyperlink"/>
            <w:noProof/>
          </w:rPr>
          <w:t>Cost of Living</w:t>
        </w:r>
        <w:r w:rsidR="00CE1739">
          <w:rPr>
            <w:noProof/>
            <w:webHidden/>
          </w:rPr>
          <w:tab/>
        </w:r>
        <w:r w:rsidR="00CE1739">
          <w:rPr>
            <w:noProof/>
            <w:webHidden/>
          </w:rPr>
          <w:fldChar w:fldCharType="begin"/>
        </w:r>
        <w:r w:rsidR="00CE1739">
          <w:rPr>
            <w:noProof/>
            <w:webHidden/>
          </w:rPr>
          <w:instrText xml:space="preserve"> PAGEREF _Toc128133858 \h </w:instrText>
        </w:r>
        <w:r w:rsidR="00CE1739">
          <w:rPr>
            <w:noProof/>
            <w:webHidden/>
          </w:rPr>
        </w:r>
        <w:r w:rsidR="00CE1739">
          <w:rPr>
            <w:noProof/>
            <w:webHidden/>
          </w:rPr>
          <w:fldChar w:fldCharType="separate"/>
        </w:r>
        <w:r w:rsidR="00AC79E0">
          <w:rPr>
            <w:noProof/>
            <w:webHidden/>
          </w:rPr>
          <w:t>94</w:t>
        </w:r>
        <w:r w:rsidR="00CE1739">
          <w:rPr>
            <w:noProof/>
            <w:webHidden/>
          </w:rPr>
          <w:fldChar w:fldCharType="end"/>
        </w:r>
      </w:hyperlink>
    </w:p>
    <w:p w14:paraId="1869553C" w14:textId="7F204EB9" w:rsidR="00CE1739" w:rsidRDefault="009C6DE5">
      <w:pPr>
        <w:pStyle w:val="TOC1"/>
        <w:tabs>
          <w:tab w:val="left" w:pos="660"/>
          <w:tab w:val="right" w:leader="dot" w:pos="9016"/>
        </w:tabs>
        <w:rPr>
          <w:rFonts w:cstheme="minorBidi"/>
          <w:b w:val="0"/>
          <w:noProof/>
          <w:sz w:val="22"/>
          <w:szCs w:val="22"/>
        </w:rPr>
      </w:pPr>
      <w:hyperlink w:anchor="_Toc128133859" w:history="1">
        <w:r w:rsidR="00CE1739" w:rsidRPr="001C00A6">
          <w:rPr>
            <w:rStyle w:val="Hyperlink"/>
            <w:noProof/>
          </w:rPr>
          <w:t>14</w:t>
        </w:r>
        <w:r w:rsidR="00CE1739">
          <w:rPr>
            <w:rFonts w:cstheme="minorBidi"/>
            <w:b w:val="0"/>
            <w:noProof/>
            <w:sz w:val="22"/>
            <w:szCs w:val="22"/>
          </w:rPr>
          <w:tab/>
        </w:r>
        <w:r w:rsidR="00CE1739" w:rsidRPr="001C00A6">
          <w:rPr>
            <w:rStyle w:val="Hyperlink"/>
            <w:noProof/>
          </w:rPr>
          <w:t>Childhood Immunisation Coverage</w:t>
        </w:r>
        <w:r w:rsidR="00CE1739">
          <w:rPr>
            <w:noProof/>
            <w:webHidden/>
          </w:rPr>
          <w:tab/>
        </w:r>
        <w:r w:rsidR="00CE1739">
          <w:rPr>
            <w:noProof/>
            <w:webHidden/>
          </w:rPr>
          <w:fldChar w:fldCharType="begin"/>
        </w:r>
        <w:r w:rsidR="00CE1739">
          <w:rPr>
            <w:noProof/>
            <w:webHidden/>
          </w:rPr>
          <w:instrText xml:space="preserve"> PAGEREF _Toc128133859 \h </w:instrText>
        </w:r>
        <w:r w:rsidR="00CE1739">
          <w:rPr>
            <w:noProof/>
            <w:webHidden/>
          </w:rPr>
        </w:r>
        <w:r w:rsidR="00CE1739">
          <w:rPr>
            <w:noProof/>
            <w:webHidden/>
          </w:rPr>
          <w:fldChar w:fldCharType="separate"/>
        </w:r>
        <w:r w:rsidR="00AC79E0">
          <w:rPr>
            <w:noProof/>
            <w:webHidden/>
          </w:rPr>
          <w:t>99</w:t>
        </w:r>
        <w:r w:rsidR="00CE1739">
          <w:rPr>
            <w:noProof/>
            <w:webHidden/>
          </w:rPr>
          <w:fldChar w:fldCharType="end"/>
        </w:r>
      </w:hyperlink>
    </w:p>
    <w:p w14:paraId="1BF794D3" w14:textId="5E87F561" w:rsidR="00CE1739" w:rsidRDefault="009C6DE5">
      <w:pPr>
        <w:pStyle w:val="TOC2"/>
        <w:tabs>
          <w:tab w:val="left" w:pos="1100"/>
          <w:tab w:val="right" w:leader="dot" w:pos="9016"/>
        </w:tabs>
        <w:rPr>
          <w:rFonts w:cstheme="minorBidi"/>
          <w:noProof/>
          <w:sz w:val="22"/>
          <w:szCs w:val="22"/>
        </w:rPr>
      </w:pPr>
      <w:hyperlink w:anchor="_Toc128133860" w:history="1">
        <w:r w:rsidR="00CE1739" w:rsidRPr="001C00A6">
          <w:rPr>
            <w:rStyle w:val="Hyperlink"/>
            <w:noProof/>
          </w:rPr>
          <w:t>14.1</w:t>
        </w:r>
        <w:r w:rsidR="00CE1739">
          <w:rPr>
            <w:rFonts w:cstheme="minorBidi"/>
            <w:noProof/>
            <w:sz w:val="22"/>
            <w:szCs w:val="22"/>
          </w:rPr>
          <w:tab/>
        </w:r>
        <w:r w:rsidR="00CE1739" w:rsidRPr="001C00A6">
          <w:rPr>
            <w:rStyle w:val="Hyperlink"/>
            <w:noProof/>
          </w:rPr>
          <w:t>Measles, mumps &amp; rubella (MMR) – at age 5 years</w:t>
        </w:r>
        <w:r w:rsidR="00CE1739">
          <w:rPr>
            <w:noProof/>
            <w:webHidden/>
          </w:rPr>
          <w:tab/>
        </w:r>
        <w:r w:rsidR="00CE1739">
          <w:rPr>
            <w:noProof/>
            <w:webHidden/>
          </w:rPr>
          <w:fldChar w:fldCharType="begin"/>
        </w:r>
        <w:r w:rsidR="00CE1739">
          <w:rPr>
            <w:noProof/>
            <w:webHidden/>
          </w:rPr>
          <w:instrText xml:space="preserve"> PAGEREF _Toc128133860 \h </w:instrText>
        </w:r>
        <w:r w:rsidR="00CE1739">
          <w:rPr>
            <w:noProof/>
            <w:webHidden/>
          </w:rPr>
        </w:r>
        <w:r w:rsidR="00CE1739">
          <w:rPr>
            <w:noProof/>
            <w:webHidden/>
          </w:rPr>
          <w:fldChar w:fldCharType="separate"/>
        </w:r>
        <w:r w:rsidR="00AC79E0">
          <w:rPr>
            <w:noProof/>
            <w:webHidden/>
          </w:rPr>
          <w:t>99</w:t>
        </w:r>
        <w:r w:rsidR="00CE1739">
          <w:rPr>
            <w:noProof/>
            <w:webHidden/>
          </w:rPr>
          <w:fldChar w:fldCharType="end"/>
        </w:r>
      </w:hyperlink>
    </w:p>
    <w:p w14:paraId="041514B5" w14:textId="68B9C069" w:rsidR="00CE1739" w:rsidRDefault="009C6DE5">
      <w:pPr>
        <w:pStyle w:val="TOC2"/>
        <w:tabs>
          <w:tab w:val="left" w:pos="1100"/>
          <w:tab w:val="right" w:leader="dot" w:pos="9016"/>
        </w:tabs>
        <w:rPr>
          <w:rFonts w:cstheme="minorBidi"/>
          <w:noProof/>
          <w:sz w:val="22"/>
          <w:szCs w:val="22"/>
        </w:rPr>
      </w:pPr>
      <w:hyperlink w:anchor="_Toc128133861" w:history="1">
        <w:r w:rsidR="00CE1739" w:rsidRPr="001C00A6">
          <w:rPr>
            <w:rStyle w:val="Hyperlink"/>
            <w:noProof/>
          </w:rPr>
          <w:t>14.2</w:t>
        </w:r>
        <w:r w:rsidR="00CE1739">
          <w:rPr>
            <w:rFonts w:cstheme="minorBidi"/>
            <w:noProof/>
            <w:sz w:val="22"/>
            <w:szCs w:val="22"/>
          </w:rPr>
          <w:tab/>
        </w:r>
        <w:r w:rsidR="00CE1739" w:rsidRPr="001C00A6">
          <w:rPr>
            <w:rStyle w:val="Hyperlink"/>
            <w:noProof/>
          </w:rPr>
          <w:t>DTaP/IPV/Hib – at age 5 years</w:t>
        </w:r>
        <w:r w:rsidR="00CE1739">
          <w:rPr>
            <w:noProof/>
            <w:webHidden/>
          </w:rPr>
          <w:tab/>
        </w:r>
        <w:r w:rsidR="00CE1739">
          <w:rPr>
            <w:noProof/>
            <w:webHidden/>
          </w:rPr>
          <w:fldChar w:fldCharType="begin"/>
        </w:r>
        <w:r w:rsidR="00CE1739">
          <w:rPr>
            <w:noProof/>
            <w:webHidden/>
          </w:rPr>
          <w:instrText xml:space="preserve"> PAGEREF _Toc128133861 \h </w:instrText>
        </w:r>
        <w:r w:rsidR="00CE1739">
          <w:rPr>
            <w:noProof/>
            <w:webHidden/>
          </w:rPr>
        </w:r>
        <w:r w:rsidR="00CE1739">
          <w:rPr>
            <w:noProof/>
            <w:webHidden/>
          </w:rPr>
          <w:fldChar w:fldCharType="separate"/>
        </w:r>
        <w:r w:rsidR="00AC79E0">
          <w:rPr>
            <w:noProof/>
            <w:webHidden/>
          </w:rPr>
          <w:t>100</w:t>
        </w:r>
        <w:r w:rsidR="00CE1739">
          <w:rPr>
            <w:noProof/>
            <w:webHidden/>
          </w:rPr>
          <w:fldChar w:fldCharType="end"/>
        </w:r>
      </w:hyperlink>
    </w:p>
    <w:p w14:paraId="37C8241E" w14:textId="509AC716" w:rsidR="00CE1739" w:rsidRDefault="009C6DE5">
      <w:pPr>
        <w:pStyle w:val="TOC2"/>
        <w:tabs>
          <w:tab w:val="left" w:pos="1100"/>
          <w:tab w:val="right" w:leader="dot" w:pos="9016"/>
        </w:tabs>
        <w:rPr>
          <w:rFonts w:cstheme="minorBidi"/>
          <w:noProof/>
          <w:sz w:val="22"/>
          <w:szCs w:val="22"/>
        </w:rPr>
      </w:pPr>
      <w:hyperlink w:anchor="_Toc128133862" w:history="1">
        <w:r w:rsidR="00CE1739" w:rsidRPr="001C00A6">
          <w:rPr>
            <w:rStyle w:val="Hyperlink"/>
            <w:noProof/>
          </w:rPr>
          <w:t>14.3</w:t>
        </w:r>
        <w:r w:rsidR="00CE1739">
          <w:rPr>
            <w:rFonts w:cstheme="minorBidi"/>
            <w:noProof/>
            <w:sz w:val="22"/>
            <w:szCs w:val="22"/>
          </w:rPr>
          <w:tab/>
        </w:r>
        <w:r w:rsidR="00CE1739" w:rsidRPr="001C00A6">
          <w:rPr>
            <w:rStyle w:val="Hyperlink"/>
            <w:noProof/>
          </w:rPr>
          <w:t>DTaP/IPV/Hib – at age 24 months</w:t>
        </w:r>
        <w:r w:rsidR="00CE1739">
          <w:rPr>
            <w:noProof/>
            <w:webHidden/>
          </w:rPr>
          <w:tab/>
        </w:r>
        <w:r w:rsidR="00CE1739">
          <w:rPr>
            <w:noProof/>
            <w:webHidden/>
          </w:rPr>
          <w:fldChar w:fldCharType="begin"/>
        </w:r>
        <w:r w:rsidR="00CE1739">
          <w:rPr>
            <w:noProof/>
            <w:webHidden/>
          </w:rPr>
          <w:instrText xml:space="preserve"> PAGEREF _Toc128133862 \h </w:instrText>
        </w:r>
        <w:r w:rsidR="00CE1739">
          <w:rPr>
            <w:noProof/>
            <w:webHidden/>
          </w:rPr>
        </w:r>
        <w:r w:rsidR="00CE1739">
          <w:rPr>
            <w:noProof/>
            <w:webHidden/>
          </w:rPr>
          <w:fldChar w:fldCharType="separate"/>
        </w:r>
        <w:r w:rsidR="00AC79E0">
          <w:rPr>
            <w:noProof/>
            <w:webHidden/>
          </w:rPr>
          <w:t>101</w:t>
        </w:r>
        <w:r w:rsidR="00CE1739">
          <w:rPr>
            <w:noProof/>
            <w:webHidden/>
          </w:rPr>
          <w:fldChar w:fldCharType="end"/>
        </w:r>
      </w:hyperlink>
    </w:p>
    <w:p w14:paraId="141E6DDD" w14:textId="5F63713E" w:rsidR="00CE1739" w:rsidRDefault="009C6DE5">
      <w:pPr>
        <w:pStyle w:val="TOC2"/>
        <w:tabs>
          <w:tab w:val="left" w:pos="1100"/>
          <w:tab w:val="right" w:leader="dot" w:pos="9016"/>
        </w:tabs>
        <w:rPr>
          <w:rFonts w:cstheme="minorBidi"/>
          <w:noProof/>
          <w:sz w:val="22"/>
          <w:szCs w:val="22"/>
        </w:rPr>
      </w:pPr>
      <w:hyperlink w:anchor="_Toc128133863" w:history="1">
        <w:r w:rsidR="00CE1739" w:rsidRPr="001C00A6">
          <w:rPr>
            <w:rStyle w:val="Hyperlink"/>
            <w:noProof/>
          </w:rPr>
          <w:t>14.4</w:t>
        </w:r>
        <w:r w:rsidR="00CE1739">
          <w:rPr>
            <w:rFonts w:cstheme="minorBidi"/>
            <w:noProof/>
            <w:sz w:val="22"/>
            <w:szCs w:val="22"/>
          </w:rPr>
          <w:tab/>
        </w:r>
        <w:r w:rsidR="00CE1739" w:rsidRPr="001C00A6">
          <w:rPr>
            <w:rStyle w:val="Hyperlink"/>
            <w:noProof/>
          </w:rPr>
          <w:t>DTaP/IPV/Hib – at age 12 months</w:t>
        </w:r>
        <w:r w:rsidR="00CE1739">
          <w:rPr>
            <w:noProof/>
            <w:webHidden/>
          </w:rPr>
          <w:tab/>
        </w:r>
        <w:r w:rsidR="00CE1739">
          <w:rPr>
            <w:noProof/>
            <w:webHidden/>
          </w:rPr>
          <w:fldChar w:fldCharType="begin"/>
        </w:r>
        <w:r w:rsidR="00CE1739">
          <w:rPr>
            <w:noProof/>
            <w:webHidden/>
          </w:rPr>
          <w:instrText xml:space="preserve"> PAGEREF _Toc128133863 \h </w:instrText>
        </w:r>
        <w:r w:rsidR="00CE1739">
          <w:rPr>
            <w:noProof/>
            <w:webHidden/>
          </w:rPr>
        </w:r>
        <w:r w:rsidR="00CE1739">
          <w:rPr>
            <w:noProof/>
            <w:webHidden/>
          </w:rPr>
          <w:fldChar w:fldCharType="separate"/>
        </w:r>
        <w:r w:rsidR="00AC79E0">
          <w:rPr>
            <w:noProof/>
            <w:webHidden/>
          </w:rPr>
          <w:t>102</w:t>
        </w:r>
        <w:r w:rsidR="00CE1739">
          <w:rPr>
            <w:noProof/>
            <w:webHidden/>
          </w:rPr>
          <w:fldChar w:fldCharType="end"/>
        </w:r>
      </w:hyperlink>
    </w:p>
    <w:p w14:paraId="6E697E64" w14:textId="5F20335A" w:rsidR="00CE1739" w:rsidRDefault="009C6DE5">
      <w:pPr>
        <w:pStyle w:val="TOC1"/>
        <w:tabs>
          <w:tab w:val="left" w:pos="660"/>
          <w:tab w:val="right" w:leader="dot" w:pos="9016"/>
        </w:tabs>
        <w:rPr>
          <w:rFonts w:cstheme="minorBidi"/>
          <w:b w:val="0"/>
          <w:noProof/>
          <w:sz w:val="22"/>
          <w:szCs w:val="22"/>
        </w:rPr>
      </w:pPr>
      <w:hyperlink w:anchor="_Toc128133864" w:history="1">
        <w:r w:rsidR="00CE1739" w:rsidRPr="001C00A6">
          <w:rPr>
            <w:rStyle w:val="Hyperlink"/>
            <w:noProof/>
          </w:rPr>
          <w:t>15</w:t>
        </w:r>
        <w:r w:rsidR="00CE1739">
          <w:rPr>
            <w:rFonts w:cstheme="minorBidi"/>
            <w:b w:val="0"/>
            <w:noProof/>
            <w:sz w:val="22"/>
            <w:szCs w:val="22"/>
          </w:rPr>
          <w:tab/>
        </w:r>
        <w:r w:rsidR="00CE1739" w:rsidRPr="001C00A6">
          <w:rPr>
            <w:rStyle w:val="Hyperlink"/>
            <w:noProof/>
          </w:rPr>
          <w:t>Hypertension in West Kent</w:t>
        </w:r>
        <w:r w:rsidR="00CE1739">
          <w:rPr>
            <w:noProof/>
            <w:webHidden/>
          </w:rPr>
          <w:tab/>
        </w:r>
        <w:r w:rsidR="00CE1739">
          <w:rPr>
            <w:noProof/>
            <w:webHidden/>
          </w:rPr>
          <w:fldChar w:fldCharType="begin"/>
        </w:r>
        <w:r w:rsidR="00CE1739">
          <w:rPr>
            <w:noProof/>
            <w:webHidden/>
          </w:rPr>
          <w:instrText xml:space="preserve"> PAGEREF _Toc128133864 \h </w:instrText>
        </w:r>
        <w:r w:rsidR="00CE1739">
          <w:rPr>
            <w:noProof/>
            <w:webHidden/>
          </w:rPr>
        </w:r>
        <w:r w:rsidR="00CE1739">
          <w:rPr>
            <w:noProof/>
            <w:webHidden/>
          </w:rPr>
          <w:fldChar w:fldCharType="separate"/>
        </w:r>
        <w:r w:rsidR="00AC79E0">
          <w:rPr>
            <w:noProof/>
            <w:webHidden/>
          </w:rPr>
          <w:t>103</w:t>
        </w:r>
        <w:r w:rsidR="00CE1739">
          <w:rPr>
            <w:noProof/>
            <w:webHidden/>
          </w:rPr>
          <w:fldChar w:fldCharType="end"/>
        </w:r>
      </w:hyperlink>
    </w:p>
    <w:p w14:paraId="6022AAA0" w14:textId="648D0714" w:rsidR="00CE1739" w:rsidRDefault="009C6DE5">
      <w:pPr>
        <w:pStyle w:val="TOC2"/>
        <w:tabs>
          <w:tab w:val="left" w:pos="1100"/>
          <w:tab w:val="right" w:leader="dot" w:pos="9016"/>
        </w:tabs>
        <w:rPr>
          <w:rFonts w:cstheme="minorBidi"/>
          <w:noProof/>
          <w:sz w:val="22"/>
          <w:szCs w:val="22"/>
        </w:rPr>
      </w:pPr>
      <w:hyperlink w:anchor="_Toc128133865" w:history="1">
        <w:r w:rsidR="00CE1739" w:rsidRPr="001C00A6">
          <w:rPr>
            <w:rStyle w:val="Hyperlink"/>
            <w:noProof/>
          </w:rPr>
          <w:t>15.1</w:t>
        </w:r>
        <w:r w:rsidR="00CE1739">
          <w:rPr>
            <w:rFonts w:cstheme="minorBidi"/>
            <w:noProof/>
            <w:sz w:val="22"/>
            <w:szCs w:val="22"/>
          </w:rPr>
          <w:tab/>
        </w:r>
        <w:r w:rsidR="00CE1739" w:rsidRPr="001C00A6">
          <w:rPr>
            <w:rStyle w:val="Hyperlink"/>
            <w:noProof/>
          </w:rPr>
          <w:t>PCNs in West Kent</w:t>
        </w:r>
        <w:r w:rsidR="00CE1739">
          <w:rPr>
            <w:noProof/>
            <w:webHidden/>
          </w:rPr>
          <w:tab/>
        </w:r>
        <w:r w:rsidR="00CE1739">
          <w:rPr>
            <w:noProof/>
            <w:webHidden/>
          </w:rPr>
          <w:fldChar w:fldCharType="begin"/>
        </w:r>
        <w:r w:rsidR="00CE1739">
          <w:rPr>
            <w:noProof/>
            <w:webHidden/>
          </w:rPr>
          <w:instrText xml:space="preserve"> PAGEREF _Toc128133865 \h </w:instrText>
        </w:r>
        <w:r w:rsidR="00CE1739">
          <w:rPr>
            <w:noProof/>
            <w:webHidden/>
          </w:rPr>
        </w:r>
        <w:r w:rsidR="00CE1739">
          <w:rPr>
            <w:noProof/>
            <w:webHidden/>
          </w:rPr>
          <w:fldChar w:fldCharType="separate"/>
        </w:r>
        <w:r w:rsidR="00AC79E0">
          <w:rPr>
            <w:noProof/>
            <w:webHidden/>
          </w:rPr>
          <w:t>104</w:t>
        </w:r>
        <w:r w:rsidR="00CE1739">
          <w:rPr>
            <w:noProof/>
            <w:webHidden/>
          </w:rPr>
          <w:fldChar w:fldCharType="end"/>
        </w:r>
      </w:hyperlink>
    </w:p>
    <w:p w14:paraId="2CF8B656" w14:textId="17DC4438" w:rsidR="00CE1739" w:rsidRDefault="009C6DE5">
      <w:pPr>
        <w:pStyle w:val="TOC2"/>
        <w:tabs>
          <w:tab w:val="left" w:pos="1100"/>
          <w:tab w:val="right" w:leader="dot" w:pos="9016"/>
        </w:tabs>
        <w:rPr>
          <w:rFonts w:cstheme="minorBidi"/>
          <w:noProof/>
          <w:sz w:val="22"/>
          <w:szCs w:val="22"/>
        </w:rPr>
      </w:pPr>
      <w:hyperlink w:anchor="_Toc128133866" w:history="1">
        <w:r w:rsidR="00CE1739" w:rsidRPr="001C00A6">
          <w:rPr>
            <w:rStyle w:val="Hyperlink"/>
            <w:noProof/>
          </w:rPr>
          <w:t>15.2</w:t>
        </w:r>
        <w:r w:rsidR="00CE1739">
          <w:rPr>
            <w:rFonts w:cstheme="minorBidi"/>
            <w:noProof/>
            <w:sz w:val="22"/>
            <w:szCs w:val="22"/>
          </w:rPr>
          <w:tab/>
        </w:r>
        <w:r w:rsidR="00CE1739" w:rsidRPr="001C00A6">
          <w:rPr>
            <w:rStyle w:val="Hyperlink"/>
            <w:noProof/>
          </w:rPr>
          <w:t>BP Monitoring</w:t>
        </w:r>
        <w:r w:rsidR="00CE1739">
          <w:rPr>
            <w:noProof/>
            <w:webHidden/>
          </w:rPr>
          <w:tab/>
        </w:r>
        <w:r w:rsidR="00CE1739">
          <w:rPr>
            <w:noProof/>
            <w:webHidden/>
          </w:rPr>
          <w:fldChar w:fldCharType="begin"/>
        </w:r>
        <w:r w:rsidR="00CE1739">
          <w:rPr>
            <w:noProof/>
            <w:webHidden/>
          </w:rPr>
          <w:instrText xml:space="preserve"> PAGEREF _Toc128133866 \h </w:instrText>
        </w:r>
        <w:r w:rsidR="00CE1739">
          <w:rPr>
            <w:noProof/>
            <w:webHidden/>
          </w:rPr>
        </w:r>
        <w:r w:rsidR="00CE1739">
          <w:rPr>
            <w:noProof/>
            <w:webHidden/>
          </w:rPr>
          <w:fldChar w:fldCharType="separate"/>
        </w:r>
        <w:r w:rsidR="00AC79E0">
          <w:rPr>
            <w:noProof/>
            <w:webHidden/>
          </w:rPr>
          <w:t>104</w:t>
        </w:r>
        <w:r w:rsidR="00CE1739">
          <w:rPr>
            <w:noProof/>
            <w:webHidden/>
          </w:rPr>
          <w:fldChar w:fldCharType="end"/>
        </w:r>
      </w:hyperlink>
    </w:p>
    <w:p w14:paraId="5C77BE88" w14:textId="2BA3EF19" w:rsidR="00CE1739" w:rsidRDefault="009C6DE5">
      <w:pPr>
        <w:pStyle w:val="TOC2"/>
        <w:tabs>
          <w:tab w:val="left" w:pos="1100"/>
          <w:tab w:val="right" w:leader="dot" w:pos="9016"/>
        </w:tabs>
        <w:rPr>
          <w:rFonts w:cstheme="minorBidi"/>
          <w:noProof/>
          <w:sz w:val="22"/>
          <w:szCs w:val="22"/>
        </w:rPr>
      </w:pPr>
      <w:hyperlink w:anchor="_Toc128133867" w:history="1">
        <w:r w:rsidR="00CE1739" w:rsidRPr="001C00A6">
          <w:rPr>
            <w:rStyle w:val="Hyperlink"/>
            <w:noProof/>
          </w:rPr>
          <w:t>15.3</w:t>
        </w:r>
        <w:r w:rsidR="00CE1739">
          <w:rPr>
            <w:rFonts w:cstheme="minorBidi"/>
            <w:noProof/>
            <w:sz w:val="22"/>
            <w:szCs w:val="22"/>
          </w:rPr>
          <w:tab/>
        </w:r>
        <w:r w:rsidR="00CE1739" w:rsidRPr="001C00A6">
          <w:rPr>
            <w:rStyle w:val="Hyperlink"/>
            <w:noProof/>
          </w:rPr>
          <w:t>Hypertension Prevalence</w:t>
        </w:r>
        <w:r w:rsidR="00CE1739">
          <w:rPr>
            <w:noProof/>
            <w:webHidden/>
          </w:rPr>
          <w:tab/>
        </w:r>
        <w:r w:rsidR="00CE1739">
          <w:rPr>
            <w:noProof/>
            <w:webHidden/>
          </w:rPr>
          <w:fldChar w:fldCharType="begin"/>
        </w:r>
        <w:r w:rsidR="00CE1739">
          <w:rPr>
            <w:noProof/>
            <w:webHidden/>
          </w:rPr>
          <w:instrText xml:space="preserve"> PAGEREF _Toc128133867 \h </w:instrText>
        </w:r>
        <w:r w:rsidR="00CE1739">
          <w:rPr>
            <w:noProof/>
            <w:webHidden/>
          </w:rPr>
        </w:r>
        <w:r w:rsidR="00CE1739">
          <w:rPr>
            <w:noProof/>
            <w:webHidden/>
          </w:rPr>
          <w:fldChar w:fldCharType="separate"/>
        </w:r>
        <w:r w:rsidR="00AC79E0">
          <w:rPr>
            <w:noProof/>
            <w:webHidden/>
          </w:rPr>
          <w:t>105</w:t>
        </w:r>
        <w:r w:rsidR="00CE1739">
          <w:rPr>
            <w:noProof/>
            <w:webHidden/>
          </w:rPr>
          <w:fldChar w:fldCharType="end"/>
        </w:r>
      </w:hyperlink>
    </w:p>
    <w:p w14:paraId="78D55792" w14:textId="001CAF00" w:rsidR="00CE1739" w:rsidRDefault="009C6DE5">
      <w:pPr>
        <w:pStyle w:val="TOC3"/>
        <w:tabs>
          <w:tab w:val="left" w:pos="1320"/>
          <w:tab w:val="right" w:leader="dot" w:pos="9016"/>
        </w:tabs>
        <w:rPr>
          <w:noProof/>
          <w:lang w:val="en-GB" w:eastAsia="en-GB"/>
        </w:rPr>
      </w:pPr>
      <w:hyperlink w:anchor="_Toc128133868" w:history="1">
        <w:r w:rsidR="00CE1739" w:rsidRPr="001C00A6">
          <w:rPr>
            <w:rStyle w:val="Hyperlink"/>
            <w:noProof/>
          </w:rPr>
          <w:t>15.3.1</w:t>
        </w:r>
        <w:r w:rsidR="00CE1739">
          <w:rPr>
            <w:noProof/>
            <w:lang w:val="en-GB" w:eastAsia="en-GB"/>
          </w:rPr>
          <w:tab/>
        </w:r>
        <w:r w:rsidR="00CE1739" w:rsidRPr="001C00A6">
          <w:rPr>
            <w:rStyle w:val="Hyperlink"/>
            <w:noProof/>
          </w:rPr>
          <w:t>The percentage of patients with established hypertension, as recorded on practice disease registers (proportion of total list size).</w:t>
        </w:r>
        <w:r w:rsidR="00CE1739">
          <w:rPr>
            <w:noProof/>
            <w:webHidden/>
          </w:rPr>
          <w:tab/>
        </w:r>
        <w:r w:rsidR="00CE1739">
          <w:rPr>
            <w:noProof/>
            <w:webHidden/>
          </w:rPr>
          <w:fldChar w:fldCharType="begin"/>
        </w:r>
        <w:r w:rsidR="00CE1739">
          <w:rPr>
            <w:noProof/>
            <w:webHidden/>
          </w:rPr>
          <w:instrText xml:space="preserve"> PAGEREF _Toc128133868 \h </w:instrText>
        </w:r>
        <w:r w:rsidR="00CE1739">
          <w:rPr>
            <w:noProof/>
            <w:webHidden/>
          </w:rPr>
        </w:r>
        <w:r w:rsidR="00CE1739">
          <w:rPr>
            <w:noProof/>
            <w:webHidden/>
          </w:rPr>
          <w:fldChar w:fldCharType="separate"/>
        </w:r>
        <w:r w:rsidR="00AC79E0">
          <w:rPr>
            <w:noProof/>
            <w:webHidden/>
          </w:rPr>
          <w:t>105</w:t>
        </w:r>
        <w:r w:rsidR="00CE1739">
          <w:rPr>
            <w:noProof/>
            <w:webHidden/>
          </w:rPr>
          <w:fldChar w:fldCharType="end"/>
        </w:r>
      </w:hyperlink>
    </w:p>
    <w:p w14:paraId="2B8D7905" w14:textId="265CC41E" w:rsidR="00CE1739" w:rsidRDefault="009C6DE5">
      <w:pPr>
        <w:pStyle w:val="TOC2"/>
        <w:tabs>
          <w:tab w:val="left" w:pos="1100"/>
          <w:tab w:val="right" w:leader="dot" w:pos="9016"/>
        </w:tabs>
        <w:rPr>
          <w:rFonts w:cstheme="minorBidi"/>
          <w:noProof/>
          <w:sz w:val="22"/>
          <w:szCs w:val="22"/>
        </w:rPr>
      </w:pPr>
      <w:hyperlink w:anchor="_Toc128133869" w:history="1">
        <w:r w:rsidR="00CE1739" w:rsidRPr="001C00A6">
          <w:rPr>
            <w:rStyle w:val="Hyperlink"/>
            <w:noProof/>
          </w:rPr>
          <w:t>15.4</w:t>
        </w:r>
        <w:r w:rsidR="00CE1739">
          <w:rPr>
            <w:rFonts w:cstheme="minorBidi"/>
            <w:noProof/>
            <w:sz w:val="22"/>
            <w:szCs w:val="22"/>
          </w:rPr>
          <w:tab/>
        </w:r>
        <w:r w:rsidR="00CE1739" w:rsidRPr="001C00A6">
          <w:rPr>
            <w:rStyle w:val="Hyperlink"/>
            <w:noProof/>
          </w:rPr>
          <w:t>Recommendation</w:t>
        </w:r>
        <w:r w:rsidR="00CE1739">
          <w:rPr>
            <w:noProof/>
            <w:webHidden/>
          </w:rPr>
          <w:tab/>
        </w:r>
        <w:r w:rsidR="00CE1739">
          <w:rPr>
            <w:noProof/>
            <w:webHidden/>
          </w:rPr>
          <w:fldChar w:fldCharType="begin"/>
        </w:r>
        <w:r w:rsidR="00CE1739">
          <w:rPr>
            <w:noProof/>
            <w:webHidden/>
          </w:rPr>
          <w:instrText xml:space="preserve"> PAGEREF _Toc128133869 \h </w:instrText>
        </w:r>
        <w:r w:rsidR="00CE1739">
          <w:rPr>
            <w:noProof/>
            <w:webHidden/>
          </w:rPr>
        </w:r>
        <w:r w:rsidR="00CE1739">
          <w:rPr>
            <w:noProof/>
            <w:webHidden/>
          </w:rPr>
          <w:fldChar w:fldCharType="separate"/>
        </w:r>
        <w:r w:rsidR="00AC79E0">
          <w:rPr>
            <w:noProof/>
            <w:webHidden/>
          </w:rPr>
          <w:t>107</w:t>
        </w:r>
        <w:r w:rsidR="00CE1739">
          <w:rPr>
            <w:noProof/>
            <w:webHidden/>
          </w:rPr>
          <w:fldChar w:fldCharType="end"/>
        </w:r>
      </w:hyperlink>
    </w:p>
    <w:p w14:paraId="6D688DC1" w14:textId="561F393C" w:rsidR="00CE1739" w:rsidRDefault="009C6DE5">
      <w:pPr>
        <w:pStyle w:val="TOC1"/>
        <w:tabs>
          <w:tab w:val="left" w:pos="660"/>
          <w:tab w:val="right" w:leader="dot" w:pos="9016"/>
        </w:tabs>
        <w:rPr>
          <w:rFonts w:cstheme="minorBidi"/>
          <w:b w:val="0"/>
          <w:noProof/>
          <w:sz w:val="22"/>
          <w:szCs w:val="22"/>
        </w:rPr>
      </w:pPr>
      <w:hyperlink w:anchor="_Toc128133870" w:history="1">
        <w:r w:rsidR="00CE1739" w:rsidRPr="001C00A6">
          <w:rPr>
            <w:rStyle w:val="Hyperlink"/>
            <w:noProof/>
          </w:rPr>
          <w:t>16</w:t>
        </w:r>
        <w:r w:rsidR="00CE1739">
          <w:rPr>
            <w:rFonts w:cstheme="minorBidi"/>
            <w:b w:val="0"/>
            <w:noProof/>
            <w:sz w:val="22"/>
            <w:szCs w:val="22"/>
          </w:rPr>
          <w:tab/>
        </w:r>
        <w:r w:rsidR="00CE1739" w:rsidRPr="001C00A6">
          <w:rPr>
            <w:rStyle w:val="Hyperlink"/>
            <w:noProof/>
          </w:rPr>
          <w:t>OBH Segmentation</w:t>
        </w:r>
        <w:r w:rsidR="00CE1739">
          <w:rPr>
            <w:noProof/>
            <w:webHidden/>
          </w:rPr>
          <w:tab/>
        </w:r>
        <w:r w:rsidR="00CE1739">
          <w:rPr>
            <w:noProof/>
            <w:webHidden/>
          </w:rPr>
          <w:fldChar w:fldCharType="begin"/>
        </w:r>
        <w:r w:rsidR="00CE1739">
          <w:rPr>
            <w:noProof/>
            <w:webHidden/>
          </w:rPr>
          <w:instrText xml:space="preserve"> PAGEREF _Toc128133870 \h </w:instrText>
        </w:r>
        <w:r w:rsidR="00CE1739">
          <w:rPr>
            <w:noProof/>
            <w:webHidden/>
          </w:rPr>
        </w:r>
        <w:r w:rsidR="00CE1739">
          <w:rPr>
            <w:noProof/>
            <w:webHidden/>
          </w:rPr>
          <w:fldChar w:fldCharType="separate"/>
        </w:r>
        <w:r w:rsidR="00AC79E0">
          <w:rPr>
            <w:noProof/>
            <w:webHidden/>
          </w:rPr>
          <w:t>107</w:t>
        </w:r>
        <w:r w:rsidR="00CE1739">
          <w:rPr>
            <w:noProof/>
            <w:webHidden/>
          </w:rPr>
          <w:fldChar w:fldCharType="end"/>
        </w:r>
      </w:hyperlink>
    </w:p>
    <w:p w14:paraId="5F131641" w14:textId="640CCA13" w:rsidR="00CE1739" w:rsidRDefault="009C6DE5">
      <w:pPr>
        <w:pStyle w:val="TOC1"/>
        <w:tabs>
          <w:tab w:val="left" w:pos="660"/>
          <w:tab w:val="right" w:leader="dot" w:pos="9016"/>
        </w:tabs>
        <w:rPr>
          <w:rFonts w:cstheme="minorBidi"/>
          <w:b w:val="0"/>
          <w:noProof/>
          <w:sz w:val="22"/>
          <w:szCs w:val="22"/>
        </w:rPr>
      </w:pPr>
      <w:hyperlink w:anchor="_Toc128133871" w:history="1">
        <w:r w:rsidR="00CE1739" w:rsidRPr="001C00A6">
          <w:rPr>
            <w:rStyle w:val="Hyperlink"/>
            <w:noProof/>
          </w:rPr>
          <w:t>17</w:t>
        </w:r>
        <w:r w:rsidR="00CE1739">
          <w:rPr>
            <w:rFonts w:cstheme="minorBidi"/>
            <w:b w:val="0"/>
            <w:noProof/>
            <w:sz w:val="22"/>
            <w:szCs w:val="22"/>
          </w:rPr>
          <w:tab/>
        </w:r>
        <w:r w:rsidR="00CE1739" w:rsidRPr="001C00A6">
          <w:rPr>
            <w:rStyle w:val="Hyperlink"/>
            <w:noProof/>
          </w:rPr>
          <w:t>Modelling population health needs in the West Kent Health and Care system</w:t>
        </w:r>
        <w:r w:rsidR="00CE1739">
          <w:rPr>
            <w:noProof/>
            <w:webHidden/>
          </w:rPr>
          <w:tab/>
        </w:r>
        <w:r w:rsidR="00CE1739">
          <w:rPr>
            <w:noProof/>
            <w:webHidden/>
          </w:rPr>
          <w:fldChar w:fldCharType="begin"/>
        </w:r>
        <w:r w:rsidR="00CE1739">
          <w:rPr>
            <w:noProof/>
            <w:webHidden/>
          </w:rPr>
          <w:instrText xml:space="preserve"> PAGEREF _Toc128133871 \h </w:instrText>
        </w:r>
        <w:r w:rsidR="00CE1739">
          <w:rPr>
            <w:noProof/>
            <w:webHidden/>
          </w:rPr>
        </w:r>
        <w:r w:rsidR="00CE1739">
          <w:rPr>
            <w:noProof/>
            <w:webHidden/>
          </w:rPr>
          <w:fldChar w:fldCharType="separate"/>
        </w:r>
        <w:r w:rsidR="00AC79E0">
          <w:rPr>
            <w:noProof/>
            <w:webHidden/>
          </w:rPr>
          <w:t>112</w:t>
        </w:r>
        <w:r w:rsidR="00CE1739">
          <w:rPr>
            <w:noProof/>
            <w:webHidden/>
          </w:rPr>
          <w:fldChar w:fldCharType="end"/>
        </w:r>
      </w:hyperlink>
    </w:p>
    <w:p w14:paraId="7A49A03D" w14:textId="79980D24" w:rsidR="00CE1739" w:rsidRDefault="009C6DE5">
      <w:pPr>
        <w:pStyle w:val="TOC2"/>
        <w:tabs>
          <w:tab w:val="left" w:pos="1100"/>
          <w:tab w:val="right" w:leader="dot" w:pos="9016"/>
        </w:tabs>
        <w:rPr>
          <w:rFonts w:cstheme="minorBidi"/>
          <w:noProof/>
          <w:sz w:val="22"/>
          <w:szCs w:val="22"/>
        </w:rPr>
      </w:pPr>
      <w:hyperlink w:anchor="_Toc128133872" w:history="1">
        <w:r w:rsidR="00CE1739" w:rsidRPr="001C00A6">
          <w:rPr>
            <w:rStyle w:val="Hyperlink"/>
            <w:noProof/>
          </w:rPr>
          <w:t>17.1</w:t>
        </w:r>
        <w:r w:rsidR="00CE1739">
          <w:rPr>
            <w:rFonts w:cstheme="minorBidi"/>
            <w:noProof/>
            <w:sz w:val="22"/>
            <w:szCs w:val="22"/>
          </w:rPr>
          <w:tab/>
        </w:r>
        <w:r w:rsidR="00CE1739" w:rsidRPr="001C00A6">
          <w:rPr>
            <w:rStyle w:val="Hyperlink"/>
            <w:noProof/>
          </w:rPr>
          <w:t>A System Dynamics contribution to understanding future population health needs.</w:t>
        </w:r>
        <w:r w:rsidR="00CE1739">
          <w:rPr>
            <w:noProof/>
            <w:webHidden/>
          </w:rPr>
          <w:tab/>
        </w:r>
        <w:r w:rsidR="00CE1739">
          <w:rPr>
            <w:noProof/>
            <w:webHidden/>
          </w:rPr>
          <w:fldChar w:fldCharType="begin"/>
        </w:r>
        <w:r w:rsidR="00CE1739">
          <w:rPr>
            <w:noProof/>
            <w:webHidden/>
          </w:rPr>
          <w:instrText xml:space="preserve"> PAGEREF _Toc128133872 \h </w:instrText>
        </w:r>
        <w:r w:rsidR="00CE1739">
          <w:rPr>
            <w:noProof/>
            <w:webHidden/>
          </w:rPr>
        </w:r>
        <w:r w:rsidR="00CE1739">
          <w:rPr>
            <w:noProof/>
            <w:webHidden/>
          </w:rPr>
          <w:fldChar w:fldCharType="separate"/>
        </w:r>
        <w:r w:rsidR="00AC79E0">
          <w:rPr>
            <w:noProof/>
            <w:webHidden/>
          </w:rPr>
          <w:t>112</w:t>
        </w:r>
        <w:r w:rsidR="00CE1739">
          <w:rPr>
            <w:noProof/>
            <w:webHidden/>
          </w:rPr>
          <w:fldChar w:fldCharType="end"/>
        </w:r>
      </w:hyperlink>
    </w:p>
    <w:p w14:paraId="75954230" w14:textId="1704D5D2" w:rsidR="00CE1739" w:rsidRDefault="009C6DE5">
      <w:pPr>
        <w:pStyle w:val="TOC2"/>
        <w:tabs>
          <w:tab w:val="left" w:pos="1100"/>
          <w:tab w:val="right" w:leader="dot" w:pos="9016"/>
        </w:tabs>
        <w:rPr>
          <w:rFonts w:cstheme="minorBidi"/>
          <w:noProof/>
          <w:sz w:val="22"/>
          <w:szCs w:val="22"/>
        </w:rPr>
      </w:pPr>
      <w:hyperlink w:anchor="_Toc128133873" w:history="1">
        <w:r w:rsidR="00CE1739" w:rsidRPr="001C00A6">
          <w:rPr>
            <w:rStyle w:val="Hyperlink"/>
            <w:rFonts w:cstheme="minorHAnsi"/>
            <w:noProof/>
          </w:rPr>
          <w:t>17.2</w:t>
        </w:r>
        <w:r w:rsidR="00CE1739">
          <w:rPr>
            <w:rFonts w:cstheme="minorBidi"/>
            <w:noProof/>
            <w:sz w:val="22"/>
            <w:szCs w:val="22"/>
          </w:rPr>
          <w:tab/>
        </w:r>
        <w:r w:rsidR="00CE1739" w:rsidRPr="001C00A6">
          <w:rPr>
            <w:rStyle w:val="Hyperlink"/>
            <w:noProof/>
          </w:rPr>
          <w:t>Factors contributing to changing health needs in West Kent</w:t>
        </w:r>
        <w:r w:rsidR="00CE1739">
          <w:rPr>
            <w:noProof/>
            <w:webHidden/>
          </w:rPr>
          <w:tab/>
        </w:r>
        <w:r w:rsidR="00CE1739">
          <w:rPr>
            <w:noProof/>
            <w:webHidden/>
          </w:rPr>
          <w:fldChar w:fldCharType="begin"/>
        </w:r>
        <w:r w:rsidR="00CE1739">
          <w:rPr>
            <w:noProof/>
            <w:webHidden/>
          </w:rPr>
          <w:instrText xml:space="preserve"> PAGEREF _Toc128133873 \h </w:instrText>
        </w:r>
        <w:r w:rsidR="00CE1739">
          <w:rPr>
            <w:noProof/>
            <w:webHidden/>
          </w:rPr>
        </w:r>
        <w:r w:rsidR="00CE1739">
          <w:rPr>
            <w:noProof/>
            <w:webHidden/>
          </w:rPr>
          <w:fldChar w:fldCharType="separate"/>
        </w:r>
        <w:r w:rsidR="00AC79E0">
          <w:rPr>
            <w:noProof/>
            <w:webHidden/>
          </w:rPr>
          <w:t>114</w:t>
        </w:r>
        <w:r w:rsidR="00CE1739">
          <w:rPr>
            <w:noProof/>
            <w:webHidden/>
          </w:rPr>
          <w:fldChar w:fldCharType="end"/>
        </w:r>
      </w:hyperlink>
    </w:p>
    <w:p w14:paraId="7A19195B" w14:textId="1BBD3DAC" w:rsidR="00CE1739" w:rsidRDefault="009C6DE5">
      <w:pPr>
        <w:pStyle w:val="TOC2"/>
        <w:tabs>
          <w:tab w:val="left" w:pos="1100"/>
          <w:tab w:val="right" w:leader="dot" w:pos="9016"/>
        </w:tabs>
        <w:rPr>
          <w:rFonts w:cstheme="minorBidi"/>
          <w:noProof/>
          <w:sz w:val="22"/>
          <w:szCs w:val="22"/>
        </w:rPr>
      </w:pPr>
      <w:hyperlink w:anchor="_Toc128133874" w:history="1">
        <w:r w:rsidR="00CE1739" w:rsidRPr="001C00A6">
          <w:rPr>
            <w:rStyle w:val="Hyperlink"/>
            <w:noProof/>
          </w:rPr>
          <w:t>17.3</w:t>
        </w:r>
        <w:r w:rsidR="00CE1739">
          <w:rPr>
            <w:rFonts w:cstheme="minorBidi"/>
            <w:noProof/>
            <w:sz w:val="22"/>
            <w:szCs w:val="22"/>
          </w:rPr>
          <w:tab/>
        </w:r>
        <w:r w:rsidR="00CE1739" w:rsidRPr="001C00A6">
          <w:rPr>
            <w:rStyle w:val="Hyperlink"/>
            <w:noProof/>
          </w:rPr>
          <w:t>Additional impacts from enhanced Public Health intervention(s) Scenarios</w:t>
        </w:r>
        <w:r w:rsidR="00CE1739">
          <w:rPr>
            <w:noProof/>
            <w:webHidden/>
          </w:rPr>
          <w:tab/>
        </w:r>
        <w:r w:rsidR="00CE1739">
          <w:rPr>
            <w:noProof/>
            <w:webHidden/>
          </w:rPr>
          <w:fldChar w:fldCharType="begin"/>
        </w:r>
        <w:r w:rsidR="00CE1739">
          <w:rPr>
            <w:noProof/>
            <w:webHidden/>
          </w:rPr>
          <w:instrText xml:space="preserve"> PAGEREF _Toc128133874 \h </w:instrText>
        </w:r>
        <w:r w:rsidR="00CE1739">
          <w:rPr>
            <w:noProof/>
            <w:webHidden/>
          </w:rPr>
        </w:r>
        <w:r w:rsidR="00CE1739">
          <w:rPr>
            <w:noProof/>
            <w:webHidden/>
          </w:rPr>
          <w:fldChar w:fldCharType="separate"/>
        </w:r>
        <w:r w:rsidR="00AC79E0">
          <w:rPr>
            <w:noProof/>
            <w:webHidden/>
          </w:rPr>
          <w:t>116</w:t>
        </w:r>
        <w:r w:rsidR="00CE1739">
          <w:rPr>
            <w:noProof/>
            <w:webHidden/>
          </w:rPr>
          <w:fldChar w:fldCharType="end"/>
        </w:r>
      </w:hyperlink>
    </w:p>
    <w:p w14:paraId="2FEEA3E2" w14:textId="333A7570" w:rsidR="00CE1739" w:rsidRDefault="009C6DE5">
      <w:pPr>
        <w:pStyle w:val="TOC2"/>
        <w:tabs>
          <w:tab w:val="left" w:pos="1100"/>
          <w:tab w:val="right" w:leader="dot" w:pos="9016"/>
        </w:tabs>
        <w:rPr>
          <w:rFonts w:cstheme="minorBidi"/>
          <w:noProof/>
          <w:sz w:val="22"/>
          <w:szCs w:val="22"/>
        </w:rPr>
      </w:pPr>
      <w:hyperlink w:anchor="_Toc128133875" w:history="1">
        <w:r w:rsidR="00CE1739" w:rsidRPr="001C00A6">
          <w:rPr>
            <w:rStyle w:val="Hyperlink"/>
            <w:noProof/>
          </w:rPr>
          <w:t>17.4</w:t>
        </w:r>
        <w:r w:rsidR="00CE1739">
          <w:rPr>
            <w:rFonts w:cstheme="minorBidi"/>
            <w:noProof/>
            <w:sz w:val="22"/>
            <w:szCs w:val="22"/>
          </w:rPr>
          <w:tab/>
        </w:r>
        <w:r w:rsidR="00CE1739" w:rsidRPr="001C00A6">
          <w:rPr>
            <w:rStyle w:val="Hyperlink"/>
            <w:noProof/>
          </w:rPr>
          <w:t>Impact upon cohort outcomes</w:t>
        </w:r>
        <w:r w:rsidR="00CE1739">
          <w:rPr>
            <w:noProof/>
            <w:webHidden/>
          </w:rPr>
          <w:tab/>
        </w:r>
        <w:r w:rsidR="00CE1739">
          <w:rPr>
            <w:noProof/>
            <w:webHidden/>
          </w:rPr>
          <w:fldChar w:fldCharType="begin"/>
        </w:r>
        <w:r w:rsidR="00CE1739">
          <w:rPr>
            <w:noProof/>
            <w:webHidden/>
          </w:rPr>
          <w:instrText xml:space="preserve"> PAGEREF _Toc128133875 \h </w:instrText>
        </w:r>
        <w:r w:rsidR="00CE1739">
          <w:rPr>
            <w:noProof/>
            <w:webHidden/>
          </w:rPr>
        </w:r>
        <w:r w:rsidR="00CE1739">
          <w:rPr>
            <w:noProof/>
            <w:webHidden/>
          </w:rPr>
          <w:fldChar w:fldCharType="separate"/>
        </w:r>
        <w:r w:rsidR="00AC79E0">
          <w:rPr>
            <w:noProof/>
            <w:webHidden/>
          </w:rPr>
          <w:t>116</w:t>
        </w:r>
        <w:r w:rsidR="00CE1739">
          <w:rPr>
            <w:noProof/>
            <w:webHidden/>
          </w:rPr>
          <w:fldChar w:fldCharType="end"/>
        </w:r>
      </w:hyperlink>
    </w:p>
    <w:p w14:paraId="7111D743" w14:textId="07F29B50" w:rsidR="00CE1739" w:rsidRDefault="009C6DE5">
      <w:pPr>
        <w:pStyle w:val="TOC2"/>
        <w:tabs>
          <w:tab w:val="left" w:pos="1100"/>
          <w:tab w:val="right" w:leader="dot" w:pos="9016"/>
        </w:tabs>
        <w:rPr>
          <w:rFonts w:cstheme="minorBidi"/>
          <w:noProof/>
          <w:sz w:val="22"/>
          <w:szCs w:val="22"/>
        </w:rPr>
      </w:pPr>
      <w:hyperlink w:anchor="_Toc128133876" w:history="1">
        <w:r w:rsidR="00CE1739" w:rsidRPr="001C00A6">
          <w:rPr>
            <w:rStyle w:val="Hyperlink"/>
            <w:noProof/>
          </w:rPr>
          <w:t>17.5</w:t>
        </w:r>
        <w:r w:rsidR="00CE1739">
          <w:rPr>
            <w:rFonts w:cstheme="minorBidi"/>
            <w:noProof/>
            <w:sz w:val="22"/>
            <w:szCs w:val="22"/>
          </w:rPr>
          <w:tab/>
        </w:r>
        <w:r w:rsidR="00CE1739" w:rsidRPr="001C00A6">
          <w:rPr>
            <w:rStyle w:val="Hyperlink"/>
            <w:noProof/>
          </w:rPr>
          <w:t>Impact upon prevalence</w:t>
        </w:r>
        <w:r w:rsidR="00CE1739">
          <w:rPr>
            <w:noProof/>
            <w:webHidden/>
          </w:rPr>
          <w:tab/>
        </w:r>
        <w:r w:rsidR="00CE1739">
          <w:rPr>
            <w:noProof/>
            <w:webHidden/>
          </w:rPr>
          <w:fldChar w:fldCharType="begin"/>
        </w:r>
        <w:r w:rsidR="00CE1739">
          <w:rPr>
            <w:noProof/>
            <w:webHidden/>
          </w:rPr>
          <w:instrText xml:space="preserve"> PAGEREF _Toc128133876 \h </w:instrText>
        </w:r>
        <w:r w:rsidR="00CE1739">
          <w:rPr>
            <w:noProof/>
            <w:webHidden/>
          </w:rPr>
        </w:r>
        <w:r w:rsidR="00CE1739">
          <w:rPr>
            <w:noProof/>
            <w:webHidden/>
          </w:rPr>
          <w:fldChar w:fldCharType="separate"/>
        </w:r>
        <w:r w:rsidR="00AC79E0">
          <w:rPr>
            <w:noProof/>
            <w:webHidden/>
          </w:rPr>
          <w:t>116</w:t>
        </w:r>
        <w:r w:rsidR="00CE1739">
          <w:rPr>
            <w:noProof/>
            <w:webHidden/>
          </w:rPr>
          <w:fldChar w:fldCharType="end"/>
        </w:r>
      </w:hyperlink>
    </w:p>
    <w:p w14:paraId="547C0E17" w14:textId="1C2CC26B" w:rsidR="00CE1739" w:rsidRDefault="009C6DE5">
      <w:pPr>
        <w:pStyle w:val="TOC2"/>
        <w:tabs>
          <w:tab w:val="left" w:pos="1100"/>
          <w:tab w:val="right" w:leader="dot" w:pos="9016"/>
        </w:tabs>
        <w:rPr>
          <w:rFonts w:cstheme="minorBidi"/>
          <w:noProof/>
          <w:sz w:val="22"/>
          <w:szCs w:val="22"/>
        </w:rPr>
      </w:pPr>
      <w:hyperlink w:anchor="_Toc128133877" w:history="1">
        <w:r w:rsidR="00CE1739" w:rsidRPr="001C00A6">
          <w:rPr>
            <w:rStyle w:val="Hyperlink"/>
            <w:noProof/>
          </w:rPr>
          <w:t>17.6</w:t>
        </w:r>
        <w:r w:rsidR="00CE1739">
          <w:rPr>
            <w:rFonts w:cstheme="minorBidi"/>
            <w:noProof/>
            <w:sz w:val="22"/>
            <w:szCs w:val="22"/>
          </w:rPr>
          <w:tab/>
        </w:r>
        <w:r w:rsidR="00CE1739" w:rsidRPr="001C00A6">
          <w:rPr>
            <w:rStyle w:val="Hyperlink"/>
            <w:noProof/>
          </w:rPr>
          <w:t>Impacts upon incidence.</w:t>
        </w:r>
        <w:r w:rsidR="00CE1739">
          <w:rPr>
            <w:noProof/>
            <w:webHidden/>
          </w:rPr>
          <w:tab/>
        </w:r>
        <w:r w:rsidR="00CE1739">
          <w:rPr>
            <w:noProof/>
            <w:webHidden/>
          </w:rPr>
          <w:fldChar w:fldCharType="begin"/>
        </w:r>
        <w:r w:rsidR="00CE1739">
          <w:rPr>
            <w:noProof/>
            <w:webHidden/>
          </w:rPr>
          <w:instrText xml:space="preserve"> PAGEREF _Toc128133877 \h </w:instrText>
        </w:r>
        <w:r w:rsidR="00CE1739">
          <w:rPr>
            <w:noProof/>
            <w:webHidden/>
          </w:rPr>
        </w:r>
        <w:r w:rsidR="00CE1739">
          <w:rPr>
            <w:noProof/>
            <w:webHidden/>
          </w:rPr>
          <w:fldChar w:fldCharType="separate"/>
        </w:r>
        <w:r w:rsidR="00AC79E0">
          <w:rPr>
            <w:noProof/>
            <w:webHidden/>
          </w:rPr>
          <w:t>119</w:t>
        </w:r>
        <w:r w:rsidR="00CE1739">
          <w:rPr>
            <w:noProof/>
            <w:webHidden/>
          </w:rPr>
          <w:fldChar w:fldCharType="end"/>
        </w:r>
      </w:hyperlink>
    </w:p>
    <w:p w14:paraId="36355FCC" w14:textId="24A50568" w:rsidR="00CE1739" w:rsidRDefault="009C6DE5">
      <w:pPr>
        <w:pStyle w:val="TOC3"/>
        <w:tabs>
          <w:tab w:val="left" w:pos="1320"/>
          <w:tab w:val="right" w:leader="dot" w:pos="9016"/>
        </w:tabs>
        <w:rPr>
          <w:noProof/>
          <w:lang w:val="en-GB" w:eastAsia="en-GB"/>
        </w:rPr>
      </w:pPr>
      <w:hyperlink w:anchor="_Toc128133878" w:history="1">
        <w:r w:rsidR="00CE1739" w:rsidRPr="001C00A6">
          <w:rPr>
            <w:rStyle w:val="Hyperlink"/>
            <w:noProof/>
          </w:rPr>
          <w:t>17.6.1</w:t>
        </w:r>
        <w:r w:rsidR="00CE1739">
          <w:rPr>
            <w:noProof/>
            <w:lang w:val="en-GB" w:eastAsia="en-GB"/>
          </w:rPr>
          <w:tab/>
        </w:r>
        <w:r w:rsidR="00CE1739" w:rsidRPr="001C00A6">
          <w:rPr>
            <w:rStyle w:val="Hyperlink"/>
            <w:noProof/>
          </w:rPr>
          <w:t>The short to medium term impacts of Covid upon the health of the population</w:t>
        </w:r>
        <w:r w:rsidR="00CE1739">
          <w:rPr>
            <w:noProof/>
            <w:webHidden/>
          </w:rPr>
          <w:tab/>
        </w:r>
        <w:r w:rsidR="00CE1739">
          <w:rPr>
            <w:noProof/>
            <w:webHidden/>
          </w:rPr>
          <w:fldChar w:fldCharType="begin"/>
        </w:r>
        <w:r w:rsidR="00CE1739">
          <w:rPr>
            <w:noProof/>
            <w:webHidden/>
          </w:rPr>
          <w:instrText xml:space="preserve"> PAGEREF _Toc128133878 \h </w:instrText>
        </w:r>
        <w:r w:rsidR="00CE1739">
          <w:rPr>
            <w:noProof/>
            <w:webHidden/>
          </w:rPr>
        </w:r>
        <w:r w:rsidR="00CE1739">
          <w:rPr>
            <w:noProof/>
            <w:webHidden/>
          </w:rPr>
          <w:fldChar w:fldCharType="separate"/>
        </w:r>
        <w:r w:rsidR="00AC79E0">
          <w:rPr>
            <w:noProof/>
            <w:webHidden/>
          </w:rPr>
          <w:t>122</w:t>
        </w:r>
        <w:r w:rsidR="00CE1739">
          <w:rPr>
            <w:noProof/>
            <w:webHidden/>
          </w:rPr>
          <w:fldChar w:fldCharType="end"/>
        </w:r>
      </w:hyperlink>
    </w:p>
    <w:p w14:paraId="38A8EDFA" w14:textId="00B97682" w:rsidR="00CE1739" w:rsidRDefault="009C6DE5">
      <w:pPr>
        <w:pStyle w:val="TOC3"/>
        <w:tabs>
          <w:tab w:val="left" w:pos="1320"/>
          <w:tab w:val="right" w:leader="dot" w:pos="9016"/>
        </w:tabs>
        <w:rPr>
          <w:noProof/>
          <w:lang w:val="en-GB" w:eastAsia="en-GB"/>
        </w:rPr>
      </w:pPr>
      <w:hyperlink w:anchor="_Toc128133879" w:history="1">
        <w:r w:rsidR="00CE1739" w:rsidRPr="001C00A6">
          <w:rPr>
            <w:rStyle w:val="Hyperlink"/>
            <w:noProof/>
          </w:rPr>
          <w:t>17.6.2</w:t>
        </w:r>
        <w:r w:rsidR="00CE1739">
          <w:rPr>
            <w:noProof/>
            <w:lang w:val="en-GB" w:eastAsia="en-GB"/>
          </w:rPr>
          <w:tab/>
        </w:r>
        <w:r w:rsidR="00CE1739" w:rsidRPr="001C00A6">
          <w:rPr>
            <w:rStyle w:val="Hyperlink"/>
            <w:noProof/>
          </w:rPr>
          <w:t>CHD and stroke</w:t>
        </w:r>
        <w:r w:rsidR="00CE1739">
          <w:rPr>
            <w:noProof/>
            <w:webHidden/>
          </w:rPr>
          <w:tab/>
        </w:r>
        <w:r w:rsidR="00CE1739">
          <w:rPr>
            <w:noProof/>
            <w:webHidden/>
          </w:rPr>
          <w:fldChar w:fldCharType="begin"/>
        </w:r>
        <w:r w:rsidR="00CE1739">
          <w:rPr>
            <w:noProof/>
            <w:webHidden/>
          </w:rPr>
          <w:instrText xml:space="preserve"> PAGEREF _Toc128133879 \h </w:instrText>
        </w:r>
        <w:r w:rsidR="00CE1739">
          <w:rPr>
            <w:noProof/>
            <w:webHidden/>
          </w:rPr>
        </w:r>
        <w:r w:rsidR="00CE1739">
          <w:rPr>
            <w:noProof/>
            <w:webHidden/>
          </w:rPr>
          <w:fldChar w:fldCharType="separate"/>
        </w:r>
        <w:r w:rsidR="00AC79E0">
          <w:rPr>
            <w:noProof/>
            <w:webHidden/>
          </w:rPr>
          <w:t>123</w:t>
        </w:r>
        <w:r w:rsidR="00CE1739">
          <w:rPr>
            <w:noProof/>
            <w:webHidden/>
          </w:rPr>
          <w:fldChar w:fldCharType="end"/>
        </w:r>
      </w:hyperlink>
    </w:p>
    <w:p w14:paraId="43BE53A1" w14:textId="455F5BF1" w:rsidR="00CE1739" w:rsidRDefault="009C6DE5">
      <w:pPr>
        <w:pStyle w:val="TOC3"/>
        <w:tabs>
          <w:tab w:val="left" w:pos="1320"/>
          <w:tab w:val="right" w:leader="dot" w:pos="9016"/>
        </w:tabs>
        <w:rPr>
          <w:noProof/>
          <w:lang w:val="en-GB" w:eastAsia="en-GB"/>
        </w:rPr>
      </w:pPr>
      <w:hyperlink w:anchor="_Toc128133880" w:history="1">
        <w:r w:rsidR="00CE1739" w:rsidRPr="001C00A6">
          <w:rPr>
            <w:rStyle w:val="Hyperlink"/>
            <w:noProof/>
          </w:rPr>
          <w:t>17.6.3</w:t>
        </w:r>
        <w:r w:rsidR="00CE1739">
          <w:rPr>
            <w:noProof/>
            <w:lang w:val="en-GB" w:eastAsia="en-GB"/>
          </w:rPr>
          <w:tab/>
        </w:r>
        <w:r w:rsidR="00CE1739" w:rsidRPr="001C00A6">
          <w:rPr>
            <w:rStyle w:val="Hyperlink"/>
            <w:noProof/>
          </w:rPr>
          <w:t>Stroke</w:t>
        </w:r>
        <w:r w:rsidR="00CE1739">
          <w:rPr>
            <w:noProof/>
            <w:webHidden/>
          </w:rPr>
          <w:tab/>
        </w:r>
        <w:r w:rsidR="00CE1739">
          <w:rPr>
            <w:noProof/>
            <w:webHidden/>
          </w:rPr>
          <w:fldChar w:fldCharType="begin"/>
        </w:r>
        <w:r w:rsidR="00CE1739">
          <w:rPr>
            <w:noProof/>
            <w:webHidden/>
          </w:rPr>
          <w:instrText xml:space="preserve"> PAGEREF _Toc128133880 \h </w:instrText>
        </w:r>
        <w:r w:rsidR="00CE1739">
          <w:rPr>
            <w:noProof/>
            <w:webHidden/>
          </w:rPr>
        </w:r>
        <w:r w:rsidR="00CE1739">
          <w:rPr>
            <w:noProof/>
            <w:webHidden/>
          </w:rPr>
          <w:fldChar w:fldCharType="separate"/>
        </w:r>
        <w:r w:rsidR="00AC79E0">
          <w:rPr>
            <w:noProof/>
            <w:webHidden/>
          </w:rPr>
          <w:t>123</w:t>
        </w:r>
        <w:r w:rsidR="00CE1739">
          <w:rPr>
            <w:noProof/>
            <w:webHidden/>
          </w:rPr>
          <w:fldChar w:fldCharType="end"/>
        </w:r>
      </w:hyperlink>
    </w:p>
    <w:p w14:paraId="779B3016" w14:textId="03E4D8C5" w:rsidR="00CE1739" w:rsidRDefault="009C6DE5">
      <w:pPr>
        <w:pStyle w:val="TOC3"/>
        <w:tabs>
          <w:tab w:val="left" w:pos="1320"/>
          <w:tab w:val="right" w:leader="dot" w:pos="9016"/>
        </w:tabs>
        <w:rPr>
          <w:noProof/>
          <w:lang w:val="en-GB" w:eastAsia="en-GB"/>
        </w:rPr>
      </w:pPr>
      <w:hyperlink w:anchor="_Toc128133881" w:history="1">
        <w:r w:rsidR="00CE1739" w:rsidRPr="001C00A6">
          <w:rPr>
            <w:rStyle w:val="Hyperlink"/>
            <w:noProof/>
          </w:rPr>
          <w:t>17.6.4</w:t>
        </w:r>
        <w:r w:rsidR="00CE1739">
          <w:rPr>
            <w:noProof/>
            <w:lang w:val="en-GB" w:eastAsia="en-GB"/>
          </w:rPr>
          <w:tab/>
        </w:r>
        <w:r w:rsidR="00CE1739" w:rsidRPr="001C00A6">
          <w:rPr>
            <w:rStyle w:val="Hyperlink"/>
            <w:noProof/>
          </w:rPr>
          <w:t>Diabetes</w:t>
        </w:r>
        <w:r w:rsidR="00CE1739">
          <w:rPr>
            <w:noProof/>
            <w:webHidden/>
          </w:rPr>
          <w:tab/>
        </w:r>
        <w:r w:rsidR="00CE1739">
          <w:rPr>
            <w:noProof/>
            <w:webHidden/>
          </w:rPr>
          <w:fldChar w:fldCharType="begin"/>
        </w:r>
        <w:r w:rsidR="00CE1739">
          <w:rPr>
            <w:noProof/>
            <w:webHidden/>
          </w:rPr>
          <w:instrText xml:space="preserve"> PAGEREF _Toc128133881 \h </w:instrText>
        </w:r>
        <w:r w:rsidR="00CE1739">
          <w:rPr>
            <w:noProof/>
            <w:webHidden/>
          </w:rPr>
        </w:r>
        <w:r w:rsidR="00CE1739">
          <w:rPr>
            <w:noProof/>
            <w:webHidden/>
          </w:rPr>
          <w:fldChar w:fldCharType="separate"/>
        </w:r>
        <w:r w:rsidR="00AC79E0">
          <w:rPr>
            <w:noProof/>
            <w:webHidden/>
          </w:rPr>
          <w:t>123</w:t>
        </w:r>
        <w:r w:rsidR="00CE1739">
          <w:rPr>
            <w:noProof/>
            <w:webHidden/>
          </w:rPr>
          <w:fldChar w:fldCharType="end"/>
        </w:r>
      </w:hyperlink>
    </w:p>
    <w:p w14:paraId="1790ABB7" w14:textId="69C1307E" w:rsidR="00CE1739" w:rsidRDefault="009C6DE5">
      <w:pPr>
        <w:pStyle w:val="TOC3"/>
        <w:tabs>
          <w:tab w:val="left" w:pos="1320"/>
          <w:tab w:val="right" w:leader="dot" w:pos="9016"/>
        </w:tabs>
        <w:rPr>
          <w:noProof/>
          <w:lang w:val="en-GB" w:eastAsia="en-GB"/>
        </w:rPr>
      </w:pPr>
      <w:hyperlink w:anchor="_Toc128133882" w:history="1">
        <w:r w:rsidR="00CE1739" w:rsidRPr="001C00A6">
          <w:rPr>
            <w:rStyle w:val="Hyperlink"/>
            <w:noProof/>
          </w:rPr>
          <w:t>17.6.5</w:t>
        </w:r>
        <w:r w:rsidR="00CE1739">
          <w:rPr>
            <w:noProof/>
            <w:lang w:val="en-GB" w:eastAsia="en-GB"/>
          </w:rPr>
          <w:tab/>
        </w:r>
        <w:r w:rsidR="00CE1739" w:rsidRPr="001C00A6">
          <w:rPr>
            <w:rStyle w:val="Hyperlink"/>
            <w:noProof/>
          </w:rPr>
          <w:t>Dementia</w:t>
        </w:r>
        <w:r w:rsidR="00CE1739">
          <w:rPr>
            <w:noProof/>
            <w:webHidden/>
          </w:rPr>
          <w:tab/>
        </w:r>
        <w:r w:rsidR="00CE1739">
          <w:rPr>
            <w:noProof/>
            <w:webHidden/>
          </w:rPr>
          <w:fldChar w:fldCharType="begin"/>
        </w:r>
        <w:r w:rsidR="00CE1739">
          <w:rPr>
            <w:noProof/>
            <w:webHidden/>
          </w:rPr>
          <w:instrText xml:space="preserve"> PAGEREF _Toc128133882 \h </w:instrText>
        </w:r>
        <w:r w:rsidR="00CE1739">
          <w:rPr>
            <w:noProof/>
            <w:webHidden/>
          </w:rPr>
        </w:r>
        <w:r w:rsidR="00CE1739">
          <w:rPr>
            <w:noProof/>
            <w:webHidden/>
          </w:rPr>
          <w:fldChar w:fldCharType="separate"/>
        </w:r>
        <w:r w:rsidR="00AC79E0">
          <w:rPr>
            <w:noProof/>
            <w:webHidden/>
          </w:rPr>
          <w:t>124</w:t>
        </w:r>
        <w:r w:rsidR="00CE1739">
          <w:rPr>
            <w:noProof/>
            <w:webHidden/>
          </w:rPr>
          <w:fldChar w:fldCharType="end"/>
        </w:r>
      </w:hyperlink>
    </w:p>
    <w:p w14:paraId="2418385D" w14:textId="25E4E831" w:rsidR="00CE1739" w:rsidRDefault="009C6DE5">
      <w:pPr>
        <w:pStyle w:val="TOC1"/>
        <w:tabs>
          <w:tab w:val="left" w:pos="660"/>
          <w:tab w:val="right" w:leader="dot" w:pos="9016"/>
        </w:tabs>
        <w:rPr>
          <w:rFonts w:cstheme="minorBidi"/>
          <w:b w:val="0"/>
          <w:noProof/>
          <w:sz w:val="22"/>
          <w:szCs w:val="22"/>
        </w:rPr>
      </w:pPr>
      <w:hyperlink w:anchor="_Toc128133883" w:history="1">
        <w:r w:rsidR="00CE1739" w:rsidRPr="001C00A6">
          <w:rPr>
            <w:rStyle w:val="Hyperlink"/>
            <w:noProof/>
          </w:rPr>
          <w:t>18</w:t>
        </w:r>
        <w:r w:rsidR="00CE1739">
          <w:rPr>
            <w:rFonts w:cstheme="minorBidi"/>
            <w:b w:val="0"/>
            <w:noProof/>
            <w:sz w:val="22"/>
            <w:szCs w:val="22"/>
          </w:rPr>
          <w:tab/>
        </w:r>
        <w:r w:rsidR="00CE1739" w:rsidRPr="001C00A6">
          <w:rPr>
            <w:rStyle w:val="Hyperlink"/>
            <w:noProof/>
          </w:rPr>
          <w:t>Stakeholder Voice</w:t>
        </w:r>
        <w:r w:rsidR="00CE1739">
          <w:rPr>
            <w:noProof/>
            <w:webHidden/>
          </w:rPr>
          <w:tab/>
        </w:r>
        <w:r w:rsidR="00CE1739">
          <w:rPr>
            <w:noProof/>
            <w:webHidden/>
          </w:rPr>
          <w:fldChar w:fldCharType="begin"/>
        </w:r>
        <w:r w:rsidR="00CE1739">
          <w:rPr>
            <w:noProof/>
            <w:webHidden/>
          </w:rPr>
          <w:instrText xml:space="preserve"> PAGEREF _Toc128133883 \h </w:instrText>
        </w:r>
        <w:r w:rsidR="00CE1739">
          <w:rPr>
            <w:noProof/>
            <w:webHidden/>
          </w:rPr>
        </w:r>
        <w:r w:rsidR="00CE1739">
          <w:rPr>
            <w:noProof/>
            <w:webHidden/>
          </w:rPr>
          <w:fldChar w:fldCharType="separate"/>
        </w:r>
        <w:r w:rsidR="00AC79E0">
          <w:rPr>
            <w:noProof/>
            <w:webHidden/>
          </w:rPr>
          <w:t>124</w:t>
        </w:r>
        <w:r w:rsidR="00CE1739">
          <w:rPr>
            <w:noProof/>
            <w:webHidden/>
          </w:rPr>
          <w:fldChar w:fldCharType="end"/>
        </w:r>
      </w:hyperlink>
    </w:p>
    <w:p w14:paraId="50371A0E" w14:textId="43935600" w:rsidR="00CE1739" w:rsidRDefault="009C6DE5">
      <w:pPr>
        <w:pStyle w:val="TOC2"/>
        <w:tabs>
          <w:tab w:val="left" w:pos="1100"/>
          <w:tab w:val="right" w:leader="dot" w:pos="9016"/>
        </w:tabs>
        <w:rPr>
          <w:rFonts w:cstheme="minorBidi"/>
          <w:noProof/>
          <w:sz w:val="22"/>
          <w:szCs w:val="22"/>
        </w:rPr>
      </w:pPr>
      <w:hyperlink w:anchor="_Toc128133884" w:history="1">
        <w:r w:rsidR="00CE1739" w:rsidRPr="001C00A6">
          <w:rPr>
            <w:rStyle w:val="Hyperlink"/>
            <w:noProof/>
          </w:rPr>
          <w:t>18.1</w:t>
        </w:r>
        <w:r w:rsidR="00CE1739">
          <w:rPr>
            <w:rFonts w:cstheme="minorBidi"/>
            <w:noProof/>
            <w:sz w:val="22"/>
            <w:szCs w:val="22"/>
          </w:rPr>
          <w:tab/>
        </w:r>
        <w:r w:rsidR="00CE1739" w:rsidRPr="001C00A6">
          <w:rPr>
            <w:rStyle w:val="Hyperlink"/>
            <w:noProof/>
          </w:rPr>
          <w:t>Kent and Medway Listens</w:t>
        </w:r>
        <w:r w:rsidR="00CE1739">
          <w:rPr>
            <w:noProof/>
            <w:webHidden/>
          </w:rPr>
          <w:tab/>
        </w:r>
        <w:r w:rsidR="00CE1739">
          <w:rPr>
            <w:noProof/>
            <w:webHidden/>
          </w:rPr>
          <w:fldChar w:fldCharType="begin"/>
        </w:r>
        <w:r w:rsidR="00CE1739">
          <w:rPr>
            <w:noProof/>
            <w:webHidden/>
          </w:rPr>
          <w:instrText xml:space="preserve"> PAGEREF _Toc128133884 \h </w:instrText>
        </w:r>
        <w:r w:rsidR="00CE1739">
          <w:rPr>
            <w:noProof/>
            <w:webHidden/>
          </w:rPr>
        </w:r>
        <w:r w:rsidR="00CE1739">
          <w:rPr>
            <w:noProof/>
            <w:webHidden/>
          </w:rPr>
          <w:fldChar w:fldCharType="separate"/>
        </w:r>
        <w:r w:rsidR="00AC79E0">
          <w:rPr>
            <w:noProof/>
            <w:webHidden/>
          </w:rPr>
          <w:t>124</w:t>
        </w:r>
        <w:r w:rsidR="00CE1739">
          <w:rPr>
            <w:noProof/>
            <w:webHidden/>
          </w:rPr>
          <w:fldChar w:fldCharType="end"/>
        </w:r>
      </w:hyperlink>
    </w:p>
    <w:p w14:paraId="6CEF75DB" w14:textId="5406FE20" w:rsidR="00CE1739" w:rsidRDefault="009C6DE5">
      <w:pPr>
        <w:pStyle w:val="TOC2"/>
        <w:tabs>
          <w:tab w:val="left" w:pos="1100"/>
          <w:tab w:val="right" w:leader="dot" w:pos="9016"/>
        </w:tabs>
        <w:rPr>
          <w:rFonts w:cstheme="minorBidi"/>
          <w:noProof/>
          <w:sz w:val="22"/>
          <w:szCs w:val="22"/>
        </w:rPr>
      </w:pPr>
      <w:hyperlink w:anchor="_Toc128133885" w:history="1">
        <w:r w:rsidR="00CE1739" w:rsidRPr="001C00A6">
          <w:rPr>
            <w:rStyle w:val="Hyperlink"/>
            <w:noProof/>
          </w:rPr>
          <w:t>18.2</w:t>
        </w:r>
        <w:r w:rsidR="00CE1739">
          <w:rPr>
            <w:rFonts w:cstheme="minorBidi"/>
            <w:noProof/>
            <w:sz w:val="22"/>
            <w:szCs w:val="22"/>
          </w:rPr>
          <w:tab/>
        </w:r>
        <w:r w:rsidR="00CE1739" w:rsidRPr="001C00A6">
          <w:rPr>
            <w:rStyle w:val="Hyperlink"/>
            <w:noProof/>
          </w:rPr>
          <w:t>Community Insights and Asset Mapping Emerging Themes (March 2022)</w:t>
        </w:r>
        <w:r w:rsidR="00CE1739">
          <w:rPr>
            <w:noProof/>
            <w:webHidden/>
          </w:rPr>
          <w:tab/>
        </w:r>
        <w:r w:rsidR="00CE1739">
          <w:rPr>
            <w:noProof/>
            <w:webHidden/>
          </w:rPr>
          <w:fldChar w:fldCharType="begin"/>
        </w:r>
        <w:r w:rsidR="00CE1739">
          <w:rPr>
            <w:noProof/>
            <w:webHidden/>
          </w:rPr>
          <w:instrText xml:space="preserve"> PAGEREF _Toc128133885 \h </w:instrText>
        </w:r>
        <w:r w:rsidR="00CE1739">
          <w:rPr>
            <w:noProof/>
            <w:webHidden/>
          </w:rPr>
        </w:r>
        <w:r w:rsidR="00CE1739">
          <w:rPr>
            <w:noProof/>
            <w:webHidden/>
          </w:rPr>
          <w:fldChar w:fldCharType="separate"/>
        </w:r>
        <w:r w:rsidR="00AC79E0">
          <w:rPr>
            <w:noProof/>
            <w:webHidden/>
          </w:rPr>
          <w:t>126</w:t>
        </w:r>
        <w:r w:rsidR="00CE1739">
          <w:rPr>
            <w:noProof/>
            <w:webHidden/>
          </w:rPr>
          <w:fldChar w:fldCharType="end"/>
        </w:r>
      </w:hyperlink>
    </w:p>
    <w:p w14:paraId="39894C8B" w14:textId="3448430F" w:rsidR="00CE1739" w:rsidRDefault="009C6DE5">
      <w:pPr>
        <w:pStyle w:val="TOC2"/>
        <w:tabs>
          <w:tab w:val="left" w:pos="1100"/>
          <w:tab w:val="right" w:leader="dot" w:pos="9016"/>
        </w:tabs>
        <w:rPr>
          <w:rFonts w:cstheme="minorBidi"/>
          <w:noProof/>
          <w:sz w:val="22"/>
          <w:szCs w:val="22"/>
        </w:rPr>
      </w:pPr>
      <w:hyperlink w:anchor="_Toc128133886" w:history="1">
        <w:r w:rsidR="00CE1739" w:rsidRPr="001C00A6">
          <w:rPr>
            <w:rStyle w:val="Hyperlink"/>
            <w:noProof/>
          </w:rPr>
          <w:t>18.3</w:t>
        </w:r>
        <w:r w:rsidR="00CE1739">
          <w:rPr>
            <w:rFonts w:cstheme="minorBidi"/>
            <w:noProof/>
            <w:sz w:val="22"/>
            <w:szCs w:val="22"/>
          </w:rPr>
          <w:tab/>
        </w:r>
        <w:r w:rsidR="00CE1739" w:rsidRPr="001C00A6">
          <w:rPr>
            <w:rStyle w:val="Hyperlink"/>
            <w:noProof/>
          </w:rPr>
          <w:t>Connect Well West Kent (Involve Kent)</w:t>
        </w:r>
        <w:r w:rsidR="00CE1739">
          <w:rPr>
            <w:noProof/>
            <w:webHidden/>
          </w:rPr>
          <w:tab/>
        </w:r>
        <w:r w:rsidR="00CE1739">
          <w:rPr>
            <w:noProof/>
            <w:webHidden/>
          </w:rPr>
          <w:fldChar w:fldCharType="begin"/>
        </w:r>
        <w:r w:rsidR="00CE1739">
          <w:rPr>
            <w:noProof/>
            <w:webHidden/>
          </w:rPr>
          <w:instrText xml:space="preserve"> PAGEREF _Toc128133886 \h </w:instrText>
        </w:r>
        <w:r w:rsidR="00CE1739">
          <w:rPr>
            <w:noProof/>
            <w:webHidden/>
          </w:rPr>
        </w:r>
        <w:r w:rsidR="00CE1739">
          <w:rPr>
            <w:noProof/>
            <w:webHidden/>
          </w:rPr>
          <w:fldChar w:fldCharType="separate"/>
        </w:r>
        <w:r w:rsidR="00AC79E0">
          <w:rPr>
            <w:noProof/>
            <w:webHidden/>
          </w:rPr>
          <w:t>127</w:t>
        </w:r>
        <w:r w:rsidR="00CE1739">
          <w:rPr>
            <w:noProof/>
            <w:webHidden/>
          </w:rPr>
          <w:fldChar w:fldCharType="end"/>
        </w:r>
      </w:hyperlink>
    </w:p>
    <w:p w14:paraId="634A3F3E" w14:textId="0E55B163" w:rsidR="00CE1739" w:rsidRDefault="009C6DE5">
      <w:pPr>
        <w:pStyle w:val="TOC1"/>
        <w:tabs>
          <w:tab w:val="left" w:pos="660"/>
          <w:tab w:val="right" w:leader="dot" w:pos="9016"/>
        </w:tabs>
        <w:rPr>
          <w:rFonts w:cstheme="minorBidi"/>
          <w:b w:val="0"/>
          <w:noProof/>
          <w:sz w:val="22"/>
          <w:szCs w:val="22"/>
        </w:rPr>
      </w:pPr>
      <w:hyperlink w:anchor="_Toc128133887" w:history="1">
        <w:r w:rsidR="00CE1739" w:rsidRPr="001C00A6">
          <w:rPr>
            <w:rStyle w:val="Hyperlink"/>
            <w:noProof/>
          </w:rPr>
          <w:t>19</w:t>
        </w:r>
        <w:r w:rsidR="00CE1739">
          <w:rPr>
            <w:rFonts w:cstheme="minorBidi"/>
            <w:b w:val="0"/>
            <w:noProof/>
            <w:sz w:val="22"/>
            <w:szCs w:val="22"/>
          </w:rPr>
          <w:tab/>
        </w:r>
        <w:r w:rsidR="00CE1739" w:rsidRPr="001C00A6">
          <w:rPr>
            <w:rStyle w:val="Hyperlink"/>
            <w:noProof/>
          </w:rPr>
          <w:t>Conclusions</w:t>
        </w:r>
        <w:r w:rsidR="00CE1739">
          <w:rPr>
            <w:noProof/>
            <w:webHidden/>
          </w:rPr>
          <w:tab/>
        </w:r>
        <w:r w:rsidR="00CE1739">
          <w:rPr>
            <w:noProof/>
            <w:webHidden/>
          </w:rPr>
          <w:fldChar w:fldCharType="begin"/>
        </w:r>
        <w:r w:rsidR="00CE1739">
          <w:rPr>
            <w:noProof/>
            <w:webHidden/>
          </w:rPr>
          <w:instrText xml:space="preserve"> PAGEREF _Toc128133887 \h </w:instrText>
        </w:r>
        <w:r w:rsidR="00CE1739">
          <w:rPr>
            <w:noProof/>
            <w:webHidden/>
          </w:rPr>
        </w:r>
        <w:r w:rsidR="00CE1739">
          <w:rPr>
            <w:noProof/>
            <w:webHidden/>
          </w:rPr>
          <w:fldChar w:fldCharType="separate"/>
        </w:r>
        <w:r w:rsidR="00AC79E0">
          <w:rPr>
            <w:noProof/>
            <w:webHidden/>
          </w:rPr>
          <w:t>128</w:t>
        </w:r>
        <w:r w:rsidR="00CE1739">
          <w:rPr>
            <w:noProof/>
            <w:webHidden/>
          </w:rPr>
          <w:fldChar w:fldCharType="end"/>
        </w:r>
      </w:hyperlink>
    </w:p>
    <w:p w14:paraId="32692A0E" w14:textId="21F0161E" w:rsidR="00CE1739" w:rsidRDefault="009C6DE5">
      <w:pPr>
        <w:pStyle w:val="TOC2"/>
        <w:tabs>
          <w:tab w:val="left" w:pos="1100"/>
          <w:tab w:val="right" w:leader="dot" w:pos="9016"/>
        </w:tabs>
        <w:rPr>
          <w:rFonts w:cstheme="minorBidi"/>
          <w:noProof/>
          <w:sz w:val="22"/>
          <w:szCs w:val="22"/>
        </w:rPr>
      </w:pPr>
      <w:hyperlink w:anchor="_Toc128133888" w:history="1">
        <w:r w:rsidR="00CE1739" w:rsidRPr="001C00A6">
          <w:rPr>
            <w:rStyle w:val="Hyperlink"/>
            <w:noProof/>
          </w:rPr>
          <w:t>19.1</w:t>
        </w:r>
        <w:r w:rsidR="00CE1739">
          <w:rPr>
            <w:rFonts w:cstheme="minorBidi"/>
            <w:noProof/>
            <w:sz w:val="22"/>
            <w:szCs w:val="22"/>
          </w:rPr>
          <w:tab/>
        </w:r>
        <w:r w:rsidR="00CE1739" w:rsidRPr="001C00A6">
          <w:rPr>
            <w:rStyle w:val="Hyperlink"/>
            <w:noProof/>
          </w:rPr>
          <w:t>Key health indicator results</w:t>
        </w:r>
        <w:r w:rsidR="00CE1739">
          <w:rPr>
            <w:noProof/>
            <w:webHidden/>
          </w:rPr>
          <w:tab/>
        </w:r>
        <w:r w:rsidR="00CE1739">
          <w:rPr>
            <w:noProof/>
            <w:webHidden/>
          </w:rPr>
          <w:fldChar w:fldCharType="begin"/>
        </w:r>
        <w:r w:rsidR="00CE1739">
          <w:rPr>
            <w:noProof/>
            <w:webHidden/>
          </w:rPr>
          <w:instrText xml:space="preserve"> PAGEREF _Toc128133888 \h </w:instrText>
        </w:r>
        <w:r w:rsidR="00CE1739">
          <w:rPr>
            <w:noProof/>
            <w:webHidden/>
          </w:rPr>
        </w:r>
        <w:r w:rsidR="00CE1739">
          <w:rPr>
            <w:noProof/>
            <w:webHidden/>
          </w:rPr>
          <w:fldChar w:fldCharType="separate"/>
        </w:r>
        <w:r w:rsidR="00AC79E0">
          <w:rPr>
            <w:noProof/>
            <w:webHidden/>
          </w:rPr>
          <w:t>128</w:t>
        </w:r>
        <w:r w:rsidR="00CE1739">
          <w:rPr>
            <w:noProof/>
            <w:webHidden/>
          </w:rPr>
          <w:fldChar w:fldCharType="end"/>
        </w:r>
      </w:hyperlink>
    </w:p>
    <w:p w14:paraId="077F3095" w14:textId="4F01137A" w:rsidR="00CE1739" w:rsidRDefault="009C6DE5">
      <w:pPr>
        <w:pStyle w:val="TOC2"/>
        <w:tabs>
          <w:tab w:val="left" w:pos="1100"/>
          <w:tab w:val="right" w:leader="dot" w:pos="9016"/>
        </w:tabs>
        <w:rPr>
          <w:rFonts w:cstheme="minorBidi"/>
          <w:noProof/>
          <w:sz w:val="22"/>
          <w:szCs w:val="22"/>
        </w:rPr>
      </w:pPr>
      <w:hyperlink w:anchor="_Toc128133889" w:history="1">
        <w:r w:rsidR="00CE1739" w:rsidRPr="001C00A6">
          <w:rPr>
            <w:rStyle w:val="Hyperlink"/>
            <w:noProof/>
          </w:rPr>
          <w:t>19.2</w:t>
        </w:r>
        <w:r w:rsidR="00CE1739">
          <w:rPr>
            <w:rFonts w:cstheme="minorBidi"/>
            <w:noProof/>
            <w:sz w:val="22"/>
            <w:szCs w:val="22"/>
          </w:rPr>
          <w:tab/>
        </w:r>
        <w:r w:rsidR="00CE1739" w:rsidRPr="001C00A6">
          <w:rPr>
            <w:rStyle w:val="Hyperlink"/>
            <w:noProof/>
          </w:rPr>
          <w:t>JSNA Cohort model simulation outputs specific to West Kent HCP</w:t>
        </w:r>
        <w:r w:rsidR="00CE1739">
          <w:rPr>
            <w:noProof/>
            <w:webHidden/>
          </w:rPr>
          <w:tab/>
        </w:r>
        <w:r w:rsidR="00CE1739">
          <w:rPr>
            <w:noProof/>
            <w:webHidden/>
          </w:rPr>
          <w:fldChar w:fldCharType="begin"/>
        </w:r>
        <w:r w:rsidR="00CE1739">
          <w:rPr>
            <w:noProof/>
            <w:webHidden/>
          </w:rPr>
          <w:instrText xml:space="preserve"> PAGEREF _Toc128133889 \h </w:instrText>
        </w:r>
        <w:r w:rsidR="00CE1739">
          <w:rPr>
            <w:noProof/>
            <w:webHidden/>
          </w:rPr>
        </w:r>
        <w:r w:rsidR="00CE1739">
          <w:rPr>
            <w:noProof/>
            <w:webHidden/>
          </w:rPr>
          <w:fldChar w:fldCharType="separate"/>
        </w:r>
        <w:r w:rsidR="00AC79E0">
          <w:rPr>
            <w:noProof/>
            <w:webHidden/>
          </w:rPr>
          <w:t>129</w:t>
        </w:r>
        <w:r w:rsidR="00CE1739">
          <w:rPr>
            <w:noProof/>
            <w:webHidden/>
          </w:rPr>
          <w:fldChar w:fldCharType="end"/>
        </w:r>
      </w:hyperlink>
    </w:p>
    <w:p w14:paraId="35778145" w14:textId="1333883E" w:rsidR="00CE1739" w:rsidRDefault="009C6DE5">
      <w:pPr>
        <w:pStyle w:val="TOC2"/>
        <w:tabs>
          <w:tab w:val="left" w:pos="1100"/>
          <w:tab w:val="right" w:leader="dot" w:pos="9016"/>
        </w:tabs>
        <w:rPr>
          <w:rFonts w:cstheme="minorBidi"/>
          <w:noProof/>
          <w:sz w:val="22"/>
          <w:szCs w:val="22"/>
        </w:rPr>
      </w:pPr>
      <w:hyperlink w:anchor="_Toc128133890" w:history="1">
        <w:r w:rsidR="00CE1739" w:rsidRPr="001C00A6">
          <w:rPr>
            <w:rStyle w:val="Hyperlink"/>
            <w:noProof/>
          </w:rPr>
          <w:t>19.3</w:t>
        </w:r>
        <w:r w:rsidR="00CE1739">
          <w:rPr>
            <w:rFonts w:cstheme="minorBidi"/>
            <w:noProof/>
            <w:sz w:val="22"/>
            <w:szCs w:val="22"/>
          </w:rPr>
          <w:tab/>
        </w:r>
        <w:r w:rsidR="00CE1739" w:rsidRPr="001C00A6">
          <w:rPr>
            <w:rStyle w:val="Hyperlink"/>
            <w:noProof/>
          </w:rPr>
          <w:t>Stakeholder Voice</w:t>
        </w:r>
        <w:r w:rsidR="00CE1739">
          <w:rPr>
            <w:noProof/>
            <w:webHidden/>
          </w:rPr>
          <w:tab/>
        </w:r>
        <w:r w:rsidR="00CE1739">
          <w:rPr>
            <w:noProof/>
            <w:webHidden/>
          </w:rPr>
          <w:fldChar w:fldCharType="begin"/>
        </w:r>
        <w:r w:rsidR="00CE1739">
          <w:rPr>
            <w:noProof/>
            <w:webHidden/>
          </w:rPr>
          <w:instrText xml:space="preserve"> PAGEREF _Toc128133890 \h </w:instrText>
        </w:r>
        <w:r w:rsidR="00CE1739">
          <w:rPr>
            <w:noProof/>
            <w:webHidden/>
          </w:rPr>
        </w:r>
        <w:r w:rsidR="00CE1739">
          <w:rPr>
            <w:noProof/>
            <w:webHidden/>
          </w:rPr>
          <w:fldChar w:fldCharType="separate"/>
        </w:r>
        <w:r w:rsidR="00AC79E0">
          <w:rPr>
            <w:noProof/>
            <w:webHidden/>
          </w:rPr>
          <w:t>130</w:t>
        </w:r>
        <w:r w:rsidR="00CE1739">
          <w:rPr>
            <w:noProof/>
            <w:webHidden/>
          </w:rPr>
          <w:fldChar w:fldCharType="end"/>
        </w:r>
      </w:hyperlink>
    </w:p>
    <w:p w14:paraId="44A7164C" w14:textId="4F92BD87" w:rsidR="00CE1739" w:rsidRDefault="009C6DE5">
      <w:pPr>
        <w:pStyle w:val="TOC1"/>
        <w:tabs>
          <w:tab w:val="left" w:pos="660"/>
          <w:tab w:val="right" w:leader="dot" w:pos="9016"/>
        </w:tabs>
        <w:rPr>
          <w:rFonts w:cstheme="minorBidi"/>
          <w:b w:val="0"/>
          <w:noProof/>
          <w:sz w:val="22"/>
          <w:szCs w:val="22"/>
        </w:rPr>
      </w:pPr>
      <w:hyperlink w:anchor="_Toc128133891" w:history="1">
        <w:r w:rsidR="00CE1739" w:rsidRPr="001C00A6">
          <w:rPr>
            <w:rStyle w:val="Hyperlink"/>
            <w:noProof/>
          </w:rPr>
          <w:t>20</w:t>
        </w:r>
        <w:r w:rsidR="00CE1739">
          <w:rPr>
            <w:rFonts w:cstheme="minorBidi"/>
            <w:b w:val="0"/>
            <w:noProof/>
            <w:sz w:val="22"/>
            <w:szCs w:val="22"/>
          </w:rPr>
          <w:tab/>
        </w:r>
        <w:r w:rsidR="00CE1739" w:rsidRPr="001C00A6">
          <w:rPr>
            <w:rStyle w:val="Hyperlink"/>
            <w:noProof/>
          </w:rPr>
          <w:t>Recommendations</w:t>
        </w:r>
        <w:r w:rsidR="00CE1739">
          <w:rPr>
            <w:noProof/>
            <w:webHidden/>
          </w:rPr>
          <w:tab/>
        </w:r>
        <w:r w:rsidR="00CE1739">
          <w:rPr>
            <w:noProof/>
            <w:webHidden/>
          </w:rPr>
          <w:fldChar w:fldCharType="begin"/>
        </w:r>
        <w:r w:rsidR="00CE1739">
          <w:rPr>
            <w:noProof/>
            <w:webHidden/>
          </w:rPr>
          <w:instrText xml:space="preserve"> PAGEREF _Toc128133891 \h </w:instrText>
        </w:r>
        <w:r w:rsidR="00CE1739">
          <w:rPr>
            <w:noProof/>
            <w:webHidden/>
          </w:rPr>
        </w:r>
        <w:r w:rsidR="00CE1739">
          <w:rPr>
            <w:noProof/>
            <w:webHidden/>
          </w:rPr>
          <w:fldChar w:fldCharType="separate"/>
        </w:r>
        <w:r w:rsidR="00AC79E0">
          <w:rPr>
            <w:noProof/>
            <w:webHidden/>
          </w:rPr>
          <w:t>131</w:t>
        </w:r>
        <w:r w:rsidR="00CE1739">
          <w:rPr>
            <w:noProof/>
            <w:webHidden/>
          </w:rPr>
          <w:fldChar w:fldCharType="end"/>
        </w:r>
      </w:hyperlink>
    </w:p>
    <w:p w14:paraId="590F4078" w14:textId="3587EF22" w:rsidR="00CE1739" w:rsidRDefault="009C6DE5">
      <w:pPr>
        <w:pStyle w:val="TOC2"/>
        <w:tabs>
          <w:tab w:val="left" w:pos="1100"/>
          <w:tab w:val="right" w:leader="dot" w:pos="9016"/>
        </w:tabs>
        <w:rPr>
          <w:rFonts w:cstheme="minorBidi"/>
          <w:noProof/>
          <w:sz w:val="22"/>
          <w:szCs w:val="22"/>
        </w:rPr>
      </w:pPr>
      <w:hyperlink w:anchor="_Toc128133892" w:history="1">
        <w:r w:rsidR="00CE1739" w:rsidRPr="001C00A6">
          <w:rPr>
            <w:rStyle w:val="Hyperlink"/>
            <w:rFonts w:eastAsia="Calibri"/>
            <w:noProof/>
          </w:rPr>
          <w:t>20.1</w:t>
        </w:r>
        <w:r w:rsidR="00CE1739">
          <w:rPr>
            <w:rFonts w:cstheme="minorBidi"/>
            <w:noProof/>
            <w:sz w:val="22"/>
            <w:szCs w:val="22"/>
          </w:rPr>
          <w:tab/>
        </w:r>
        <w:r w:rsidR="00CE1739" w:rsidRPr="001C00A6">
          <w:rPr>
            <w:rStyle w:val="Hyperlink"/>
            <w:rFonts w:eastAsia="Calibri"/>
            <w:noProof/>
          </w:rPr>
          <w:t>Identifying Priorities</w:t>
        </w:r>
        <w:r w:rsidR="00CE1739">
          <w:rPr>
            <w:noProof/>
            <w:webHidden/>
          </w:rPr>
          <w:tab/>
        </w:r>
        <w:r w:rsidR="00CE1739">
          <w:rPr>
            <w:noProof/>
            <w:webHidden/>
          </w:rPr>
          <w:fldChar w:fldCharType="begin"/>
        </w:r>
        <w:r w:rsidR="00CE1739">
          <w:rPr>
            <w:noProof/>
            <w:webHidden/>
          </w:rPr>
          <w:instrText xml:space="preserve"> PAGEREF _Toc128133892 \h </w:instrText>
        </w:r>
        <w:r w:rsidR="00CE1739">
          <w:rPr>
            <w:noProof/>
            <w:webHidden/>
          </w:rPr>
        </w:r>
        <w:r w:rsidR="00CE1739">
          <w:rPr>
            <w:noProof/>
            <w:webHidden/>
          </w:rPr>
          <w:fldChar w:fldCharType="separate"/>
        </w:r>
        <w:r w:rsidR="00AC79E0">
          <w:rPr>
            <w:noProof/>
            <w:webHidden/>
          </w:rPr>
          <w:t>131</w:t>
        </w:r>
        <w:r w:rsidR="00CE1739">
          <w:rPr>
            <w:noProof/>
            <w:webHidden/>
          </w:rPr>
          <w:fldChar w:fldCharType="end"/>
        </w:r>
      </w:hyperlink>
    </w:p>
    <w:p w14:paraId="392913C9" w14:textId="4B3D624E" w:rsidR="00CE1739" w:rsidRDefault="009C6DE5">
      <w:pPr>
        <w:pStyle w:val="TOC3"/>
        <w:tabs>
          <w:tab w:val="right" w:leader="dot" w:pos="9016"/>
        </w:tabs>
        <w:rPr>
          <w:noProof/>
          <w:lang w:val="en-GB" w:eastAsia="en-GB"/>
        </w:rPr>
      </w:pPr>
      <w:hyperlink w:anchor="_Toc128133893" w:history="1">
        <w:r w:rsidR="00CE1739" w:rsidRPr="001C00A6">
          <w:rPr>
            <w:rStyle w:val="Hyperlink"/>
            <w:noProof/>
          </w:rPr>
          <w:t>PRIORITIES:</w:t>
        </w:r>
        <w:r w:rsidR="00CE1739">
          <w:rPr>
            <w:noProof/>
            <w:webHidden/>
          </w:rPr>
          <w:tab/>
        </w:r>
        <w:r w:rsidR="00CE1739">
          <w:rPr>
            <w:noProof/>
            <w:webHidden/>
          </w:rPr>
          <w:fldChar w:fldCharType="begin"/>
        </w:r>
        <w:r w:rsidR="00CE1739">
          <w:rPr>
            <w:noProof/>
            <w:webHidden/>
          </w:rPr>
          <w:instrText xml:space="preserve"> PAGEREF _Toc128133893 \h </w:instrText>
        </w:r>
        <w:r w:rsidR="00CE1739">
          <w:rPr>
            <w:noProof/>
            <w:webHidden/>
          </w:rPr>
        </w:r>
        <w:r w:rsidR="00CE1739">
          <w:rPr>
            <w:noProof/>
            <w:webHidden/>
          </w:rPr>
          <w:fldChar w:fldCharType="separate"/>
        </w:r>
        <w:r w:rsidR="00AC79E0">
          <w:rPr>
            <w:noProof/>
            <w:webHidden/>
          </w:rPr>
          <w:t>131</w:t>
        </w:r>
        <w:r w:rsidR="00CE1739">
          <w:rPr>
            <w:noProof/>
            <w:webHidden/>
          </w:rPr>
          <w:fldChar w:fldCharType="end"/>
        </w:r>
      </w:hyperlink>
    </w:p>
    <w:p w14:paraId="77E8D7D7" w14:textId="1A72DF1C" w:rsidR="00CE1739" w:rsidRDefault="009C6DE5">
      <w:pPr>
        <w:pStyle w:val="TOC2"/>
        <w:tabs>
          <w:tab w:val="left" w:pos="1100"/>
          <w:tab w:val="right" w:leader="dot" w:pos="9016"/>
        </w:tabs>
        <w:rPr>
          <w:rFonts w:cstheme="minorBidi"/>
          <w:noProof/>
          <w:sz w:val="22"/>
          <w:szCs w:val="22"/>
        </w:rPr>
      </w:pPr>
      <w:hyperlink w:anchor="_Toc128133894" w:history="1">
        <w:r w:rsidR="00CE1739" w:rsidRPr="001C00A6">
          <w:rPr>
            <w:rStyle w:val="Hyperlink"/>
            <w:rFonts w:eastAsia="Calibri"/>
            <w:noProof/>
          </w:rPr>
          <w:t>20.2</w:t>
        </w:r>
        <w:r w:rsidR="00CE1739">
          <w:rPr>
            <w:rFonts w:cstheme="minorBidi"/>
            <w:noProof/>
            <w:sz w:val="22"/>
            <w:szCs w:val="22"/>
          </w:rPr>
          <w:tab/>
        </w:r>
        <w:r w:rsidR="00CE1739" w:rsidRPr="001C00A6">
          <w:rPr>
            <w:rStyle w:val="Hyperlink"/>
            <w:rFonts w:eastAsia="Calibri"/>
            <w:noProof/>
          </w:rPr>
          <w:t>Health Promotion</w:t>
        </w:r>
        <w:r w:rsidR="00CE1739">
          <w:rPr>
            <w:noProof/>
            <w:webHidden/>
          </w:rPr>
          <w:tab/>
        </w:r>
        <w:r w:rsidR="00CE1739">
          <w:rPr>
            <w:noProof/>
            <w:webHidden/>
          </w:rPr>
          <w:fldChar w:fldCharType="begin"/>
        </w:r>
        <w:r w:rsidR="00CE1739">
          <w:rPr>
            <w:noProof/>
            <w:webHidden/>
          </w:rPr>
          <w:instrText xml:space="preserve"> PAGEREF _Toc128133894 \h </w:instrText>
        </w:r>
        <w:r w:rsidR="00CE1739">
          <w:rPr>
            <w:noProof/>
            <w:webHidden/>
          </w:rPr>
        </w:r>
        <w:r w:rsidR="00CE1739">
          <w:rPr>
            <w:noProof/>
            <w:webHidden/>
          </w:rPr>
          <w:fldChar w:fldCharType="separate"/>
        </w:r>
        <w:r w:rsidR="00AC79E0">
          <w:rPr>
            <w:noProof/>
            <w:webHidden/>
          </w:rPr>
          <w:t>132</w:t>
        </w:r>
        <w:r w:rsidR="00CE1739">
          <w:rPr>
            <w:noProof/>
            <w:webHidden/>
          </w:rPr>
          <w:fldChar w:fldCharType="end"/>
        </w:r>
      </w:hyperlink>
    </w:p>
    <w:p w14:paraId="3AAD3A6F" w14:textId="6591002F" w:rsidR="00CE1739" w:rsidRDefault="009C6DE5">
      <w:pPr>
        <w:pStyle w:val="TOC2"/>
        <w:tabs>
          <w:tab w:val="left" w:pos="1100"/>
          <w:tab w:val="right" w:leader="dot" w:pos="9016"/>
        </w:tabs>
        <w:rPr>
          <w:rFonts w:cstheme="minorBidi"/>
          <w:noProof/>
          <w:sz w:val="22"/>
          <w:szCs w:val="22"/>
        </w:rPr>
      </w:pPr>
      <w:hyperlink w:anchor="_Toc128133895" w:history="1">
        <w:r w:rsidR="00CE1739" w:rsidRPr="001C00A6">
          <w:rPr>
            <w:rStyle w:val="Hyperlink"/>
            <w:rFonts w:eastAsia="Calibri"/>
            <w:noProof/>
          </w:rPr>
          <w:t>20.3</w:t>
        </w:r>
        <w:r w:rsidR="00CE1739">
          <w:rPr>
            <w:rFonts w:cstheme="minorBidi"/>
            <w:noProof/>
            <w:sz w:val="22"/>
            <w:szCs w:val="22"/>
          </w:rPr>
          <w:tab/>
        </w:r>
        <w:r w:rsidR="00CE1739" w:rsidRPr="001C00A6">
          <w:rPr>
            <w:rStyle w:val="Hyperlink"/>
            <w:rFonts w:eastAsia="Calibri"/>
            <w:noProof/>
          </w:rPr>
          <w:t>Integrated Care delivery</w:t>
        </w:r>
        <w:r w:rsidR="00CE1739">
          <w:rPr>
            <w:noProof/>
            <w:webHidden/>
          </w:rPr>
          <w:tab/>
        </w:r>
        <w:r w:rsidR="00CE1739">
          <w:rPr>
            <w:noProof/>
            <w:webHidden/>
          </w:rPr>
          <w:fldChar w:fldCharType="begin"/>
        </w:r>
        <w:r w:rsidR="00CE1739">
          <w:rPr>
            <w:noProof/>
            <w:webHidden/>
          </w:rPr>
          <w:instrText xml:space="preserve"> PAGEREF _Toc128133895 \h </w:instrText>
        </w:r>
        <w:r w:rsidR="00CE1739">
          <w:rPr>
            <w:noProof/>
            <w:webHidden/>
          </w:rPr>
        </w:r>
        <w:r w:rsidR="00CE1739">
          <w:rPr>
            <w:noProof/>
            <w:webHidden/>
          </w:rPr>
          <w:fldChar w:fldCharType="separate"/>
        </w:r>
        <w:r w:rsidR="00AC79E0">
          <w:rPr>
            <w:noProof/>
            <w:webHidden/>
          </w:rPr>
          <w:t>132</w:t>
        </w:r>
        <w:r w:rsidR="00CE1739">
          <w:rPr>
            <w:noProof/>
            <w:webHidden/>
          </w:rPr>
          <w:fldChar w:fldCharType="end"/>
        </w:r>
      </w:hyperlink>
    </w:p>
    <w:p w14:paraId="22A77A62" w14:textId="31EF6D1C" w:rsidR="00CE1739" w:rsidRDefault="009C6DE5">
      <w:pPr>
        <w:pStyle w:val="TOC2"/>
        <w:tabs>
          <w:tab w:val="left" w:pos="1100"/>
          <w:tab w:val="right" w:leader="dot" w:pos="9016"/>
        </w:tabs>
        <w:rPr>
          <w:rFonts w:cstheme="minorBidi"/>
          <w:noProof/>
          <w:sz w:val="22"/>
          <w:szCs w:val="22"/>
        </w:rPr>
      </w:pPr>
      <w:hyperlink w:anchor="_Toc128133896" w:history="1">
        <w:r w:rsidR="00CE1739" w:rsidRPr="001C00A6">
          <w:rPr>
            <w:rStyle w:val="Hyperlink"/>
            <w:rFonts w:eastAsia="Calibri"/>
            <w:noProof/>
          </w:rPr>
          <w:t>20.4</w:t>
        </w:r>
        <w:r w:rsidR="00CE1739">
          <w:rPr>
            <w:rFonts w:cstheme="minorBidi"/>
            <w:noProof/>
            <w:sz w:val="22"/>
            <w:szCs w:val="22"/>
          </w:rPr>
          <w:tab/>
        </w:r>
        <w:r w:rsidR="00CE1739" w:rsidRPr="001C00A6">
          <w:rPr>
            <w:rStyle w:val="Hyperlink"/>
            <w:rFonts w:eastAsia="Calibri"/>
            <w:noProof/>
          </w:rPr>
          <w:t>MECC training</w:t>
        </w:r>
        <w:r w:rsidR="00CE1739">
          <w:rPr>
            <w:noProof/>
            <w:webHidden/>
          </w:rPr>
          <w:tab/>
        </w:r>
        <w:r w:rsidR="00CE1739">
          <w:rPr>
            <w:noProof/>
            <w:webHidden/>
          </w:rPr>
          <w:fldChar w:fldCharType="begin"/>
        </w:r>
        <w:r w:rsidR="00CE1739">
          <w:rPr>
            <w:noProof/>
            <w:webHidden/>
          </w:rPr>
          <w:instrText xml:space="preserve"> PAGEREF _Toc128133896 \h </w:instrText>
        </w:r>
        <w:r w:rsidR="00CE1739">
          <w:rPr>
            <w:noProof/>
            <w:webHidden/>
          </w:rPr>
        </w:r>
        <w:r w:rsidR="00CE1739">
          <w:rPr>
            <w:noProof/>
            <w:webHidden/>
          </w:rPr>
          <w:fldChar w:fldCharType="separate"/>
        </w:r>
        <w:r w:rsidR="00AC79E0">
          <w:rPr>
            <w:noProof/>
            <w:webHidden/>
          </w:rPr>
          <w:t>133</w:t>
        </w:r>
        <w:r w:rsidR="00CE1739">
          <w:rPr>
            <w:noProof/>
            <w:webHidden/>
          </w:rPr>
          <w:fldChar w:fldCharType="end"/>
        </w:r>
      </w:hyperlink>
    </w:p>
    <w:p w14:paraId="0E0ED513" w14:textId="43B5B32D" w:rsidR="00CE1739" w:rsidRDefault="009C6DE5">
      <w:pPr>
        <w:pStyle w:val="TOC2"/>
        <w:tabs>
          <w:tab w:val="left" w:pos="1100"/>
          <w:tab w:val="right" w:leader="dot" w:pos="9016"/>
        </w:tabs>
        <w:rPr>
          <w:rFonts w:cstheme="minorBidi"/>
          <w:noProof/>
          <w:sz w:val="22"/>
          <w:szCs w:val="22"/>
        </w:rPr>
      </w:pPr>
      <w:hyperlink w:anchor="_Toc128133897" w:history="1">
        <w:r w:rsidR="00CE1739" w:rsidRPr="001C00A6">
          <w:rPr>
            <w:rStyle w:val="Hyperlink"/>
            <w:rFonts w:eastAsia="Calibri"/>
            <w:noProof/>
          </w:rPr>
          <w:t>20.5</w:t>
        </w:r>
        <w:r w:rsidR="00CE1739">
          <w:rPr>
            <w:rFonts w:cstheme="minorBidi"/>
            <w:noProof/>
            <w:sz w:val="22"/>
            <w:szCs w:val="22"/>
          </w:rPr>
          <w:tab/>
        </w:r>
        <w:r w:rsidR="00CE1739" w:rsidRPr="001C00A6">
          <w:rPr>
            <w:rStyle w:val="Hyperlink"/>
            <w:rFonts w:eastAsia="Calibri"/>
            <w:noProof/>
          </w:rPr>
          <w:t>Research Innovation and Improvement</w:t>
        </w:r>
        <w:r w:rsidR="00CE1739">
          <w:rPr>
            <w:noProof/>
            <w:webHidden/>
          </w:rPr>
          <w:tab/>
        </w:r>
        <w:r w:rsidR="00CE1739">
          <w:rPr>
            <w:noProof/>
            <w:webHidden/>
          </w:rPr>
          <w:fldChar w:fldCharType="begin"/>
        </w:r>
        <w:r w:rsidR="00CE1739">
          <w:rPr>
            <w:noProof/>
            <w:webHidden/>
          </w:rPr>
          <w:instrText xml:space="preserve"> PAGEREF _Toc128133897 \h </w:instrText>
        </w:r>
        <w:r w:rsidR="00CE1739">
          <w:rPr>
            <w:noProof/>
            <w:webHidden/>
          </w:rPr>
        </w:r>
        <w:r w:rsidR="00CE1739">
          <w:rPr>
            <w:noProof/>
            <w:webHidden/>
          </w:rPr>
          <w:fldChar w:fldCharType="separate"/>
        </w:r>
        <w:r w:rsidR="00AC79E0">
          <w:rPr>
            <w:noProof/>
            <w:webHidden/>
          </w:rPr>
          <w:t>133</w:t>
        </w:r>
        <w:r w:rsidR="00CE1739">
          <w:rPr>
            <w:noProof/>
            <w:webHidden/>
          </w:rPr>
          <w:fldChar w:fldCharType="end"/>
        </w:r>
      </w:hyperlink>
    </w:p>
    <w:p w14:paraId="6A10FAB7" w14:textId="34A710B7" w:rsidR="00CE1739" w:rsidRDefault="009C6DE5">
      <w:pPr>
        <w:pStyle w:val="TOC2"/>
        <w:tabs>
          <w:tab w:val="left" w:pos="1100"/>
          <w:tab w:val="right" w:leader="dot" w:pos="9016"/>
        </w:tabs>
        <w:rPr>
          <w:rFonts w:cstheme="minorBidi"/>
          <w:noProof/>
          <w:sz w:val="22"/>
          <w:szCs w:val="22"/>
        </w:rPr>
      </w:pPr>
      <w:hyperlink w:anchor="_Toc128133898" w:history="1">
        <w:r w:rsidR="00CE1739" w:rsidRPr="001C00A6">
          <w:rPr>
            <w:rStyle w:val="Hyperlink"/>
            <w:noProof/>
          </w:rPr>
          <w:t>20.6</w:t>
        </w:r>
        <w:r w:rsidR="00CE1739">
          <w:rPr>
            <w:rFonts w:cstheme="minorBidi"/>
            <w:noProof/>
            <w:sz w:val="22"/>
            <w:szCs w:val="22"/>
          </w:rPr>
          <w:tab/>
        </w:r>
        <w:r w:rsidR="00CE1739" w:rsidRPr="001C00A6">
          <w:rPr>
            <w:rStyle w:val="Hyperlink"/>
            <w:noProof/>
          </w:rPr>
          <w:t>Engagement and Insight</w:t>
        </w:r>
        <w:r w:rsidR="00CE1739">
          <w:rPr>
            <w:noProof/>
            <w:webHidden/>
          </w:rPr>
          <w:tab/>
        </w:r>
        <w:r w:rsidR="00CE1739">
          <w:rPr>
            <w:noProof/>
            <w:webHidden/>
          </w:rPr>
          <w:fldChar w:fldCharType="begin"/>
        </w:r>
        <w:r w:rsidR="00CE1739">
          <w:rPr>
            <w:noProof/>
            <w:webHidden/>
          </w:rPr>
          <w:instrText xml:space="preserve"> PAGEREF _Toc128133898 \h </w:instrText>
        </w:r>
        <w:r w:rsidR="00CE1739">
          <w:rPr>
            <w:noProof/>
            <w:webHidden/>
          </w:rPr>
        </w:r>
        <w:r w:rsidR="00CE1739">
          <w:rPr>
            <w:noProof/>
            <w:webHidden/>
          </w:rPr>
          <w:fldChar w:fldCharType="separate"/>
        </w:r>
        <w:r w:rsidR="00AC79E0">
          <w:rPr>
            <w:noProof/>
            <w:webHidden/>
          </w:rPr>
          <w:t>133</w:t>
        </w:r>
        <w:r w:rsidR="00CE1739">
          <w:rPr>
            <w:noProof/>
            <w:webHidden/>
          </w:rPr>
          <w:fldChar w:fldCharType="end"/>
        </w:r>
      </w:hyperlink>
    </w:p>
    <w:p w14:paraId="6A8EA2D4" w14:textId="77777777" w:rsidR="003A66A2" w:rsidRDefault="00302727" w:rsidP="00AC195E">
      <w:pPr>
        <w:rPr>
          <w:color w:val="2D7C82"/>
          <w:sz w:val="48"/>
          <w:szCs w:val="48"/>
        </w:rPr>
      </w:pPr>
      <w:r>
        <w:rPr>
          <w:color w:val="2D7C82"/>
          <w:sz w:val="48"/>
          <w:szCs w:val="48"/>
        </w:rPr>
        <w:fldChar w:fldCharType="end"/>
      </w:r>
      <w:r w:rsidR="00F2326E" w:rsidRPr="004837FE">
        <w:rPr>
          <w:color w:val="2D7C82"/>
          <w:sz w:val="48"/>
          <w:szCs w:val="48"/>
        </w:rPr>
        <w:br w:type="page"/>
      </w:r>
    </w:p>
    <w:p w14:paraId="0666B96B" w14:textId="131F3218" w:rsidR="00EE0E14" w:rsidRDefault="00EE0E14" w:rsidP="00EE0E14">
      <w:r w:rsidRPr="32F7F25D">
        <w:rPr>
          <w:rFonts w:ascii="Arial" w:eastAsia="Arial" w:hAnsi="Arial"/>
          <w:b/>
          <w:bCs/>
          <w:lang w:val="en-US"/>
        </w:rPr>
        <w:lastRenderedPageBreak/>
        <w:t>Acknowledgements</w:t>
      </w:r>
    </w:p>
    <w:p w14:paraId="2DE3FF0F" w14:textId="0D0238C8" w:rsidR="00EE0E14" w:rsidRDefault="269A0DEF" w:rsidP="00EE0E14">
      <w:pPr>
        <w:rPr>
          <w:rFonts w:ascii="Calibri" w:eastAsia="Calibri" w:hAnsi="Calibri" w:cs="Calibri"/>
          <w:lang w:val="en-US"/>
        </w:rPr>
      </w:pPr>
      <w:r w:rsidRPr="740CDBE4">
        <w:rPr>
          <w:rFonts w:ascii="Calibri" w:eastAsia="Calibri" w:hAnsi="Calibri" w:cs="Calibri"/>
          <w:lang w:val="en-US"/>
        </w:rPr>
        <w:t>We</w:t>
      </w:r>
      <w:r w:rsidR="00EE0E14" w:rsidRPr="15853314">
        <w:rPr>
          <w:rFonts w:ascii="Calibri" w:eastAsia="Calibri" w:hAnsi="Calibri" w:cs="Calibri"/>
          <w:lang w:val="en-US"/>
        </w:rPr>
        <w:t xml:space="preserve"> thank the following colleagues who provided support in </w:t>
      </w:r>
      <w:r w:rsidRPr="740CDBE4">
        <w:rPr>
          <w:rFonts w:ascii="Calibri" w:eastAsia="Calibri" w:hAnsi="Calibri" w:cs="Calibri"/>
          <w:lang w:val="en-US"/>
        </w:rPr>
        <w:t>completing</w:t>
      </w:r>
      <w:r w:rsidR="00EE0E14" w:rsidRPr="15853314">
        <w:rPr>
          <w:rFonts w:ascii="Calibri" w:eastAsia="Calibri" w:hAnsi="Calibri" w:cs="Calibri"/>
          <w:lang w:val="en-US"/>
        </w:rPr>
        <w:t xml:space="preserve"> this report.</w:t>
      </w:r>
    </w:p>
    <w:p w14:paraId="338B6B45" w14:textId="77777777" w:rsidR="00972299" w:rsidRDefault="00EE0E14" w:rsidP="00EE0E14">
      <w:r w:rsidRPr="15853314">
        <w:rPr>
          <w:rFonts w:ascii="Calibri" w:eastAsia="Calibri" w:hAnsi="Calibri" w:cs="Calibri"/>
          <w:lang w:val="en-US"/>
        </w:rPr>
        <w:t>Dr Abraham George: Assessment Lead.</w:t>
      </w:r>
      <w:r>
        <w:tab/>
      </w:r>
    </w:p>
    <w:p w14:paraId="1EBCBD57" w14:textId="1B33F6B0" w:rsidR="00EE0E14" w:rsidRDefault="00EE0E14" w:rsidP="00EE0E14">
      <w:r w:rsidRPr="15853314">
        <w:rPr>
          <w:rFonts w:ascii="Calibri" w:eastAsia="Calibri" w:hAnsi="Calibri" w:cs="Calibri"/>
          <w:lang w:val="en-US"/>
        </w:rPr>
        <w:t xml:space="preserve">Stephen Cochrane: Assessment </w:t>
      </w:r>
      <w:r>
        <w:rPr>
          <w:rFonts w:ascii="Calibri" w:eastAsia="Calibri" w:hAnsi="Calibri" w:cs="Calibri"/>
          <w:lang w:val="en-US"/>
        </w:rPr>
        <w:t xml:space="preserve">management and </w:t>
      </w:r>
      <w:r w:rsidRPr="15853314">
        <w:rPr>
          <w:rFonts w:ascii="Calibri" w:eastAsia="Calibri" w:hAnsi="Calibri" w:cs="Calibri"/>
          <w:lang w:val="en-US"/>
        </w:rPr>
        <w:t>Support.</w:t>
      </w:r>
    </w:p>
    <w:p w14:paraId="204D2C37" w14:textId="77777777" w:rsidR="00972299" w:rsidRDefault="00EE0E14" w:rsidP="00EE0E14">
      <w:r w:rsidRPr="15853314">
        <w:rPr>
          <w:rFonts w:ascii="Calibri" w:eastAsia="Calibri" w:hAnsi="Calibri" w:cs="Calibri"/>
          <w:lang w:val="en-US"/>
        </w:rPr>
        <w:t>Matthew Pateman: Assessment Support (Analytics).</w:t>
      </w:r>
      <w:r>
        <w:tab/>
      </w:r>
    </w:p>
    <w:p w14:paraId="49B872BE" w14:textId="069F174A" w:rsidR="00EE0E14" w:rsidRDefault="00EE0E14" w:rsidP="00EE0E14">
      <w:r w:rsidRPr="15853314">
        <w:rPr>
          <w:rFonts w:ascii="Calibri" w:eastAsia="Calibri" w:hAnsi="Calibri" w:cs="Calibri"/>
          <w:lang w:val="en-US"/>
        </w:rPr>
        <w:t>Dr Sania Siddiq: Assessment Support.</w:t>
      </w:r>
    </w:p>
    <w:p w14:paraId="3A211BE3" w14:textId="542D3937" w:rsidR="00EE0E14" w:rsidRPr="00EF4A6F" w:rsidRDefault="00EE0E14">
      <w:pPr>
        <w:pStyle w:val="ListParagraph"/>
        <w:numPr>
          <w:ilvl w:val="0"/>
          <w:numId w:val="38"/>
        </w:numPr>
        <w:rPr>
          <w:rFonts w:ascii="Calibri" w:eastAsia="Calibri" w:hAnsi="Calibri" w:cs="Calibri"/>
          <w:sz w:val="24"/>
          <w:szCs w:val="24"/>
          <w:lang w:val="en-US"/>
        </w:rPr>
      </w:pPr>
      <w:r w:rsidRPr="00EF4A6F">
        <w:rPr>
          <w:rFonts w:ascii="Calibri" w:eastAsia="Calibri" w:hAnsi="Calibri" w:cs="Calibri"/>
          <w:sz w:val="24"/>
          <w:szCs w:val="24"/>
          <w:lang w:val="en-US"/>
        </w:rPr>
        <w:t>Wendy Jeffreys</w:t>
      </w:r>
      <w:r w:rsidR="00EF4A6F" w:rsidRPr="00EF4A6F">
        <w:rPr>
          <w:rFonts w:ascii="Calibri" w:eastAsia="Calibri" w:hAnsi="Calibri" w:cs="Calibri"/>
          <w:sz w:val="24"/>
          <w:szCs w:val="24"/>
          <w:lang w:val="en-US"/>
        </w:rPr>
        <w:tab/>
      </w:r>
      <w:r w:rsidR="00D73D86">
        <w:rPr>
          <w:rFonts w:ascii="Calibri" w:eastAsia="Calibri" w:hAnsi="Calibri" w:cs="Calibri"/>
          <w:sz w:val="24"/>
          <w:szCs w:val="24"/>
          <w:lang w:val="en-US"/>
        </w:rPr>
        <w:tab/>
      </w:r>
      <w:r w:rsidRPr="00EF4A6F">
        <w:rPr>
          <w:rFonts w:ascii="Calibri" w:eastAsia="Calibri" w:hAnsi="Calibri" w:cs="Calibri"/>
          <w:sz w:val="24"/>
          <w:szCs w:val="24"/>
          <w:lang w:val="en-US"/>
        </w:rPr>
        <w:t>Peter Lacey</w:t>
      </w:r>
    </w:p>
    <w:p w14:paraId="26404634" w14:textId="756B4B60" w:rsidR="00EE0E14" w:rsidRPr="000C49DA" w:rsidRDefault="00EE0E14">
      <w:pPr>
        <w:pStyle w:val="ListParagraph"/>
        <w:numPr>
          <w:ilvl w:val="0"/>
          <w:numId w:val="38"/>
        </w:numPr>
        <w:rPr>
          <w:rFonts w:ascii="Calibri" w:eastAsia="Calibri" w:hAnsi="Calibri" w:cs="Calibri"/>
          <w:sz w:val="24"/>
          <w:szCs w:val="24"/>
          <w:lang w:val="en-US"/>
        </w:rPr>
      </w:pPr>
      <w:r w:rsidRPr="000C49DA">
        <w:rPr>
          <w:rFonts w:ascii="Calibri" w:eastAsia="Calibri" w:hAnsi="Calibri" w:cs="Calibri"/>
          <w:sz w:val="24"/>
          <w:szCs w:val="24"/>
          <w:lang w:val="en-US"/>
        </w:rPr>
        <w:t>Megan Abbott</w:t>
      </w:r>
      <w:r w:rsidR="00EF4A6F" w:rsidRPr="000C49DA">
        <w:rPr>
          <w:rFonts w:ascii="Calibri" w:eastAsia="Calibri" w:hAnsi="Calibri" w:cs="Calibri"/>
          <w:sz w:val="24"/>
          <w:szCs w:val="24"/>
          <w:lang w:val="en-US"/>
        </w:rPr>
        <w:tab/>
      </w:r>
      <w:r w:rsidR="000C49DA" w:rsidRPr="000C49DA">
        <w:rPr>
          <w:rFonts w:ascii="Calibri" w:eastAsia="Calibri" w:hAnsi="Calibri" w:cs="Calibri"/>
          <w:sz w:val="24"/>
          <w:szCs w:val="24"/>
          <w:lang w:val="en-US"/>
        </w:rPr>
        <w:tab/>
      </w:r>
      <w:r w:rsidR="00D73D86">
        <w:rPr>
          <w:rFonts w:ascii="Calibri" w:eastAsia="Calibri" w:hAnsi="Calibri" w:cs="Calibri"/>
          <w:sz w:val="24"/>
          <w:szCs w:val="24"/>
          <w:lang w:val="en-US"/>
        </w:rPr>
        <w:tab/>
      </w:r>
      <w:r w:rsidRPr="000C49DA">
        <w:rPr>
          <w:rFonts w:ascii="Calibri" w:eastAsia="Calibri" w:hAnsi="Calibri" w:cs="Calibri"/>
          <w:sz w:val="24"/>
          <w:szCs w:val="24"/>
          <w:lang w:val="en-US"/>
        </w:rPr>
        <w:t>Chris Harwood</w:t>
      </w:r>
    </w:p>
    <w:p w14:paraId="3761EA67" w14:textId="30378F6C" w:rsidR="00EE0E14" w:rsidRPr="000C49DA" w:rsidRDefault="00EE0E14">
      <w:pPr>
        <w:pStyle w:val="ListParagraph"/>
        <w:numPr>
          <w:ilvl w:val="0"/>
          <w:numId w:val="38"/>
        </w:numPr>
        <w:rPr>
          <w:rFonts w:ascii="Calibri" w:eastAsia="Calibri" w:hAnsi="Calibri" w:cs="Calibri"/>
          <w:sz w:val="24"/>
          <w:szCs w:val="24"/>
          <w:lang w:val="en-US"/>
        </w:rPr>
      </w:pPr>
      <w:r w:rsidRPr="000C49DA">
        <w:rPr>
          <w:rFonts w:ascii="Calibri" w:eastAsia="Calibri" w:hAnsi="Calibri" w:cs="Calibri"/>
          <w:sz w:val="24"/>
          <w:szCs w:val="24"/>
          <w:lang w:val="en-US"/>
        </w:rPr>
        <w:t>Jessica Mookherjee</w:t>
      </w:r>
      <w:r w:rsidR="000C49DA" w:rsidRPr="000C49DA">
        <w:rPr>
          <w:rFonts w:ascii="Calibri" w:eastAsia="Calibri" w:hAnsi="Calibri" w:cs="Calibri"/>
          <w:sz w:val="24"/>
          <w:szCs w:val="24"/>
          <w:lang w:val="en-US"/>
        </w:rPr>
        <w:tab/>
      </w:r>
      <w:r w:rsidR="00D73D86">
        <w:rPr>
          <w:rFonts w:ascii="Calibri" w:eastAsia="Calibri" w:hAnsi="Calibri" w:cs="Calibri"/>
          <w:sz w:val="24"/>
          <w:szCs w:val="24"/>
          <w:lang w:val="en-US"/>
        </w:rPr>
        <w:tab/>
      </w:r>
      <w:r w:rsidRPr="000C49DA">
        <w:rPr>
          <w:rFonts w:ascii="Calibri" w:eastAsia="Calibri" w:hAnsi="Calibri" w:cs="Calibri"/>
          <w:sz w:val="24"/>
          <w:szCs w:val="24"/>
          <w:lang w:val="en-US"/>
        </w:rPr>
        <w:t>Janette Brayshaw</w:t>
      </w:r>
    </w:p>
    <w:p w14:paraId="7EC56376" w14:textId="5E85EB4A" w:rsidR="00EE0E14" w:rsidRPr="000C49DA" w:rsidRDefault="00EE0E14">
      <w:pPr>
        <w:pStyle w:val="ListParagraph"/>
        <w:numPr>
          <w:ilvl w:val="0"/>
          <w:numId w:val="38"/>
        </w:numPr>
        <w:rPr>
          <w:rFonts w:ascii="Calibri" w:eastAsia="Calibri" w:hAnsi="Calibri" w:cs="Calibri"/>
          <w:sz w:val="24"/>
          <w:szCs w:val="24"/>
          <w:lang w:val="en-US"/>
        </w:rPr>
      </w:pPr>
      <w:r w:rsidRPr="000C49DA">
        <w:rPr>
          <w:rFonts w:ascii="Calibri" w:eastAsia="Calibri" w:hAnsi="Calibri" w:cs="Calibri"/>
          <w:sz w:val="24"/>
          <w:szCs w:val="24"/>
          <w:lang w:val="en-US"/>
        </w:rPr>
        <w:t xml:space="preserve">Poppy Norley </w:t>
      </w:r>
      <w:r w:rsidR="000C49DA" w:rsidRPr="000C49DA">
        <w:rPr>
          <w:rFonts w:ascii="Calibri" w:eastAsia="Calibri" w:hAnsi="Calibri" w:cs="Calibri"/>
          <w:sz w:val="24"/>
          <w:szCs w:val="24"/>
          <w:lang w:val="en-US"/>
        </w:rPr>
        <w:tab/>
      </w:r>
      <w:r w:rsidR="000C49DA" w:rsidRPr="000C49DA">
        <w:rPr>
          <w:rFonts w:ascii="Calibri" w:eastAsia="Calibri" w:hAnsi="Calibri" w:cs="Calibri"/>
          <w:sz w:val="24"/>
          <w:szCs w:val="24"/>
          <w:lang w:val="en-US"/>
        </w:rPr>
        <w:tab/>
      </w:r>
      <w:r w:rsidR="00D73D86">
        <w:rPr>
          <w:rFonts w:ascii="Calibri" w:eastAsia="Calibri" w:hAnsi="Calibri" w:cs="Calibri"/>
          <w:sz w:val="24"/>
          <w:szCs w:val="24"/>
          <w:lang w:val="en-US"/>
        </w:rPr>
        <w:tab/>
      </w:r>
      <w:r w:rsidRPr="000C49DA">
        <w:rPr>
          <w:rFonts w:ascii="Calibri" w:eastAsia="Calibri" w:hAnsi="Calibri" w:cs="Calibri"/>
          <w:sz w:val="24"/>
          <w:szCs w:val="24"/>
          <w:lang w:val="en-US"/>
        </w:rPr>
        <w:t>Naomi Hamilton</w:t>
      </w:r>
    </w:p>
    <w:p w14:paraId="2288DA91" w14:textId="52A0538B" w:rsidR="00EE0E14" w:rsidRPr="000C49DA" w:rsidRDefault="00EE0E14">
      <w:pPr>
        <w:pStyle w:val="ListParagraph"/>
        <w:numPr>
          <w:ilvl w:val="0"/>
          <w:numId w:val="38"/>
        </w:numPr>
        <w:rPr>
          <w:rFonts w:ascii="Calibri" w:eastAsia="Calibri" w:hAnsi="Calibri" w:cs="Calibri"/>
          <w:sz w:val="24"/>
          <w:szCs w:val="24"/>
          <w:lang w:val="en-US"/>
        </w:rPr>
      </w:pPr>
      <w:r w:rsidRPr="000C49DA">
        <w:rPr>
          <w:rFonts w:ascii="Calibri" w:eastAsia="Calibri" w:hAnsi="Calibri" w:cs="Calibri"/>
          <w:sz w:val="24"/>
          <w:szCs w:val="24"/>
          <w:lang w:val="en-US"/>
        </w:rPr>
        <w:t xml:space="preserve">Caroline </w:t>
      </w:r>
      <w:proofErr w:type="spellStart"/>
      <w:r w:rsidRPr="000C49DA">
        <w:rPr>
          <w:rFonts w:ascii="Calibri" w:eastAsia="Calibri" w:hAnsi="Calibri" w:cs="Calibri"/>
          <w:sz w:val="24"/>
          <w:szCs w:val="24"/>
          <w:lang w:val="en-US"/>
        </w:rPr>
        <w:t>Tsatsaklas</w:t>
      </w:r>
      <w:proofErr w:type="spellEnd"/>
      <w:r w:rsidR="000C49DA" w:rsidRPr="000C49DA">
        <w:rPr>
          <w:rFonts w:ascii="Calibri" w:eastAsia="Calibri" w:hAnsi="Calibri" w:cs="Calibri"/>
          <w:sz w:val="24"/>
          <w:szCs w:val="24"/>
          <w:lang w:val="en-US"/>
        </w:rPr>
        <w:tab/>
      </w:r>
      <w:r w:rsidR="00D73D86">
        <w:rPr>
          <w:rFonts w:ascii="Calibri" w:eastAsia="Calibri" w:hAnsi="Calibri" w:cs="Calibri"/>
          <w:sz w:val="24"/>
          <w:szCs w:val="24"/>
          <w:lang w:val="en-US"/>
        </w:rPr>
        <w:tab/>
      </w:r>
      <w:r w:rsidRPr="000C49DA">
        <w:rPr>
          <w:rFonts w:ascii="Calibri" w:eastAsia="Calibri" w:hAnsi="Calibri" w:cs="Calibri"/>
          <w:sz w:val="24"/>
          <w:szCs w:val="24"/>
          <w:lang w:val="en-US"/>
        </w:rPr>
        <w:t>Deborah Smith</w:t>
      </w:r>
    </w:p>
    <w:p w14:paraId="5F92C6BC" w14:textId="6BB1D748" w:rsidR="00EE0E14" w:rsidRPr="000C49DA" w:rsidRDefault="00EE0E14">
      <w:pPr>
        <w:pStyle w:val="ListParagraph"/>
        <w:numPr>
          <w:ilvl w:val="0"/>
          <w:numId w:val="38"/>
        </w:numPr>
        <w:rPr>
          <w:rFonts w:ascii="Calibri" w:eastAsia="Calibri" w:hAnsi="Calibri" w:cs="Calibri"/>
          <w:sz w:val="24"/>
          <w:szCs w:val="24"/>
          <w:lang w:val="en-US"/>
        </w:rPr>
      </w:pPr>
      <w:r w:rsidRPr="000C49DA">
        <w:rPr>
          <w:rFonts w:ascii="Calibri" w:eastAsia="Calibri" w:hAnsi="Calibri" w:cs="Calibri"/>
          <w:sz w:val="24"/>
          <w:szCs w:val="24"/>
          <w:lang w:val="en-US"/>
        </w:rPr>
        <w:t>Linda Smith</w:t>
      </w:r>
      <w:r w:rsidR="000C49DA" w:rsidRPr="000C49DA">
        <w:rPr>
          <w:rFonts w:ascii="Calibri" w:eastAsia="Calibri" w:hAnsi="Calibri" w:cs="Calibri"/>
          <w:sz w:val="24"/>
          <w:szCs w:val="24"/>
          <w:lang w:val="en-US"/>
        </w:rPr>
        <w:tab/>
      </w:r>
      <w:r w:rsidR="000C49DA" w:rsidRPr="000C49DA">
        <w:rPr>
          <w:rFonts w:ascii="Calibri" w:eastAsia="Calibri" w:hAnsi="Calibri" w:cs="Calibri"/>
          <w:sz w:val="24"/>
          <w:szCs w:val="24"/>
          <w:lang w:val="en-US"/>
        </w:rPr>
        <w:tab/>
      </w:r>
      <w:r w:rsidR="00D73D86">
        <w:rPr>
          <w:rFonts w:ascii="Calibri" w:eastAsia="Calibri" w:hAnsi="Calibri" w:cs="Calibri"/>
          <w:sz w:val="24"/>
          <w:szCs w:val="24"/>
          <w:lang w:val="en-US"/>
        </w:rPr>
        <w:tab/>
      </w:r>
      <w:r w:rsidRPr="000C49DA">
        <w:rPr>
          <w:rFonts w:ascii="Calibri" w:eastAsia="Calibri" w:hAnsi="Calibri" w:cs="Calibri"/>
          <w:sz w:val="24"/>
          <w:szCs w:val="24"/>
          <w:lang w:val="en-US"/>
        </w:rPr>
        <w:t>Stacey Baston</w:t>
      </w:r>
    </w:p>
    <w:p w14:paraId="32AA18F9" w14:textId="209CD28E" w:rsidR="00EE0E14" w:rsidRPr="00CC2934" w:rsidRDefault="00EE0E14">
      <w:pPr>
        <w:pStyle w:val="ListParagraph"/>
        <w:numPr>
          <w:ilvl w:val="0"/>
          <w:numId w:val="38"/>
        </w:numPr>
        <w:rPr>
          <w:rFonts w:ascii="Calibri" w:eastAsia="Calibri" w:hAnsi="Calibri" w:cs="Calibri"/>
          <w:sz w:val="24"/>
          <w:szCs w:val="24"/>
          <w:lang w:val="en-US"/>
        </w:rPr>
      </w:pPr>
      <w:r w:rsidRPr="00CC2934">
        <w:rPr>
          <w:rFonts w:ascii="Calibri" w:eastAsia="Calibri" w:hAnsi="Calibri" w:cs="Calibri"/>
          <w:sz w:val="24"/>
          <w:szCs w:val="24"/>
          <w:lang w:val="en-US"/>
        </w:rPr>
        <w:t>Sophie Rigg</w:t>
      </w:r>
      <w:r w:rsidR="00CC2934" w:rsidRPr="00CC2934">
        <w:rPr>
          <w:rFonts w:ascii="Calibri" w:eastAsia="Calibri" w:hAnsi="Calibri" w:cs="Calibri"/>
          <w:sz w:val="24"/>
          <w:szCs w:val="24"/>
          <w:lang w:val="en-US"/>
        </w:rPr>
        <w:tab/>
      </w:r>
      <w:r w:rsidR="00CC2934" w:rsidRPr="00CC2934">
        <w:rPr>
          <w:rFonts w:ascii="Calibri" w:eastAsia="Calibri" w:hAnsi="Calibri" w:cs="Calibri"/>
          <w:sz w:val="24"/>
          <w:szCs w:val="24"/>
          <w:lang w:val="en-US"/>
        </w:rPr>
        <w:tab/>
      </w:r>
      <w:r w:rsidR="00D73D86">
        <w:rPr>
          <w:rFonts w:ascii="Calibri" w:eastAsia="Calibri" w:hAnsi="Calibri" w:cs="Calibri"/>
          <w:sz w:val="24"/>
          <w:szCs w:val="24"/>
          <w:lang w:val="en-US"/>
        </w:rPr>
        <w:tab/>
      </w:r>
      <w:r w:rsidRPr="00CC2934">
        <w:rPr>
          <w:rFonts w:ascii="Calibri" w:eastAsia="Calibri" w:hAnsi="Calibri" w:cs="Calibri"/>
          <w:sz w:val="24"/>
          <w:szCs w:val="24"/>
          <w:lang w:val="en-US"/>
        </w:rPr>
        <w:t>Mike Gogarty</w:t>
      </w:r>
    </w:p>
    <w:p w14:paraId="2D4EC346" w14:textId="3B464C8E" w:rsidR="00EE0E14" w:rsidRPr="00CC2934" w:rsidRDefault="00EE0E14">
      <w:pPr>
        <w:pStyle w:val="ListParagraph"/>
        <w:numPr>
          <w:ilvl w:val="0"/>
          <w:numId w:val="38"/>
        </w:numPr>
        <w:rPr>
          <w:rFonts w:ascii="Calibri" w:eastAsia="Calibri" w:hAnsi="Calibri" w:cs="Calibri"/>
          <w:sz w:val="24"/>
          <w:szCs w:val="24"/>
          <w:lang w:val="en-US"/>
        </w:rPr>
      </w:pPr>
      <w:r w:rsidRPr="00CC2934">
        <w:rPr>
          <w:rFonts w:ascii="Calibri" w:eastAsia="Calibri" w:hAnsi="Calibri" w:cs="Calibri"/>
          <w:sz w:val="24"/>
          <w:szCs w:val="24"/>
          <w:lang w:val="en-US"/>
        </w:rPr>
        <w:t>Kimberly Olive</w:t>
      </w:r>
      <w:r w:rsidR="00CC2934" w:rsidRPr="00CC2934">
        <w:rPr>
          <w:rFonts w:ascii="Calibri" w:eastAsia="Calibri" w:hAnsi="Calibri" w:cs="Calibri"/>
          <w:sz w:val="24"/>
          <w:szCs w:val="24"/>
          <w:lang w:val="en-US"/>
        </w:rPr>
        <w:tab/>
      </w:r>
      <w:r w:rsidR="00CC2934" w:rsidRPr="00CC2934">
        <w:rPr>
          <w:rFonts w:ascii="Calibri" w:eastAsia="Calibri" w:hAnsi="Calibri" w:cs="Calibri"/>
          <w:sz w:val="24"/>
          <w:szCs w:val="24"/>
          <w:lang w:val="en-US"/>
        </w:rPr>
        <w:tab/>
      </w:r>
      <w:r w:rsidR="00D73D86">
        <w:rPr>
          <w:rFonts w:ascii="Calibri" w:eastAsia="Calibri" w:hAnsi="Calibri" w:cs="Calibri"/>
          <w:sz w:val="24"/>
          <w:szCs w:val="24"/>
          <w:lang w:val="en-US"/>
        </w:rPr>
        <w:tab/>
      </w:r>
      <w:r w:rsidRPr="00CC2934">
        <w:rPr>
          <w:rFonts w:ascii="Calibri" w:eastAsia="Calibri" w:hAnsi="Calibri" w:cs="Calibri"/>
          <w:sz w:val="24"/>
          <w:szCs w:val="24"/>
          <w:lang w:val="en-US"/>
        </w:rPr>
        <w:t>Mark Chambers</w:t>
      </w:r>
    </w:p>
    <w:p w14:paraId="1A871593" w14:textId="12F3BB8E" w:rsidR="00EE0E14" w:rsidRPr="00CC2934" w:rsidRDefault="00EE0E14">
      <w:pPr>
        <w:pStyle w:val="ListParagraph"/>
        <w:numPr>
          <w:ilvl w:val="0"/>
          <w:numId w:val="38"/>
        </w:numPr>
        <w:rPr>
          <w:rFonts w:ascii="Calibri" w:eastAsia="Calibri" w:hAnsi="Calibri" w:cs="Calibri"/>
          <w:sz w:val="24"/>
          <w:szCs w:val="24"/>
          <w:lang w:val="en-US"/>
        </w:rPr>
      </w:pPr>
      <w:r w:rsidRPr="00CC2934">
        <w:rPr>
          <w:rFonts w:ascii="Calibri" w:eastAsia="Calibri" w:hAnsi="Calibri" w:cs="Calibri"/>
          <w:sz w:val="24"/>
          <w:szCs w:val="24"/>
          <w:lang w:val="en-US"/>
        </w:rPr>
        <w:t>Matthew Liggins</w:t>
      </w:r>
      <w:r w:rsidR="00CC2934" w:rsidRPr="00CC2934">
        <w:rPr>
          <w:rFonts w:ascii="Calibri" w:eastAsia="Calibri" w:hAnsi="Calibri" w:cs="Calibri"/>
          <w:sz w:val="24"/>
          <w:szCs w:val="24"/>
          <w:lang w:val="en-US"/>
        </w:rPr>
        <w:tab/>
      </w:r>
      <w:r w:rsidR="00D73D86">
        <w:rPr>
          <w:rFonts w:ascii="Calibri" w:eastAsia="Calibri" w:hAnsi="Calibri" w:cs="Calibri"/>
          <w:sz w:val="24"/>
          <w:szCs w:val="24"/>
          <w:lang w:val="en-US"/>
        </w:rPr>
        <w:tab/>
      </w:r>
      <w:r w:rsidRPr="00CC2934">
        <w:rPr>
          <w:rFonts w:ascii="Calibri" w:eastAsia="Calibri" w:hAnsi="Calibri" w:cs="Calibri"/>
          <w:sz w:val="24"/>
          <w:szCs w:val="24"/>
          <w:lang w:val="en-US"/>
        </w:rPr>
        <w:t>Dr Sarah Westerbeek</w:t>
      </w:r>
    </w:p>
    <w:p w14:paraId="5B0C34F9" w14:textId="2B6EF381" w:rsidR="00EE0E14" w:rsidRPr="00D73D86" w:rsidRDefault="00EE0E14">
      <w:pPr>
        <w:pStyle w:val="ListParagraph"/>
        <w:numPr>
          <w:ilvl w:val="0"/>
          <w:numId w:val="38"/>
        </w:numPr>
        <w:rPr>
          <w:rFonts w:ascii="Calibri" w:eastAsia="Calibri" w:hAnsi="Calibri" w:cs="Calibri"/>
          <w:color w:val="000000" w:themeColor="text1"/>
          <w:sz w:val="24"/>
          <w:szCs w:val="24"/>
          <w:lang w:val="en-US"/>
        </w:rPr>
      </w:pPr>
      <w:r w:rsidRPr="00D73D86">
        <w:rPr>
          <w:rFonts w:ascii="Calibri" w:eastAsia="Calibri" w:hAnsi="Calibri" w:cs="Calibri"/>
          <w:color w:val="000000" w:themeColor="text1"/>
          <w:sz w:val="24"/>
          <w:szCs w:val="24"/>
          <w:lang w:val="en-US"/>
        </w:rPr>
        <w:t>Dr Nasrin Hafezparast</w:t>
      </w:r>
      <w:r w:rsidR="00D73D86" w:rsidRPr="00D73D86">
        <w:rPr>
          <w:rFonts w:ascii="Calibri" w:eastAsia="Calibri" w:hAnsi="Calibri" w:cs="Calibri"/>
          <w:color w:val="000000" w:themeColor="text1"/>
          <w:sz w:val="24"/>
          <w:szCs w:val="24"/>
          <w:lang w:val="en-US"/>
        </w:rPr>
        <w:tab/>
      </w:r>
      <w:r w:rsidR="00D73D86">
        <w:rPr>
          <w:rFonts w:ascii="Calibri" w:eastAsia="Calibri" w:hAnsi="Calibri" w:cs="Calibri"/>
          <w:color w:val="000000" w:themeColor="text1"/>
          <w:sz w:val="24"/>
          <w:szCs w:val="24"/>
          <w:lang w:val="en-US"/>
        </w:rPr>
        <w:tab/>
      </w:r>
      <w:r w:rsidRPr="00D73D86">
        <w:rPr>
          <w:rFonts w:ascii="Calibri" w:eastAsia="Calibri" w:hAnsi="Calibri" w:cs="Calibri"/>
          <w:color w:val="000000" w:themeColor="text1"/>
          <w:sz w:val="24"/>
          <w:szCs w:val="24"/>
          <w:lang w:val="en-US"/>
        </w:rPr>
        <w:t>Dr Rupert Dunbar-Rees</w:t>
      </w:r>
    </w:p>
    <w:p w14:paraId="3CB6A68E" w14:textId="2DF42177" w:rsidR="00EE0E14" w:rsidRPr="00D73D86" w:rsidRDefault="00EE0E14">
      <w:pPr>
        <w:pStyle w:val="ListParagraph"/>
        <w:numPr>
          <w:ilvl w:val="0"/>
          <w:numId w:val="38"/>
        </w:numPr>
        <w:rPr>
          <w:rFonts w:ascii="Calibri" w:eastAsia="Calibri" w:hAnsi="Calibri" w:cs="Calibri"/>
          <w:color w:val="000000" w:themeColor="text1"/>
          <w:sz w:val="24"/>
          <w:szCs w:val="24"/>
          <w:lang w:val="en-US"/>
        </w:rPr>
      </w:pPr>
      <w:r w:rsidRPr="00D73D86">
        <w:rPr>
          <w:rFonts w:ascii="Calibri" w:eastAsia="Calibri" w:hAnsi="Calibri" w:cs="Calibri"/>
          <w:color w:val="000000" w:themeColor="text1"/>
          <w:sz w:val="24"/>
          <w:szCs w:val="24"/>
          <w:lang w:val="en-US"/>
        </w:rPr>
        <w:t>Jane Thomas</w:t>
      </w:r>
      <w:r w:rsidR="00D73D86" w:rsidRPr="00D73D86">
        <w:rPr>
          <w:rFonts w:ascii="Calibri" w:eastAsia="Calibri" w:hAnsi="Calibri" w:cs="Calibri"/>
          <w:color w:val="000000" w:themeColor="text1"/>
          <w:sz w:val="24"/>
          <w:szCs w:val="24"/>
          <w:lang w:val="en-US"/>
        </w:rPr>
        <w:tab/>
      </w:r>
      <w:r w:rsidR="00D73D86" w:rsidRPr="00D73D86">
        <w:rPr>
          <w:rFonts w:ascii="Calibri" w:eastAsia="Calibri" w:hAnsi="Calibri" w:cs="Calibri"/>
          <w:color w:val="000000" w:themeColor="text1"/>
          <w:sz w:val="24"/>
          <w:szCs w:val="24"/>
          <w:lang w:val="en-US"/>
        </w:rPr>
        <w:tab/>
      </w:r>
      <w:r w:rsidR="00D73D86" w:rsidRPr="00D73D86">
        <w:rPr>
          <w:rFonts w:ascii="Calibri" w:eastAsia="Calibri" w:hAnsi="Calibri" w:cs="Calibri"/>
          <w:color w:val="000000" w:themeColor="text1"/>
          <w:sz w:val="24"/>
          <w:szCs w:val="24"/>
          <w:lang w:val="en-US"/>
        </w:rPr>
        <w:tab/>
      </w:r>
      <w:r w:rsidRPr="00D73D86">
        <w:rPr>
          <w:rFonts w:ascii="Calibri" w:eastAsia="Calibri" w:hAnsi="Calibri" w:cs="Calibri"/>
          <w:color w:val="000000" w:themeColor="text1"/>
          <w:sz w:val="24"/>
          <w:szCs w:val="24"/>
          <w:lang w:val="en-US"/>
        </w:rPr>
        <w:t>Dr Iheadi Onwukwe</w:t>
      </w:r>
    </w:p>
    <w:p w14:paraId="62689C69" w14:textId="750B9A1F" w:rsidR="00EE0E14" w:rsidRDefault="00EE0E14">
      <w:pPr>
        <w:pStyle w:val="ListParagraph"/>
        <w:numPr>
          <w:ilvl w:val="0"/>
          <w:numId w:val="38"/>
        </w:numPr>
        <w:rPr>
          <w:rFonts w:ascii="Calibri" w:eastAsia="Calibri" w:hAnsi="Calibri" w:cs="Calibri"/>
          <w:color w:val="000000" w:themeColor="text1"/>
          <w:sz w:val="24"/>
          <w:szCs w:val="24"/>
          <w:lang w:val="en-US"/>
        </w:rPr>
      </w:pPr>
      <w:r w:rsidRPr="00D73D86">
        <w:rPr>
          <w:rFonts w:ascii="Calibri" w:eastAsia="Calibri" w:hAnsi="Calibri" w:cs="Calibri"/>
          <w:color w:val="000000" w:themeColor="text1"/>
          <w:sz w:val="24"/>
          <w:szCs w:val="24"/>
          <w:lang w:val="en-US"/>
        </w:rPr>
        <w:t>Dr Lin Guo</w:t>
      </w:r>
      <w:r w:rsidR="00D73D86">
        <w:tab/>
      </w:r>
      <w:r w:rsidR="00D73D86">
        <w:tab/>
      </w:r>
      <w:r w:rsidR="00D73D86">
        <w:tab/>
      </w:r>
      <w:r w:rsidRPr="00D73D86">
        <w:rPr>
          <w:rFonts w:ascii="Calibri" w:eastAsia="Calibri" w:hAnsi="Calibri" w:cs="Calibri"/>
          <w:color w:val="000000" w:themeColor="text1"/>
          <w:sz w:val="24"/>
          <w:szCs w:val="24"/>
          <w:lang w:val="en-US"/>
        </w:rPr>
        <w:t>Dr Sarah Westerbeek</w:t>
      </w:r>
    </w:p>
    <w:p w14:paraId="1800DB34" w14:textId="4A616133" w:rsidR="00EE0E14" w:rsidRPr="00D73D86" w:rsidRDefault="00EE0E14">
      <w:pPr>
        <w:pStyle w:val="ListParagraph"/>
        <w:numPr>
          <w:ilvl w:val="0"/>
          <w:numId w:val="38"/>
        </w:numPr>
        <w:rPr>
          <w:rFonts w:ascii="Calibri" w:eastAsia="Calibri" w:hAnsi="Calibri" w:cs="Calibri"/>
          <w:sz w:val="24"/>
          <w:szCs w:val="24"/>
          <w:lang w:val="en-US"/>
        </w:rPr>
      </w:pPr>
      <w:r w:rsidRPr="00D73D86">
        <w:rPr>
          <w:rFonts w:ascii="Calibri" w:eastAsia="Calibri" w:hAnsi="Calibri" w:cs="Calibri"/>
          <w:color w:val="000000" w:themeColor="text1"/>
          <w:sz w:val="24"/>
          <w:szCs w:val="24"/>
          <w:lang w:val="en-US"/>
        </w:rPr>
        <w:t>Alison Scantlebury</w:t>
      </w:r>
      <w:r w:rsidR="00D73D86" w:rsidRPr="00D73D86">
        <w:rPr>
          <w:rFonts w:ascii="Calibri" w:eastAsia="Calibri" w:hAnsi="Calibri" w:cs="Calibri"/>
          <w:color w:val="000000" w:themeColor="text1"/>
          <w:sz w:val="24"/>
          <w:szCs w:val="24"/>
          <w:lang w:val="en-US"/>
        </w:rPr>
        <w:tab/>
      </w:r>
      <w:r w:rsidR="00D73D86" w:rsidRPr="00D73D86">
        <w:rPr>
          <w:rFonts w:ascii="Calibri" w:eastAsia="Calibri" w:hAnsi="Calibri" w:cs="Calibri"/>
          <w:color w:val="000000" w:themeColor="text1"/>
          <w:sz w:val="24"/>
          <w:szCs w:val="24"/>
          <w:lang w:val="en-US"/>
        </w:rPr>
        <w:tab/>
      </w:r>
      <w:r w:rsidRPr="00D73D86">
        <w:rPr>
          <w:rFonts w:ascii="Calibri" w:eastAsia="Calibri" w:hAnsi="Calibri" w:cs="Calibri"/>
          <w:sz w:val="24"/>
          <w:szCs w:val="24"/>
          <w:lang w:val="en-US"/>
        </w:rPr>
        <w:t>Clint Taylor</w:t>
      </w:r>
    </w:p>
    <w:p w14:paraId="5AD8299D" w14:textId="43A6BFE4" w:rsidR="00EE0E14" w:rsidRPr="00D73D86" w:rsidRDefault="00EE0E14">
      <w:pPr>
        <w:pStyle w:val="ListParagraph"/>
        <w:numPr>
          <w:ilvl w:val="0"/>
          <w:numId w:val="38"/>
        </w:numPr>
        <w:rPr>
          <w:rFonts w:ascii="Calibri" w:eastAsia="Calibri" w:hAnsi="Calibri" w:cs="Calibri"/>
          <w:sz w:val="24"/>
          <w:szCs w:val="24"/>
          <w:lang w:val="en-US"/>
        </w:rPr>
      </w:pPr>
      <w:r w:rsidRPr="00D73D86">
        <w:rPr>
          <w:rFonts w:ascii="Calibri" w:eastAsia="Calibri" w:hAnsi="Calibri" w:cs="Calibri"/>
          <w:sz w:val="24"/>
          <w:szCs w:val="24"/>
          <w:lang w:val="en-US"/>
        </w:rPr>
        <w:t>Joshua Stroud</w:t>
      </w:r>
      <w:r w:rsidR="00D73D86" w:rsidRPr="00D73D86">
        <w:rPr>
          <w:rFonts w:ascii="Calibri" w:eastAsia="Calibri" w:hAnsi="Calibri" w:cs="Calibri"/>
          <w:sz w:val="24"/>
          <w:szCs w:val="24"/>
          <w:lang w:val="en-US"/>
        </w:rPr>
        <w:tab/>
      </w:r>
      <w:r w:rsidR="00D73D86" w:rsidRPr="00D73D86">
        <w:rPr>
          <w:rFonts w:ascii="Calibri" w:eastAsia="Calibri" w:hAnsi="Calibri" w:cs="Calibri"/>
          <w:sz w:val="24"/>
          <w:szCs w:val="24"/>
          <w:lang w:val="en-US"/>
        </w:rPr>
        <w:tab/>
      </w:r>
      <w:r w:rsidR="00D73D86" w:rsidRPr="00D73D86">
        <w:rPr>
          <w:rFonts w:ascii="Calibri" w:eastAsia="Calibri" w:hAnsi="Calibri" w:cs="Calibri"/>
          <w:sz w:val="24"/>
          <w:szCs w:val="24"/>
          <w:lang w:val="en-US"/>
        </w:rPr>
        <w:tab/>
      </w:r>
      <w:r w:rsidRPr="00D73D86">
        <w:rPr>
          <w:rFonts w:ascii="Calibri" w:eastAsia="Calibri" w:hAnsi="Calibri" w:cs="Calibri"/>
          <w:sz w:val="24"/>
          <w:szCs w:val="24"/>
          <w:lang w:val="en-US"/>
        </w:rPr>
        <w:t>Laura Sims</w:t>
      </w:r>
    </w:p>
    <w:p w14:paraId="60576063" w14:textId="7F824FFB" w:rsidR="00EE0E14" w:rsidRPr="00D73D86" w:rsidRDefault="00EE0E14">
      <w:pPr>
        <w:pStyle w:val="ListParagraph"/>
        <w:numPr>
          <w:ilvl w:val="0"/>
          <w:numId w:val="38"/>
        </w:numPr>
        <w:rPr>
          <w:rFonts w:ascii="Calibri" w:eastAsia="Calibri" w:hAnsi="Calibri" w:cs="Calibri"/>
          <w:sz w:val="24"/>
          <w:szCs w:val="24"/>
          <w:lang w:val="en-US"/>
        </w:rPr>
      </w:pPr>
      <w:r w:rsidRPr="00D73D86">
        <w:rPr>
          <w:rFonts w:ascii="Calibri" w:eastAsia="Calibri" w:hAnsi="Calibri" w:cs="Calibri"/>
          <w:sz w:val="24"/>
          <w:szCs w:val="24"/>
          <w:lang w:val="en-US"/>
        </w:rPr>
        <w:t>Tami Sonub</w:t>
      </w:r>
      <w:r w:rsidR="004216F9">
        <w:rPr>
          <w:rFonts w:ascii="Calibri" w:eastAsia="Calibri" w:hAnsi="Calibri" w:cs="Calibri"/>
          <w:sz w:val="24"/>
          <w:szCs w:val="24"/>
          <w:lang w:val="en-US"/>
        </w:rPr>
        <w:t>i</w:t>
      </w:r>
      <w:r w:rsidR="004216F9">
        <w:rPr>
          <w:rFonts w:ascii="Calibri" w:eastAsia="Calibri" w:hAnsi="Calibri" w:cs="Calibri"/>
          <w:sz w:val="24"/>
          <w:szCs w:val="24"/>
          <w:lang w:val="en-US"/>
        </w:rPr>
        <w:tab/>
      </w:r>
      <w:r w:rsidR="004216F9">
        <w:rPr>
          <w:rFonts w:ascii="Calibri" w:eastAsia="Calibri" w:hAnsi="Calibri" w:cs="Calibri"/>
          <w:sz w:val="24"/>
          <w:szCs w:val="24"/>
          <w:lang w:val="en-US"/>
        </w:rPr>
        <w:tab/>
      </w:r>
      <w:r w:rsidR="004216F9">
        <w:rPr>
          <w:rFonts w:ascii="Calibri" w:eastAsia="Calibri" w:hAnsi="Calibri" w:cs="Calibri"/>
          <w:sz w:val="24"/>
          <w:szCs w:val="24"/>
          <w:lang w:val="en-US"/>
        </w:rPr>
        <w:tab/>
      </w:r>
      <w:r w:rsidR="004216F9">
        <w:rPr>
          <w:rFonts w:cstheme="minorHAnsi"/>
          <w:sz w:val="24"/>
          <w:szCs w:val="24"/>
        </w:rPr>
        <w:t>Samantha Chapman</w:t>
      </w:r>
    </w:p>
    <w:p w14:paraId="1319A922" w14:textId="4CF09C9B" w:rsidR="00EE0E14" w:rsidRPr="00CB2373" w:rsidRDefault="00EE0E14" w:rsidP="007A44C5">
      <w:pPr>
        <w:pStyle w:val="ListParagraph"/>
        <w:numPr>
          <w:ilvl w:val="0"/>
          <w:numId w:val="38"/>
        </w:numPr>
        <w:rPr>
          <w:rFonts w:eastAsia="Calibri" w:cstheme="minorHAnsi"/>
          <w:sz w:val="24"/>
          <w:szCs w:val="24"/>
          <w:lang w:val="en-US"/>
        </w:rPr>
      </w:pPr>
      <w:r w:rsidRPr="00EA4A45">
        <w:rPr>
          <w:rFonts w:cstheme="minorHAnsi"/>
          <w:sz w:val="24"/>
          <w:szCs w:val="24"/>
        </w:rPr>
        <w:t>Dr Anita Jolly</w:t>
      </w:r>
      <w:r w:rsidR="00D73D86">
        <w:rPr>
          <w:rFonts w:cstheme="minorHAnsi"/>
          <w:sz w:val="24"/>
          <w:szCs w:val="24"/>
        </w:rPr>
        <w:tab/>
      </w:r>
      <w:r w:rsidR="00D73D86">
        <w:rPr>
          <w:rFonts w:cstheme="minorHAnsi"/>
          <w:sz w:val="24"/>
          <w:szCs w:val="24"/>
        </w:rPr>
        <w:tab/>
      </w:r>
      <w:r w:rsidR="00D73D86">
        <w:rPr>
          <w:rFonts w:cstheme="minorHAnsi"/>
          <w:sz w:val="24"/>
          <w:szCs w:val="24"/>
        </w:rPr>
        <w:tab/>
      </w:r>
      <w:r w:rsidR="00FE19B1">
        <w:rPr>
          <w:rFonts w:cstheme="minorHAnsi"/>
          <w:sz w:val="24"/>
          <w:szCs w:val="24"/>
        </w:rPr>
        <w:t>Medway Council</w:t>
      </w:r>
      <w:r w:rsidR="00AF4996">
        <w:rPr>
          <w:rFonts w:cstheme="minorHAnsi"/>
          <w:sz w:val="24"/>
          <w:szCs w:val="24"/>
        </w:rPr>
        <w:tab/>
      </w:r>
    </w:p>
    <w:p w14:paraId="723B7044" w14:textId="3F4974FF" w:rsidR="00CB2373" w:rsidRPr="00B151F2" w:rsidRDefault="00F21BDC" w:rsidP="007A44C5">
      <w:pPr>
        <w:pStyle w:val="ListParagraph"/>
        <w:numPr>
          <w:ilvl w:val="0"/>
          <w:numId w:val="38"/>
        </w:numPr>
        <w:rPr>
          <w:rFonts w:eastAsia="Calibri" w:cstheme="minorHAnsi"/>
          <w:sz w:val="24"/>
          <w:szCs w:val="24"/>
          <w:lang w:val="en-US"/>
        </w:rPr>
      </w:pPr>
      <w:r>
        <w:rPr>
          <w:rFonts w:cstheme="minorHAnsi"/>
          <w:sz w:val="24"/>
          <w:szCs w:val="24"/>
        </w:rPr>
        <w:t>Sally M</w:t>
      </w:r>
      <w:r w:rsidR="00B151F2">
        <w:rPr>
          <w:rFonts w:cstheme="minorHAnsi"/>
          <w:sz w:val="24"/>
          <w:szCs w:val="24"/>
        </w:rPr>
        <w:t>a</w:t>
      </w:r>
      <w:r>
        <w:rPr>
          <w:rFonts w:cstheme="minorHAnsi"/>
          <w:sz w:val="24"/>
          <w:szCs w:val="24"/>
        </w:rPr>
        <w:t>c</w:t>
      </w:r>
      <w:r w:rsidR="00B151F2">
        <w:rPr>
          <w:rFonts w:cstheme="minorHAnsi"/>
          <w:sz w:val="24"/>
          <w:szCs w:val="24"/>
        </w:rPr>
        <w:t>kinnon</w:t>
      </w:r>
      <w:r w:rsidR="00155A2E">
        <w:rPr>
          <w:rFonts w:cstheme="minorHAnsi"/>
          <w:sz w:val="24"/>
          <w:szCs w:val="24"/>
        </w:rPr>
        <w:tab/>
      </w:r>
      <w:r w:rsidR="00155A2E">
        <w:rPr>
          <w:rFonts w:cstheme="minorHAnsi"/>
          <w:sz w:val="24"/>
          <w:szCs w:val="24"/>
        </w:rPr>
        <w:tab/>
        <w:t>Heather Hopton</w:t>
      </w:r>
    </w:p>
    <w:p w14:paraId="7E8F67FE" w14:textId="603448C8" w:rsidR="00B151F2" w:rsidRDefault="00B151F2" w:rsidP="00B151F2">
      <w:pPr>
        <w:rPr>
          <w:rFonts w:eastAsia="Calibri" w:cstheme="minorHAnsi"/>
          <w:lang w:val="en-US"/>
        </w:rPr>
      </w:pPr>
    </w:p>
    <w:p w14:paraId="50D8FCD1" w14:textId="2F67C7CD" w:rsidR="00B151F2" w:rsidRDefault="00B151F2" w:rsidP="00B151F2">
      <w:pPr>
        <w:rPr>
          <w:rFonts w:eastAsia="Calibri" w:cstheme="minorHAnsi"/>
          <w:lang w:val="en-US"/>
        </w:rPr>
      </w:pPr>
    </w:p>
    <w:p w14:paraId="3B68D033" w14:textId="3F080E5E" w:rsidR="00B151F2" w:rsidRDefault="00B151F2" w:rsidP="00B151F2">
      <w:pPr>
        <w:rPr>
          <w:rFonts w:eastAsia="Calibri" w:cstheme="minorHAnsi"/>
          <w:lang w:val="en-US"/>
        </w:rPr>
      </w:pPr>
    </w:p>
    <w:p w14:paraId="331BFDD2" w14:textId="53E53AAD" w:rsidR="00B151F2" w:rsidRDefault="00B151F2" w:rsidP="00B151F2">
      <w:pPr>
        <w:rPr>
          <w:rFonts w:eastAsia="Calibri" w:cstheme="minorHAnsi"/>
          <w:lang w:val="en-US"/>
        </w:rPr>
      </w:pPr>
    </w:p>
    <w:p w14:paraId="1C08F370" w14:textId="1E6FDB71" w:rsidR="00B151F2" w:rsidRDefault="00B151F2" w:rsidP="00B151F2">
      <w:pPr>
        <w:rPr>
          <w:rFonts w:eastAsia="Calibri" w:cstheme="minorHAnsi"/>
          <w:lang w:val="en-US"/>
        </w:rPr>
      </w:pPr>
    </w:p>
    <w:p w14:paraId="44424A07" w14:textId="3E1ECF6D" w:rsidR="00B151F2" w:rsidRDefault="00B151F2" w:rsidP="00B151F2">
      <w:pPr>
        <w:rPr>
          <w:rFonts w:eastAsia="Calibri" w:cstheme="minorHAnsi"/>
          <w:lang w:val="en-US"/>
        </w:rPr>
      </w:pPr>
    </w:p>
    <w:p w14:paraId="3F085D1E" w14:textId="3EE91D8B" w:rsidR="00B151F2" w:rsidRDefault="00B151F2" w:rsidP="00B151F2">
      <w:pPr>
        <w:rPr>
          <w:rFonts w:eastAsia="Calibri" w:cstheme="minorHAnsi"/>
          <w:lang w:val="en-US"/>
        </w:rPr>
      </w:pPr>
    </w:p>
    <w:p w14:paraId="101F2894" w14:textId="16646965" w:rsidR="00B151F2" w:rsidRDefault="00B151F2" w:rsidP="00B151F2">
      <w:pPr>
        <w:rPr>
          <w:rFonts w:eastAsia="Calibri" w:cstheme="minorHAnsi"/>
          <w:lang w:val="en-US"/>
        </w:rPr>
      </w:pPr>
    </w:p>
    <w:p w14:paraId="252C00F0" w14:textId="242CC856" w:rsidR="00B151F2" w:rsidRDefault="00B151F2" w:rsidP="00B151F2">
      <w:pPr>
        <w:rPr>
          <w:rFonts w:eastAsia="Calibri" w:cstheme="minorHAnsi"/>
          <w:lang w:val="en-US"/>
        </w:rPr>
      </w:pPr>
    </w:p>
    <w:p w14:paraId="1309E45E" w14:textId="2C8B7138" w:rsidR="00AC195E" w:rsidRDefault="00AC195E" w:rsidP="00AC195E">
      <w:pPr>
        <w:rPr>
          <w:b/>
          <w:sz w:val="36"/>
          <w:szCs w:val="36"/>
        </w:rPr>
      </w:pPr>
    </w:p>
    <w:p w14:paraId="232B9934" w14:textId="77777777" w:rsidR="00CC2934" w:rsidRPr="004837FE" w:rsidRDefault="00CC2934" w:rsidP="00AC195E">
      <w:pPr>
        <w:rPr>
          <w:b/>
          <w:vanish/>
          <w:sz w:val="36"/>
          <w:szCs w:val="36"/>
          <w:specVanish/>
        </w:rPr>
      </w:pPr>
    </w:p>
    <w:p w14:paraId="7D8AB0CD" w14:textId="521E4479" w:rsidR="00AC195E" w:rsidRDefault="00AC195E" w:rsidP="00AC195E">
      <w:pPr>
        <w:pStyle w:val="Heading1"/>
      </w:pPr>
      <w:r w:rsidRPr="004837FE">
        <w:t xml:space="preserve"> </w:t>
      </w:r>
      <w:bookmarkStart w:id="1" w:name="_Toc445984584"/>
      <w:bookmarkStart w:id="2" w:name="_Toc128133789"/>
      <w:r w:rsidR="006A60B6">
        <w:t>Executive Summary</w:t>
      </w:r>
      <w:bookmarkEnd w:id="1"/>
      <w:bookmarkEnd w:id="2"/>
    </w:p>
    <w:p w14:paraId="575752E5" w14:textId="7A392B17" w:rsidR="00D26F38" w:rsidRPr="00867245" w:rsidRDefault="006E2A8E" w:rsidP="00867245">
      <w:pPr>
        <w:pStyle w:val="Heading2"/>
      </w:pPr>
      <w:bookmarkStart w:id="3" w:name="_Toc128133790"/>
      <w:r w:rsidRPr="00867245">
        <w:t>Introduction</w:t>
      </w:r>
      <w:bookmarkEnd w:id="3"/>
    </w:p>
    <w:p w14:paraId="177951BB" w14:textId="36C811D6" w:rsidR="006E2A8E" w:rsidRPr="00867245" w:rsidRDefault="00694B90" w:rsidP="00867245">
      <w:pPr>
        <w:rPr>
          <w:rFonts w:ascii="Calibri" w:hAnsi="Calibri" w:cs="Calibri"/>
        </w:rPr>
      </w:pPr>
      <w:r w:rsidRPr="045A98DE">
        <w:rPr>
          <w:rStyle w:val="normaltextrun"/>
          <w:rFonts w:ascii="Calibri" w:hAnsi="Calibri" w:cs="Calibri"/>
        </w:rPr>
        <w:t xml:space="preserve">The </w:t>
      </w:r>
      <w:hyperlink r:id="rId22">
        <w:r w:rsidRPr="045A98DE">
          <w:rPr>
            <w:rStyle w:val="Hyperlink"/>
            <w:rFonts w:ascii="Calibri" w:eastAsiaTheme="majorEastAsia" w:hAnsi="Calibri" w:cs="Calibri"/>
          </w:rPr>
          <w:t>Health and Care Act 2022</w:t>
        </w:r>
      </w:hyperlink>
      <w:r w:rsidRPr="045A98DE">
        <w:rPr>
          <w:rStyle w:val="normaltextrun"/>
          <w:rFonts w:ascii="Calibri" w:hAnsi="Calibri" w:cs="Calibri"/>
        </w:rPr>
        <w:t xml:space="preserve">  introduces a series of measures to make it easier for health and care organisations to deliver joined up care for </w:t>
      </w:r>
      <w:r w:rsidR="176B6931" w:rsidRPr="045A98DE">
        <w:rPr>
          <w:rStyle w:val="normaltextrun"/>
          <w:rFonts w:ascii="Calibri" w:hAnsi="Calibri" w:cs="Calibri"/>
        </w:rPr>
        <w:t>people and</w:t>
      </w:r>
      <w:r w:rsidRPr="045A98DE">
        <w:rPr>
          <w:rStyle w:val="normaltextrun"/>
          <w:rFonts w:ascii="Calibri" w:hAnsi="Calibri" w:cs="Calibri"/>
        </w:rPr>
        <w:t xml:space="preserve"> requires integrated care partnerships to write an Integrated Care Strategy to set out how the assessed needs from the Joint Strategic Needs Assessment (JSNA) can be met. </w:t>
      </w:r>
      <w:hyperlink r:id="rId23">
        <w:r w:rsidR="005A146A">
          <w:rPr>
            <w:rStyle w:val="Hyperlink"/>
            <w:rFonts w:eastAsiaTheme="majorEastAsia" w:cstheme="minorBidi"/>
          </w:rPr>
          <w:t>National guidance on the preparation of Integrated Care Strategies</w:t>
        </w:r>
      </w:hyperlink>
      <w:r w:rsidRPr="045A98DE">
        <w:rPr>
          <w:rStyle w:val="normaltextrun"/>
          <w:rFonts w:cstheme="minorBidi"/>
        </w:rPr>
        <w:t xml:space="preserve"> released in July 2022 state</w:t>
      </w:r>
      <w:r w:rsidRPr="045A98DE">
        <w:rPr>
          <w:rStyle w:val="normaltextrun"/>
        </w:rPr>
        <w:t>d</w:t>
      </w:r>
      <w:r w:rsidRPr="045A98DE">
        <w:rPr>
          <w:rStyle w:val="normaltextrun"/>
          <w:rFonts w:cstheme="minorBidi"/>
        </w:rPr>
        <w:t xml:space="preserve"> that the integrated care strategy should set the direction of the system across the area of the integrated care board and integrated care partnership, setting out how </w:t>
      </w:r>
      <w:r w:rsidRPr="045A98DE">
        <w:rPr>
          <w:rStyle w:val="normaltextrun"/>
        </w:rPr>
        <w:t xml:space="preserve">all </w:t>
      </w:r>
      <w:r w:rsidRPr="045A98DE">
        <w:rPr>
          <w:rStyle w:val="normaltextrun"/>
          <w:rFonts w:cstheme="minorBidi"/>
        </w:rPr>
        <w:t xml:space="preserve">commissioners, working with providers and other partners, can deliver more joined-up, preventative, and person-centred care for their </w:t>
      </w:r>
      <w:bookmarkStart w:id="4" w:name="_Int_IhwGT0RO"/>
      <w:r w:rsidRPr="045A98DE">
        <w:rPr>
          <w:rStyle w:val="normaltextrun"/>
          <w:rFonts w:cstheme="minorBidi"/>
        </w:rPr>
        <w:t>whole population</w:t>
      </w:r>
      <w:bookmarkEnd w:id="4"/>
      <w:r w:rsidRPr="045A98DE">
        <w:rPr>
          <w:rStyle w:val="normaltextrun"/>
          <w:rFonts w:cstheme="minorBidi"/>
        </w:rPr>
        <w:t>, across the course of their life.</w:t>
      </w:r>
      <w:r w:rsidRPr="045A98DE">
        <w:rPr>
          <w:rStyle w:val="normaltextrun"/>
        </w:rPr>
        <w:t xml:space="preserve"> </w:t>
      </w:r>
      <w:r w:rsidRPr="045A98DE">
        <w:rPr>
          <w:rStyle w:val="normaltextrun"/>
          <w:rFonts w:ascii="Calibri" w:hAnsi="Calibri" w:cs="Calibri"/>
        </w:rPr>
        <w:t xml:space="preserve">This needs assessment builds on the Kent Joint Strategic Needs Assessment (JSNA) and provides further local information to the West Kent HCP to assist them in making their commissioning decisions.  The </w:t>
      </w:r>
      <w:hyperlink r:id="rId24">
        <w:r w:rsidRPr="045A98DE">
          <w:rPr>
            <w:rStyle w:val="Hyperlink"/>
            <w:rFonts w:ascii="Calibri" w:eastAsiaTheme="majorEastAsia" w:hAnsi="Calibri" w:cs="Calibri"/>
          </w:rPr>
          <w:t>Marmot Review (2010)</w:t>
        </w:r>
      </w:hyperlink>
      <w:r w:rsidRPr="045A98DE">
        <w:rPr>
          <w:rStyle w:val="normaltextrun"/>
          <w:rFonts w:ascii="Calibri" w:hAnsi="Calibri" w:cs="Calibri"/>
        </w:rPr>
        <w:t xml:space="preserve"> emphasises that social determinants lead to health inequalities and that actions must be based on proportionate universalism. The </w:t>
      </w:r>
      <w:hyperlink r:id="rId25">
        <w:r w:rsidR="0033517F">
          <w:rPr>
            <w:rStyle w:val="Hyperlink"/>
            <w:rFonts w:ascii="Calibri" w:eastAsiaTheme="majorEastAsia" w:hAnsi="Calibri" w:cs="Calibri"/>
          </w:rPr>
          <w:t xml:space="preserve">Marmot </w:t>
        </w:r>
        <w:r w:rsidRPr="045A98DE">
          <w:rPr>
            <w:rStyle w:val="Hyperlink"/>
            <w:rFonts w:ascii="Calibri" w:eastAsiaTheme="majorEastAsia" w:hAnsi="Calibri" w:cs="Calibri"/>
          </w:rPr>
          <w:t>Review</w:t>
        </w:r>
      </w:hyperlink>
      <w:r w:rsidRPr="045A98DE">
        <w:rPr>
          <w:rStyle w:val="normaltextrun"/>
          <w:rFonts w:ascii="Calibri" w:hAnsi="Calibri" w:cs="Calibri"/>
        </w:rPr>
        <w:t xml:space="preserve"> 10 years on mentions six policy objectives based on the life course approach and highlighted the effect of widespread and deep cuts in most areas of public spending.</w:t>
      </w:r>
    </w:p>
    <w:p w14:paraId="25F99F6C" w14:textId="77777777" w:rsidR="00E92C3B" w:rsidRDefault="00E92C3B" w:rsidP="00867245">
      <w:pPr>
        <w:pStyle w:val="Heading2"/>
        <w:rPr>
          <w:rFonts w:eastAsiaTheme="minorEastAsia"/>
        </w:rPr>
      </w:pPr>
      <w:bookmarkStart w:id="5" w:name="_Toc128133791"/>
      <w:r w:rsidRPr="32F7F25D">
        <w:rPr>
          <w:rFonts w:eastAsiaTheme="minorEastAsia"/>
        </w:rPr>
        <w:t>Key health indicator results</w:t>
      </w:r>
      <w:bookmarkEnd w:id="5"/>
    </w:p>
    <w:p w14:paraId="7465C746" w14:textId="562785B0" w:rsidR="00E92C3B" w:rsidRDefault="00E92C3B" w:rsidP="00867245">
      <w:pPr>
        <w:pStyle w:val="paragraph"/>
        <w:numPr>
          <w:ilvl w:val="0"/>
          <w:numId w:val="36"/>
        </w:numPr>
        <w:spacing w:before="0" w:beforeAutospacing="0" w:after="0" w:afterAutospacing="0" w:line="276" w:lineRule="auto"/>
        <w:rPr>
          <w:rFonts w:asciiTheme="minorHAnsi" w:eastAsiaTheme="minorEastAsia" w:hAnsiTheme="minorHAnsi" w:cstheme="minorBidi"/>
        </w:rPr>
      </w:pPr>
      <w:r w:rsidRPr="32F7F25D">
        <w:rPr>
          <w:rFonts w:asciiTheme="minorHAnsi" w:eastAsiaTheme="minorEastAsia" w:hAnsiTheme="minorHAnsi" w:cstheme="minorBidi"/>
        </w:rPr>
        <w:t xml:space="preserve">The elderly population in West Kent is set to increase </w:t>
      </w:r>
      <w:bookmarkStart w:id="6" w:name="_Int_HhTp3TPU"/>
      <w:r w:rsidRPr="32F7F25D">
        <w:rPr>
          <w:rFonts w:asciiTheme="minorHAnsi" w:eastAsiaTheme="minorEastAsia" w:hAnsiTheme="minorHAnsi" w:cstheme="minorBidi"/>
        </w:rPr>
        <w:t>substantially over</w:t>
      </w:r>
      <w:bookmarkEnd w:id="6"/>
      <w:r w:rsidRPr="32F7F25D">
        <w:rPr>
          <w:rFonts w:asciiTheme="minorHAnsi" w:eastAsiaTheme="minorEastAsia" w:hAnsiTheme="minorHAnsi" w:cstheme="minorBidi"/>
        </w:rPr>
        <w:t xml:space="preserve"> the next 20 years, </w:t>
      </w:r>
      <w:r w:rsidR="00E13B5A" w:rsidRPr="32F7F25D">
        <w:rPr>
          <w:rFonts w:asciiTheme="minorHAnsi" w:eastAsiaTheme="minorEastAsia" w:hAnsiTheme="minorHAnsi" w:cstheme="minorBidi"/>
        </w:rPr>
        <w:t>by up to 7</w:t>
      </w:r>
      <w:r w:rsidR="00E13B5A">
        <w:rPr>
          <w:rFonts w:asciiTheme="minorHAnsi" w:eastAsiaTheme="minorEastAsia" w:hAnsiTheme="minorHAnsi" w:cstheme="minorBidi"/>
        </w:rPr>
        <w:t>9</w:t>
      </w:r>
      <w:r w:rsidR="00E13B5A" w:rsidRPr="32F7F25D">
        <w:rPr>
          <w:rFonts w:asciiTheme="minorHAnsi" w:eastAsiaTheme="minorEastAsia" w:hAnsiTheme="minorHAnsi" w:cstheme="minorBidi"/>
        </w:rPr>
        <w:t xml:space="preserve">% </w:t>
      </w:r>
      <w:r w:rsidR="00E13B5A">
        <w:rPr>
          <w:rFonts w:asciiTheme="minorHAnsi" w:eastAsiaTheme="minorEastAsia" w:hAnsiTheme="minorHAnsi" w:cstheme="minorBidi"/>
        </w:rPr>
        <w:t xml:space="preserve">in ages 85+ </w:t>
      </w:r>
      <w:r w:rsidRPr="32F7F25D">
        <w:rPr>
          <w:rFonts w:asciiTheme="minorHAnsi" w:eastAsiaTheme="minorEastAsia" w:hAnsiTheme="minorHAnsi" w:cstheme="minorBidi"/>
        </w:rPr>
        <w:t xml:space="preserve">with Maidstone district population generating the largest increases. This implies the need for a broader consistent integrated approach towards </w:t>
      </w:r>
      <w:hyperlink r:id="rId26">
        <w:r w:rsidRPr="32F7F25D">
          <w:rPr>
            <w:rStyle w:val="Hyperlink"/>
            <w:rFonts w:asciiTheme="minorHAnsi" w:eastAsiaTheme="minorEastAsia" w:hAnsiTheme="minorHAnsi" w:cstheme="minorBidi"/>
          </w:rPr>
          <w:t>primary secondary and tertiary prevention</w:t>
        </w:r>
      </w:hyperlink>
      <w:r w:rsidRPr="32F7F25D">
        <w:rPr>
          <w:rFonts w:asciiTheme="minorHAnsi" w:eastAsiaTheme="minorEastAsia" w:hAnsiTheme="minorHAnsi" w:cstheme="minorBidi"/>
        </w:rPr>
        <w:t xml:space="preserve"> for frailty, falls, fracture, multimorbidity and dementia care for the elderly.</w:t>
      </w:r>
    </w:p>
    <w:p w14:paraId="7F9ACED9" w14:textId="0D195ACE" w:rsidR="00E92C3B" w:rsidRDefault="00E92C3B" w:rsidP="00867245">
      <w:pPr>
        <w:pStyle w:val="paragraph"/>
        <w:numPr>
          <w:ilvl w:val="0"/>
          <w:numId w:val="36"/>
        </w:numPr>
        <w:spacing w:before="0" w:beforeAutospacing="0" w:after="0" w:afterAutospacing="0" w:line="276" w:lineRule="auto"/>
        <w:rPr>
          <w:rFonts w:ascii="Calibri" w:eastAsia="Calibri" w:hAnsi="Calibri" w:cs="Calibri"/>
          <w:color w:val="000000" w:themeColor="text1"/>
        </w:rPr>
      </w:pPr>
      <w:r w:rsidRPr="32F7F25D">
        <w:rPr>
          <w:rFonts w:asciiTheme="minorHAnsi" w:eastAsiaTheme="minorEastAsia" w:hAnsiTheme="minorHAnsi" w:cstheme="minorBidi"/>
        </w:rPr>
        <w:t xml:space="preserve">Life expectancy in females has reduced slightly in West Kent over that last 4 years to 83.2. </w:t>
      </w:r>
      <w:r w:rsidRPr="32F7F25D">
        <w:rPr>
          <w:rFonts w:asciiTheme="minorHAnsi" w:eastAsiaTheme="minorEastAsia" w:hAnsiTheme="minorHAnsi" w:cstheme="minorBidi"/>
          <w:color w:val="000000" w:themeColor="text1"/>
        </w:rPr>
        <w:t>Maidstone had lowest average life expectancy of the West Kent districts at 79.9 years. Fortunately, all four West Kent districts are all lower than the Kent average for premature mortality from all causes, with Maidstone district the highest at 308.6 per 100,000 aged 0-74 and Sevenoaks lowest at 275.3 per 100,000. N</w:t>
      </w:r>
      <w:r w:rsidRPr="32F7F25D">
        <w:rPr>
          <w:rFonts w:ascii="Calibri" w:eastAsia="Calibri" w:hAnsi="Calibri" w:cs="Calibri"/>
          <w:color w:val="000000" w:themeColor="text1"/>
        </w:rPr>
        <w:t>et migration is expected to average around 3,300 per year across the 4 districts. West Kent HCP has managed to increase the number of total full time equivalent GPs per 100,000 patients during the four</w:t>
      </w:r>
      <w:r w:rsidR="009810EC" w:rsidRPr="32F7F25D">
        <w:rPr>
          <w:rFonts w:ascii="Calibri" w:eastAsia="Calibri" w:hAnsi="Calibri" w:cs="Calibri"/>
          <w:color w:val="000000" w:themeColor="text1"/>
        </w:rPr>
        <w:t>-</w:t>
      </w:r>
      <w:r w:rsidRPr="32F7F25D">
        <w:rPr>
          <w:rFonts w:ascii="Calibri" w:eastAsia="Calibri" w:hAnsi="Calibri" w:cs="Calibri"/>
          <w:color w:val="000000" w:themeColor="text1"/>
        </w:rPr>
        <w:t>year period September 2018 to August 2022</w:t>
      </w:r>
    </w:p>
    <w:p w14:paraId="70FE55F0" w14:textId="2E101D50" w:rsidR="00E92C3B" w:rsidRPr="00F87705" w:rsidRDefault="00E92C3B" w:rsidP="00867245">
      <w:pPr>
        <w:pStyle w:val="paragraph"/>
        <w:numPr>
          <w:ilvl w:val="0"/>
          <w:numId w:val="36"/>
        </w:numPr>
        <w:spacing w:before="0" w:beforeAutospacing="0" w:after="0" w:afterAutospacing="0" w:line="276" w:lineRule="auto"/>
        <w:rPr>
          <w:rFonts w:asciiTheme="minorHAnsi" w:eastAsiaTheme="minorEastAsia" w:hAnsiTheme="minorHAnsi" w:cstheme="minorBidi"/>
        </w:rPr>
      </w:pPr>
      <w:r w:rsidRPr="32F7F25D">
        <w:rPr>
          <w:rFonts w:asciiTheme="minorHAnsi" w:eastAsiaTheme="minorEastAsia" w:hAnsiTheme="minorHAnsi" w:cstheme="minorBidi"/>
        </w:rPr>
        <w:t xml:space="preserve">Health service demand has since rebounded post COVID creating pressures on the system for winter. Overall health inequalities have persisted (some indicators slightly worsened) as a COVID particularly related to school disruption, learning and unemployment. West Kent districts perform worse than the England average across </w:t>
      </w:r>
      <w:r>
        <w:rPr>
          <w:rFonts w:asciiTheme="minorHAnsi" w:eastAsiaTheme="minorEastAsia" w:hAnsiTheme="minorHAnsi" w:cstheme="minorBidi"/>
        </w:rPr>
        <w:t xml:space="preserve">the following </w:t>
      </w:r>
      <w:r w:rsidRPr="32F7F25D">
        <w:rPr>
          <w:rFonts w:asciiTheme="minorHAnsi" w:eastAsiaTheme="minorEastAsia" w:hAnsiTheme="minorHAnsi" w:cstheme="minorBidi"/>
        </w:rPr>
        <w:t>indicator</w:t>
      </w:r>
      <w:r>
        <w:rPr>
          <w:rFonts w:asciiTheme="minorHAnsi" w:eastAsiaTheme="minorEastAsia" w:hAnsiTheme="minorHAnsi" w:cstheme="minorBidi"/>
        </w:rPr>
        <w:t>s:</w:t>
      </w:r>
      <w:r w:rsidRPr="32F7F25D">
        <w:rPr>
          <w:rFonts w:asciiTheme="minorHAnsi" w:eastAsiaTheme="minorEastAsia" w:hAnsiTheme="minorHAnsi" w:cstheme="minorBidi"/>
        </w:rPr>
        <w:t xml:space="preserve"> </w:t>
      </w:r>
      <w:r w:rsidRPr="00F87705">
        <w:rPr>
          <w:rFonts w:asciiTheme="minorHAnsi" w:eastAsiaTheme="minorEastAsia" w:hAnsiTheme="minorHAnsi" w:cstheme="minorBidi"/>
        </w:rPr>
        <w:t xml:space="preserve">intentional self-harm, diagnosis rates for dementia, Diabetes, and smoking status at time of pregnancy. </w:t>
      </w:r>
    </w:p>
    <w:p w14:paraId="6833C2CF" w14:textId="222883EF" w:rsidR="00E92C3B" w:rsidRDefault="00E92C3B" w:rsidP="00867245">
      <w:pPr>
        <w:pStyle w:val="paragraph"/>
        <w:numPr>
          <w:ilvl w:val="0"/>
          <w:numId w:val="36"/>
        </w:numPr>
        <w:spacing w:before="0" w:beforeAutospacing="0" w:after="0" w:afterAutospacing="0" w:line="276" w:lineRule="auto"/>
        <w:rPr>
          <w:rFonts w:ascii="Calibri" w:eastAsia="Calibri" w:hAnsi="Calibri" w:cs="Calibri"/>
        </w:rPr>
      </w:pPr>
      <w:r w:rsidRPr="32F7F25D">
        <w:rPr>
          <w:rFonts w:ascii="Calibri" w:eastAsia="Calibri" w:hAnsi="Calibri" w:cs="Calibri"/>
          <w:color w:val="000000" w:themeColor="text1"/>
        </w:rPr>
        <w:lastRenderedPageBreak/>
        <w:t xml:space="preserve">In West Kent, obesity and severe obesity have increased in Tonbridge and Malling and Sevenoaks districts since the previous year, alongside similar levels of physical inactivity in these areas. </w:t>
      </w:r>
      <w:r w:rsidRPr="32F7F25D">
        <w:rPr>
          <w:rFonts w:ascii="Calibri" w:eastAsia="Calibri" w:hAnsi="Calibri" w:cs="Calibri"/>
        </w:rPr>
        <w:t xml:space="preserve">Obesity is associated with health inequalities, and a considerable and effective </w:t>
      </w:r>
      <w:hyperlink r:id="rId27">
        <w:r w:rsidRPr="32F7F25D">
          <w:rPr>
            <w:rStyle w:val="Hyperlink"/>
            <w:rFonts w:ascii="Calibri" w:eastAsia="Calibri" w:hAnsi="Calibri" w:cs="Calibri"/>
          </w:rPr>
          <w:t>population-level approach whole systems approach to obesity prevention</w:t>
        </w:r>
      </w:hyperlink>
      <w:r w:rsidRPr="32F7F25D">
        <w:rPr>
          <w:rFonts w:ascii="Calibri" w:eastAsia="Calibri" w:hAnsi="Calibri" w:cs="Calibri"/>
        </w:rPr>
        <w:t xml:space="preserve"> is needed. Addressing the wider determinants of health will not only tackle obesity but could reduce health inequalities and prevent noncommunicable diseases and reduce premature deaths. </w:t>
      </w:r>
      <w:r>
        <w:rPr>
          <w:rFonts w:ascii="Calibri" w:eastAsia="Calibri" w:hAnsi="Calibri" w:cs="Calibri"/>
        </w:rPr>
        <w:t>It is recommended the</w:t>
      </w:r>
      <w:r w:rsidRPr="00E74A09">
        <w:rPr>
          <w:rFonts w:ascii="Calibri" w:eastAsia="Calibri" w:hAnsi="Calibri" w:cs="Calibri"/>
        </w:rPr>
        <w:t xml:space="preserve"> obesity prevention and management plan are incorporated with the West Kent health inequalities strategy</w:t>
      </w:r>
      <w:r w:rsidRPr="32F7F25D">
        <w:rPr>
          <w:rFonts w:ascii="Calibri" w:eastAsia="Calibri" w:hAnsi="Calibri" w:cs="Calibri"/>
        </w:rPr>
        <w:t>.</w:t>
      </w:r>
    </w:p>
    <w:p w14:paraId="24C56B53" w14:textId="52E422C9" w:rsidR="00E92C3B" w:rsidRDefault="00E92C3B" w:rsidP="00867245">
      <w:pPr>
        <w:pStyle w:val="paragraph"/>
        <w:numPr>
          <w:ilvl w:val="0"/>
          <w:numId w:val="36"/>
        </w:numPr>
        <w:spacing w:before="0" w:beforeAutospacing="0" w:after="0" w:afterAutospacing="0" w:line="276" w:lineRule="auto"/>
        <w:rPr>
          <w:rFonts w:ascii="Calibri" w:eastAsia="Calibri" w:hAnsi="Calibri" w:cs="Arial"/>
        </w:rPr>
      </w:pPr>
      <w:r w:rsidRPr="32F7F25D">
        <w:rPr>
          <w:rFonts w:ascii="Calibri" w:eastAsia="Calibri" w:hAnsi="Calibri" w:cs="Arial"/>
        </w:rPr>
        <w:t xml:space="preserve">Most mental </w:t>
      </w:r>
      <w:r w:rsidR="00DE0257">
        <w:rPr>
          <w:rFonts w:ascii="Calibri" w:eastAsia="Calibri" w:hAnsi="Calibri" w:cs="Arial"/>
        </w:rPr>
        <w:t>i</w:t>
      </w:r>
      <w:r w:rsidRPr="32F7F25D">
        <w:rPr>
          <w:rFonts w:ascii="Calibri" w:eastAsia="Calibri" w:hAnsi="Calibri" w:cs="Arial"/>
        </w:rPr>
        <w:t>ll health indicators such as prevalence depression, psychosis, serious mental illness</w:t>
      </w:r>
      <w:r w:rsidR="00B01D88" w:rsidRPr="740CDBE4">
        <w:rPr>
          <w:rFonts w:ascii="Calibri" w:eastAsia="Calibri" w:hAnsi="Calibri" w:cs="Arial"/>
        </w:rPr>
        <w:t>,</w:t>
      </w:r>
      <w:r w:rsidRPr="32F7F25D">
        <w:rPr>
          <w:rFonts w:ascii="Calibri" w:eastAsia="Calibri" w:hAnsi="Calibri" w:cs="Arial"/>
        </w:rPr>
        <w:t xml:space="preserve"> and suicide rates have increased across West Kent</w:t>
      </w:r>
      <w:r w:rsidR="0043794F" w:rsidRPr="32F7F25D">
        <w:rPr>
          <w:rFonts w:ascii="Calibri" w:eastAsia="Calibri" w:hAnsi="Calibri" w:cs="Arial"/>
        </w:rPr>
        <w:t>,</w:t>
      </w:r>
      <w:r w:rsidRPr="32F7F25D">
        <w:rPr>
          <w:rFonts w:ascii="Calibri" w:eastAsia="Calibri" w:hAnsi="Calibri" w:cs="Arial"/>
        </w:rPr>
        <w:t xml:space="preserve"> but most are not significantly different from the Kent or England averages</w:t>
      </w:r>
      <w:r w:rsidR="00982388" w:rsidRPr="758C6DC2">
        <w:rPr>
          <w:rFonts w:ascii="Calibri" w:eastAsia="Calibri" w:hAnsi="Calibri" w:cs="Arial"/>
        </w:rPr>
        <w:t>.</w:t>
      </w:r>
      <w:r w:rsidR="00982388">
        <w:rPr>
          <w:rFonts w:ascii="Calibri" w:eastAsia="Calibri" w:hAnsi="Calibri" w:cs="Arial"/>
        </w:rPr>
        <w:t xml:space="preserve"> T</w:t>
      </w:r>
      <w:r w:rsidRPr="32F7F25D">
        <w:rPr>
          <w:rFonts w:ascii="Calibri" w:eastAsia="Calibri" w:hAnsi="Calibri" w:cs="Arial"/>
        </w:rPr>
        <w:t xml:space="preserve">here is significant variation across </w:t>
      </w:r>
      <w:bookmarkStart w:id="7" w:name="_Int_F9TmKNi0"/>
      <w:r w:rsidRPr="32F7F25D">
        <w:rPr>
          <w:rFonts w:ascii="Calibri" w:eastAsia="Calibri" w:hAnsi="Calibri" w:cs="Arial"/>
        </w:rPr>
        <w:t>PCNs</w:t>
      </w:r>
      <w:bookmarkEnd w:id="7"/>
      <w:r>
        <w:rPr>
          <w:rFonts w:ascii="Calibri" w:eastAsia="Calibri" w:hAnsi="Calibri" w:cs="Arial"/>
        </w:rPr>
        <w:t xml:space="preserve"> but more so in Tunbridge Wells </w:t>
      </w:r>
      <w:bookmarkStart w:id="8" w:name="_Int_qyvelS6g"/>
      <w:r>
        <w:rPr>
          <w:rFonts w:ascii="Calibri" w:eastAsia="Calibri" w:hAnsi="Calibri" w:cs="Arial"/>
        </w:rPr>
        <w:t>PCN</w:t>
      </w:r>
      <w:bookmarkEnd w:id="8"/>
      <w:r>
        <w:rPr>
          <w:rFonts w:ascii="Calibri" w:eastAsia="Calibri" w:hAnsi="Calibri" w:cs="Arial"/>
        </w:rPr>
        <w:t xml:space="preserve"> and for depression in ABC PCN</w:t>
      </w:r>
      <w:r w:rsidRPr="32F7F25D">
        <w:rPr>
          <w:rFonts w:ascii="Calibri" w:eastAsia="Calibri" w:hAnsi="Calibri" w:cs="Arial"/>
        </w:rPr>
        <w:t>.</w:t>
      </w:r>
    </w:p>
    <w:p w14:paraId="44B306C0" w14:textId="77777777" w:rsidR="00E92C3B" w:rsidRDefault="00E92C3B" w:rsidP="00867245">
      <w:pPr>
        <w:pStyle w:val="paragraph"/>
        <w:numPr>
          <w:ilvl w:val="0"/>
          <w:numId w:val="36"/>
        </w:numPr>
        <w:spacing w:before="0" w:beforeAutospacing="0" w:after="0" w:afterAutospacing="0" w:line="276" w:lineRule="auto"/>
        <w:rPr>
          <w:rFonts w:asciiTheme="minorHAnsi" w:eastAsiaTheme="minorEastAsia" w:hAnsiTheme="minorHAnsi" w:cstheme="minorBidi"/>
          <w:color w:val="000000" w:themeColor="text1"/>
        </w:rPr>
      </w:pPr>
      <w:r>
        <w:rPr>
          <w:rFonts w:asciiTheme="minorHAnsi" w:eastAsiaTheme="minorEastAsia" w:hAnsiTheme="minorHAnsi" w:cstheme="minorBidi"/>
          <w:color w:val="000000" w:themeColor="text1"/>
        </w:rPr>
        <w:t xml:space="preserve">The </w:t>
      </w:r>
      <w:r w:rsidRPr="32F7F25D">
        <w:rPr>
          <w:rFonts w:asciiTheme="minorHAnsi" w:eastAsiaTheme="minorEastAsia" w:hAnsiTheme="minorHAnsi" w:cstheme="minorBidi"/>
          <w:color w:val="000000" w:themeColor="text1"/>
        </w:rPr>
        <w:t xml:space="preserve">Maidstone council </w:t>
      </w:r>
      <w:r>
        <w:rPr>
          <w:rFonts w:asciiTheme="minorHAnsi" w:eastAsiaTheme="minorEastAsia" w:hAnsiTheme="minorHAnsi" w:cstheme="minorBidi"/>
          <w:color w:val="000000" w:themeColor="text1"/>
        </w:rPr>
        <w:t xml:space="preserve">area </w:t>
      </w:r>
      <w:r w:rsidRPr="32F7F25D">
        <w:rPr>
          <w:rFonts w:asciiTheme="minorHAnsi" w:eastAsiaTheme="minorEastAsia" w:hAnsiTheme="minorHAnsi" w:cstheme="minorBidi"/>
          <w:color w:val="000000" w:themeColor="text1"/>
        </w:rPr>
        <w:t xml:space="preserve">has the highest diagnostic rates of </w:t>
      </w:r>
      <w:r w:rsidRPr="00B5243D">
        <w:rPr>
          <w:rFonts w:asciiTheme="minorHAnsi" w:eastAsiaTheme="minorEastAsia" w:hAnsiTheme="minorHAnsi" w:cstheme="minorBidi"/>
          <w:color w:val="000000" w:themeColor="text1"/>
        </w:rPr>
        <w:t>STIs and teenage pregnancy rates</w:t>
      </w:r>
      <w:r w:rsidRPr="32F7F25D">
        <w:rPr>
          <w:rFonts w:asciiTheme="minorHAnsi" w:eastAsiaTheme="minorEastAsia" w:hAnsiTheme="minorHAnsi" w:cstheme="minorBidi"/>
          <w:color w:val="000000" w:themeColor="text1"/>
        </w:rPr>
        <w:t xml:space="preserve"> in West Kent, but screening and testing levels have still not reached pre-pandemic levels.</w:t>
      </w:r>
    </w:p>
    <w:p w14:paraId="2316C50D" w14:textId="2D871B45" w:rsidR="00E92C3B" w:rsidRDefault="00E92C3B" w:rsidP="045A98DE">
      <w:pPr>
        <w:pStyle w:val="paragraph"/>
        <w:numPr>
          <w:ilvl w:val="0"/>
          <w:numId w:val="36"/>
        </w:numPr>
        <w:spacing w:before="0" w:beforeAutospacing="0" w:after="0" w:afterAutospacing="0" w:line="276" w:lineRule="auto"/>
        <w:rPr>
          <w:rFonts w:asciiTheme="minorHAnsi" w:eastAsiaTheme="minorEastAsia" w:hAnsiTheme="minorHAnsi" w:cstheme="minorBidi"/>
          <w:color w:val="000000" w:themeColor="text1"/>
        </w:rPr>
      </w:pPr>
      <w:r w:rsidRPr="045A98DE">
        <w:rPr>
          <w:rFonts w:asciiTheme="minorHAnsi" w:eastAsiaTheme="minorEastAsia" w:hAnsiTheme="minorHAnsi" w:cstheme="minorBidi"/>
          <w:color w:val="000000" w:themeColor="text1"/>
        </w:rPr>
        <w:t xml:space="preserve">Learning disabilities (LD) such as Autism Spectrum Condition (ASC) and Attention Deficit Hyperactivity Disorder (ADHD) diagnostic and prescribing services continue to face significant capacity issues due to large waiting lists and a surge in demand resulting in long wait times for some patients, </w:t>
      </w:r>
      <w:bookmarkStart w:id="9" w:name="_Int_AwRzFIfw"/>
      <w:r w:rsidRPr="045A98DE">
        <w:rPr>
          <w:rFonts w:asciiTheme="minorHAnsi" w:eastAsiaTheme="minorEastAsia" w:hAnsiTheme="minorHAnsi" w:cstheme="minorBidi"/>
          <w:color w:val="000000" w:themeColor="text1"/>
        </w:rPr>
        <w:t>similar to</w:t>
      </w:r>
      <w:bookmarkEnd w:id="9"/>
      <w:r w:rsidRPr="045A98DE">
        <w:rPr>
          <w:rFonts w:asciiTheme="minorHAnsi" w:eastAsiaTheme="minorEastAsia" w:hAnsiTheme="minorHAnsi" w:cstheme="minorBidi"/>
          <w:color w:val="000000" w:themeColor="text1"/>
        </w:rPr>
        <w:t xml:space="preserve"> pre-pandemic levels. If unchecked waiting lists are projected hit more than 27,000 by 2025. Up to 20% of people with LD have underlying conditions such as Epilepsy and Depression, picked up during Health Check. In </w:t>
      </w:r>
      <w:r w:rsidR="00C10943" w:rsidRPr="045A98DE">
        <w:rPr>
          <w:rFonts w:asciiTheme="minorHAnsi" w:eastAsiaTheme="minorEastAsia" w:hAnsiTheme="minorHAnsi" w:cstheme="minorBidi"/>
          <w:color w:val="000000" w:themeColor="text1"/>
        </w:rPr>
        <w:t>the</w:t>
      </w:r>
      <w:r w:rsidRPr="045A98DE">
        <w:rPr>
          <w:rFonts w:asciiTheme="minorHAnsi" w:eastAsiaTheme="minorEastAsia" w:hAnsiTheme="minorHAnsi" w:cstheme="minorBidi"/>
          <w:color w:val="000000" w:themeColor="text1"/>
        </w:rPr>
        <w:t xml:space="preserve"> West Kent HCP area just under 60% of patients with LD have had a Health Check in 2021/22.</w:t>
      </w:r>
    </w:p>
    <w:p w14:paraId="0F50583A" w14:textId="7898B348" w:rsidR="00E92C3B" w:rsidRPr="00867245" w:rsidRDefault="00E92C3B" w:rsidP="00867245">
      <w:pPr>
        <w:pStyle w:val="ListParagraph"/>
        <w:numPr>
          <w:ilvl w:val="0"/>
          <w:numId w:val="36"/>
        </w:numPr>
        <w:rPr>
          <w:rFonts w:ascii="Calibri" w:eastAsia="Calibri" w:hAnsi="Calibri" w:cs="Calibri"/>
          <w:color w:val="000000" w:themeColor="text1"/>
          <w:sz w:val="24"/>
          <w:szCs w:val="24"/>
        </w:rPr>
      </w:pPr>
      <w:r w:rsidRPr="640406B7">
        <w:rPr>
          <w:rFonts w:eastAsiaTheme="minorEastAsia"/>
          <w:color w:val="000000" w:themeColor="text1"/>
          <w:sz w:val="24"/>
          <w:szCs w:val="24"/>
        </w:rPr>
        <w:t xml:space="preserve">Universal claimant counts across West Kent have since fallen back to pre-pandemic levels but there is significant variation by ward for each district. Local authority housing registers have been steadily declining and now fallen to their lowest levels in 20 years. </w:t>
      </w:r>
      <w:r w:rsidRPr="640406B7">
        <w:rPr>
          <w:sz w:val="24"/>
          <w:szCs w:val="24"/>
        </w:rPr>
        <w:t>The Housing Register is important as an indication of housing need as determined by the local authority using their eligibility criteria.</w:t>
      </w:r>
      <w:r w:rsidRPr="640406B7">
        <w:rPr>
          <w:rFonts w:eastAsiaTheme="minorEastAsia"/>
          <w:color w:val="000000" w:themeColor="text1"/>
          <w:sz w:val="24"/>
          <w:szCs w:val="24"/>
        </w:rPr>
        <w:t xml:space="preserve"> </w:t>
      </w:r>
      <w:r w:rsidRPr="640406B7">
        <w:rPr>
          <w:rFonts w:ascii="Calibri" w:eastAsia="Calibri" w:hAnsi="Calibri" w:cs="Calibri"/>
          <w:color w:val="000000" w:themeColor="text1"/>
          <w:sz w:val="24"/>
          <w:szCs w:val="24"/>
        </w:rPr>
        <w:t>Heating bills are rising significantly and whilst Government support is in place it is expected to be modified in 2023. Lower income households are more likely to respond to higher energy prices by cutting energy use below safe levels. This could have direct implications for the up</w:t>
      </w:r>
      <w:r w:rsidR="78239595" w:rsidRPr="640406B7">
        <w:rPr>
          <w:rFonts w:ascii="Calibri" w:eastAsia="Calibri" w:hAnsi="Calibri" w:cs="Calibri"/>
          <w:color w:val="000000" w:themeColor="text1"/>
          <w:sz w:val="24"/>
          <w:szCs w:val="24"/>
        </w:rPr>
        <w:t>-</w:t>
      </w:r>
      <w:r w:rsidRPr="640406B7">
        <w:rPr>
          <w:rFonts w:ascii="Calibri" w:eastAsia="Calibri" w:hAnsi="Calibri" w:cs="Calibri"/>
          <w:color w:val="000000" w:themeColor="text1"/>
          <w:sz w:val="24"/>
          <w:szCs w:val="24"/>
        </w:rPr>
        <w:t>and</w:t>
      </w:r>
      <w:r w:rsidR="78239595" w:rsidRPr="640406B7">
        <w:rPr>
          <w:rFonts w:ascii="Calibri" w:eastAsia="Calibri" w:hAnsi="Calibri" w:cs="Calibri"/>
          <w:color w:val="000000" w:themeColor="text1"/>
          <w:sz w:val="24"/>
          <w:szCs w:val="24"/>
        </w:rPr>
        <w:t>-</w:t>
      </w:r>
      <w:r w:rsidRPr="640406B7">
        <w:rPr>
          <w:rFonts w:ascii="Calibri" w:eastAsia="Calibri" w:hAnsi="Calibri" w:cs="Calibri"/>
          <w:color w:val="000000" w:themeColor="text1"/>
          <w:sz w:val="24"/>
          <w:szCs w:val="24"/>
        </w:rPr>
        <w:t xml:space="preserve">coming winter of </w:t>
      </w:r>
      <w:r w:rsidR="00713D03" w:rsidRPr="640406B7">
        <w:rPr>
          <w:rFonts w:ascii="Calibri" w:eastAsia="Calibri" w:hAnsi="Calibri" w:cs="Calibri"/>
          <w:color w:val="000000" w:themeColor="text1"/>
          <w:sz w:val="24"/>
          <w:szCs w:val="24"/>
        </w:rPr>
        <w:t>2022</w:t>
      </w:r>
      <w:r w:rsidRPr="640406B7">
        <w:rPr>
          <w:rFonts w:ascii="Calibri" w:eastAsia="Calibri" w:hAnsi="Calibri" w:cs="Calibri"/>
          <w:color w:val="000000" w:themeColor="text1"/>
          <w:sz w:val="24"/>
          <w:szCs w:val="24"/>
        </w:rPr>
        <w:t>/23. An estimated 21.5% of all excess winter deaths can be attributed due to homes being cold</w:t>
      </w:r>
      <w:r w:rsidR="61689561" w:rsidRPr="640406B7">
        <w:rPr>
          <w:rFonts w:ascii="Calibri" w:eastAsia="Calibri" w:hAnsi="Calibri" w:cs="Calibri"/>
          <w:color w:val="000000" w:themeColor="text1"/>
          <w:sz w:val="24"/>
          <w:szCs w:val="24"/>
        </w:rPr>
        <w:t xml:space="preserve"> </w:t>
      </w:r>
      <w:r w:rsidR="61689561" w:rsidRPr="640406B7">
        <w:rPr>
          <w:rFonts w:ascii="Calibri" w:eastAsia="Calibri" w:hAnsi="Calibri" w:cs="Calibri"/>
        </w:rPr>
        <w:t>(Fuel poverty and cold home-related health problems PHE 2014)</w:t>
      </w:r>
    </w:p>
    <w:p w14:paraId="73D24BE5" w14:textId="7AD3D295" w:rsidR="00E92C3B" w:rsidRPr="00867245" w:rsidRDefault="00E92C3B" w:rsidP="00867245">
      <w:pPr>
        <w:pStyle w:val="ListParagraph"/>
        <w:numPr>
          <w:ilvl w:val="0"/>
          <w:numId w:val="36"/>
        </w:numPr>
        <w:rPr>
          <w:rFonts w:ascii="Calibri" w:eastAsia="Calibri" w:hAnsi="Calibri" w:cs="Calibri"/>
          <w:color w:val="000000" w:themeColor="text1"/>
          <w:sz w:val="24"/>
          <w:szCs w:val="24"/>
        </w:rPr>
      </w:pPr>
      <w:r w:rsidRPr="640406B7">
        <w:rPr>
          <w:rFonts w:ascii="Calibri" w:eastAsia="Calibri" w:hAnsi="Calibri" w:cs="Calibri"/>
          <w:color w:val="000000" w:themeColor="text1"/>
          <w:sz w:val="24"/>
          <w:szCs w:val="24"/>
        </w:rPr>
        <w:t>Death rates could rise 2.8% for every Celsius degree drop in the external temperature for those in the coldest 10% of homes compared with the 0.9% in the warmest homes.</w:t>
      </w:r>
    </w:p>
    <w:p w14:paraId="65B6806F" w14:textId="77777777" w:rsidR="00E92C3B" w:rsidRDefault="00E92C3B" w:rsidP="00867245">
      <w:pPr>
        <w:pStyle w:val="Heading2"/>
        <w:rPr>
          <w:rFonts w:eastAsiaTheme="minorEastAsia"/>
        </w:rPr>
      </w:pPr>
      <w:bookmarkStart w:id="10" w:name="_Toc128133792"/>
      <w:r w:rsidRPr="32F7F25D">
        <w:rPr>
          <w:rFonts w:eastAsiaTheme="minorEastAsia"/>
        </w:rPr>
        <w:t>JSNA Cohort model simulation outputs</w:t>
      </w:r>
      <w:bookmarkEnd w:id="10"/>
    </w:p>
    <w:p w14:paraId="256A0010" w14:textId="77777777" w:rsidR="00E92C3B" w:rsidRDefault="00E92C3B" w:rsidP="00867245">
      <w:pPr>
        <w:pStyle w:val="paragraph"/>
        <w:numPr>
          <w:ilvl w:val="0"/>
          <w:numId w:val="35"/>
        </w:numPr>
        <w:spacing w:before="0" w:beforeAutospacing="0" w:after="0" w:afterAutospacing="0" w:line="276" w:lineRule="auto"/>
        <w:rPr>
          <w:rFonts w:asciiTheme="minorHAnsi" w:hAnsiTheme="minorHAnsi" w:cstheme="minorBidi"/>
        </w:rPr>
      </w:pPr>
      <w:r w:rsidRPr="32F7F25D">
        <w:rPr>
          <w:rFonts w:asciiTheme="minorHAnsi" w:hAnsiTheme="minorHAnsi" w:cstheme="minorBidi"/>
        </w:rPr>
        <w:t>The factors contributing to demographic change, and therefore to the shape of future health needs, include:</w:t>
      </w:r>
    </w:p>
    <w:p w14:paraId="6E912234" w14:textId="77777777" w:rsidR="00E92C3B" w:rsidRDefault="00E92C3B" w:rsidP="00867245">
      <w:pPr>
        <w:pStyle w:val="paragraph"/>
        <w:numPr>
          <w:ilvl w:val="1"/>
          <w:numId w:val="35"/>
        </w:numPr>
        <w:spacing w:before="0" w:beforeAutospacing="0" w:after="0" w:afterAutospacing="0" w:line="276" w:lineRule="auto"/>
        <w:rPr>
          <w:rFonts w:asciiTheme="minorHAnsi" w:hAnsiTheme="minorHAnsi" w:cstheme="minorBidi"/>
        </w:rPr>
      </w:pPr>
      <w:r w:rsidRPr="32F7F25D">
        <w:rPr>
          <w:rFonts w:asciiTheme="minorHAnsi" w:hAnsiTheme="minorHAnsi" w:cstheme="minorBidi"/>
        </w:rPr>
        <w:lastRenderedPageBreak/>
        <w:t xml:space="preserve">Natural demographic growth contributing to the ageing process leading to increases in the </w:t>
      </w:r>
      <w:bookmarkStart w:id="11" w:name="_Int_AMDz4aYv"/>
      <w:r w:rsidRPr="32F7F25D">
        <w:rPr>
          <w:rFonts w:asciiTheme="minorHAnsi" w:hAnsiTheme="minorHAnsi" w:cstheme="minorBidi"/>
        </w:rPr>
        <w:t>very old</w:t>
      </w:r>
      <w:bookmarkEnd w:id="11"/>
      <w:r w:rsidRPr="32F7F25D">
        <w:rPr>
          <w:rFonts w:asciiTheme="minorHAnsi" w:hAnsiTheme="minorHAnsi" w:cstheme="minorBidi"/>
        </w:rPr>
        <w:t xml:space="preserve"> who are likely to be frail.</w:t>
      </w:r>
    </w:p>
    <w:p w14:paraId="50DA0E2A" w14:textId="4E55265D" w:rsidR="00E92C3B" w:rsidRDefault="00E92C3B" w:rsidP="00867245">
      <w:pPr>
        <w:pStyle w:val="paragraph"/>
        <w:numPr>
          <w:ilvl w:val="1"/>
          <w:numId w:val="35"/>
        </w:numPr>
        <w:spacing w:before="0" w:beforeAutospacing="0" w:after="0" w:afterAutospacing="0" w:line="276" w:lineRule="auto"/>
        <w:rPr>
          <w:rFonts w:asciiTheme="minorHAnsi" w:hAnsiTheme="minorHAnsi" w:cstheme="minorBidi"/>
        </w:rPr>
      </w:pPr>
      <w:r w:rsidRPr="32F7F25D">
        <w:rPr>
          <w:rFonts w:asciiTheme="minorHAnsi" w:hAnsiTheme="minorHAnsi" w:cstheme="minorBidi"/>
        </w:rPr>
        <w:t xml:space="preserve">Net-migration in the short term </w:t>
      </w:r>
      <w:r w:rsidR="0029614F" w:rsidRPr="5BDBAB56">
        <w:rPr>
          <w:rFonts w:asciiTheme="minorHAnsi" w:hAnsiTheme="minorHAnsi" w:cstheme="minorBidi"/>
        </w:rPr>
        <w:t>tends</w:t>
      </w:r>
      <w:r w:rsidR="0029614F">
        <w:rPr>
          <w:rFonts w:asciiTheme="minorHAnsi" w:hAnsiTheme="minorHAnsi" w:cstheme="minorBidi"/>
        </w:rPr>
        <w:t xml:space="preserve"> to be </w:t>
      </w:r>
      <w:r w:rsidR="000057E8">
        <w:rPr>
          <w:rFonts w:asciiTheme="minorHAnsi" w:hAnsiTheme="minorHAnsi" w:cstheme="minorBidi"/>
        </w:rPr>
        <w:t xml:space="preserve">a </w:t>
      </w:r>
      <w:r w:rsidR="0029614F">
        <w:rPr>
          <w:rFonts w:asciiTheme="minorHAnsi" w:hAnsiTheme="minorHAnsi" w:cstheme="minorBidi"/>
        </w:rPr>
        <w:t>younger</w:t>
      </w:r>
      <w:r w:rsidR="000057E8">
        <w:rPr>
          <w:rFonts w:asciiTheme="minorHAnsi" w:hAnsiTheme="minorHAnsi" w:cstheme="minorBidi"/>
        </w:rPr>
        <w:t>,</w:t>
      </w:r>
      <w:r w:rsidRPr="32F7F25D">
        <w:rPr>
          <w:rFonts w:asciiTheme="minorHAnsi" w:hAnsiTheme="minorHAnsi" w:cstheme="minorBidi"/>
        </w:rPr>
        <w:t xml:space="preserve"> and therefore overall </w:t>
      </w:r>
      <w:r w:rsidRPr="5BDBAB56">
        <w:rPr>
          <w:rFonts w:asciiTheme="minorHAnsi" w:hAnsiTheme="minorHAnsi" w:cstheme="minorBidi"/>
        </w:rPr>
        <w:t>health</w:t>
      </w:r>
      <w:r w:rsidR="0029614F" w:rsidRPr="5BDBAB56">
        <w:rPr>
          <w:rFonts w:asciiTheme="minorHAnsi" w:hAnsiTheme="minorHAnsi" w:cstheme="minorBidi"/>
        </w:rPr>
        <w:t>ier</w:t>
      </w:r>
      <w:r w:rsidR="000057E8">
        <w:rPr>
          <w:rFonts w:asciiTheme="minorHAnsi" w:hAnsiTheme="minorHAnsi" w:cstheme="minorBidi"/>
        </w:rPr>
        <w:t>,</w:t>
      </w:r>
      <w:r w:rsidR="0029614F">
        <w:rPr>
          <w:rFonts w:asciiTheme="minorHAnsi" w:hAnsiTheme="minorHAnsi" w:cstheme="minorBidi"/>
        </w:rPr>
        <w:t xml:space="preserve"> demographic.</w:t>
      </w:r>
      <w:r w:rsidRPr="32F7F25D">
        <w:rPr>
          <w:rFonts w:asciiTheme="minorHAnsi" w:hAnsiTheme="minorHAnsi" w:cstheme="minorBidi"/>
        </w:rPr>
        <w:t xml:space="preserve"> </w:t>
      </w:r>
    </w:p>
    <w:p w14:paraId="585E430A" w14:textId="31A4D381" w:rsidR="00E92C3B" w:rsidRDefault="00E92C3B" w:rsidP="00867245">
      <w:pPr>
        <w:pStyle w:val="paragraph"/>
        <w:numPr>
          <w:ilvl w:val="1"/>
          <w:numId w:val="35"/>
        </w:numPr>
        <w:spacing w:before="0" w:beforeAutospacing="0" w:after="0" w:afterAutospacing="0" w:line="276" w:lineRule="auto"/>
        <w:rPr>
          <w:rFonts w:asciiTheme="minorHAnsi" w:hAnsiTheme="minorHAnsi" w:cstheme="minorBidi"/>
        </w:rPr>
      </w:pPr>
      <w:r w:rsidRPr="32F7F25D">
        <w:rPr>
          <w:rFonts w:asciiTheme="minorHAnsi" w:hAnsiTheme="minorHAnsi" w:cstheme="minorBidi"/>
        </w:rPr>
        <w:t>Prevalence of risk factors impacting on incidence of specific health conditions, leading to an increase in people with specific or multiple conditions</w:t>
      </w:r>
      <w:r w:rsidR="00447D42">
        <w:rPr>
          <w:rFonts w:asciiTheme="minorHAnsi" w:hAnsiTheme="minorHAnsi" w:cstheme="minorBidi"/>
        </w:rPr>
        <w:t>.</w:t>
      </w:r>
      <w:r w:rsidRPr="32F7F25D">
        <w:rPr>
          <w:rFonts w:asciiTheme="minorHAnsi" w:hAnsiTheme="minorHAnsi" w:cstheme="minorBidi"/>
        </w:rPr>
        <w:t xml:space="preserve"> </w:t>
      </w:r>
    </w:p>
    <w:p w14:paraId="333EB20C" w14:textId="0A593C0B" w:rsidR="00E92C3B" w:rsidRDefault="00E92C3B" w:rsidP="640406B7">
      <w:pPr>
        <w:pStyle w:val="paragraph"/>
        <w:numPr>
          <w:ilvl w:val="1"/>
          <w:numId w:val="35"/>
        </w:numPr>
        <w:spacing w:before="0" w:beforeAutospacing="0" w:after="0" w:afterAutospacing="0" w:line="276" w:lineRule="auto"/>
        <w:rPr>
          <w:rFonts w:asciiTheme="minorHAnsi" w:hAnsiTheme="minorHAnsi" w:cstheme="minorBidi"/>
        </w:rPr>
      </w:pPr>
      <w:r w:rsidRPr="640406B7">
        <w:rPr>
          <w:rFonts w:asciiTheme="minorHAnsi" w:hAnsiTheme="minorHAnsi" w:cstheme="minorBidi"/>
        </w:rPr>
        <w:t>Underlying risk factors continuing to have a positive impact on health outcomes – annual year on year 0.5% reduction in smoking prevalence, reduction in harmful alcohol intake and ACE reductions alongside reversal of rising levels of obesity through a combination of national and local interventions.</w:t>
      </w:r>
    </w:p>
    <w:p w14:paraId="074140EB" w14:textId="6D6636D0" w:rsidR="00E92C3B" w:rsidRDefault="00E92C3B" w:rsidP="640406B7">
      <w:pPr>
        <w:pStyle w:val="paragraph"/>
        <w:numPr>
          <w:ilvl w:val="0"/>
          <w:numId w:val="35"/>
        </w:numPr>
        <w:spacing w:before="0" w:beforeAutospacing="0" w:after="0" w:afterAutospacing="0" w:line="276" w:lineRule="auto"/>
        <w:rPr>
          <w:rFonts w:asciiTheme="minorHAnsi" w:hAnsiTheme="minorHAnsi" w:cstheme="minorBidi"/>
        </w:rPr>
      </w:pPr>
      <w:r w:rsidRPr="640406B7">
        <w:rPr>
          <w:rFonts w:asciiTheme="minorHAnsi" w:hAnsiTheme="minorHAnsi" w:cstheme="minorBidi"/>
        </w:rPr>
        <w:t xml:space="preserve">The relative contribution of the different assumptions </w:t>
      </w:r>
      <w:r w:rsidR="43F7F104" w:rsidRPr="640406B7">
        <w:rPr>
          <w:rFonts w:ascii="Calibri" w:eastAsia="Calibri" w:hAnsi="Calibri" w:cs="Calibri"/>
          <w:color w:val="202124"/>
        </w:rPr>
        <w:t>implicit in</w:t>
      </w:r>
      <w:r w:rsidRPr="640406B7">
        <w:rPr>
          <w:rFonts w:asciiTheme="minorHAnsi" w:hAnsiTheme="minorHAnsi" w:cstheme="minorBidi"/>
        </w:rPr>
        <w:t xml:space="preserve"> best case scenario suggest that: </w:t>
      </w:r>
    </w:p>
    <w:p w14:paraId="6D642094" w14:textId="77777777" w:rsidR="00E92C3B" w:rsidRDefault="00E92C3B" w:rsidP="00867245">
      <w:pPr>
        <w:pStyle w:val="paragraph"/>
        <w:numPr>
          <w:ilvl w:val="1"/>
          <w:numId w:val="35"/>
        </w:numPr>
        <w:spacing w:before="0" w:beforeAutospacing="0" w:after="0" w:afterAutospacing="0" w:line="276" w:lineRule="auto"/>
        <w:rPr>
          <w:rFonts w:asciiTheme="minorHAnsi" w:eastAsiaTheme="minorEastAsia" w:hAnsiTheme="minorHAnsi" w:cstheme="minorBidi"/>
        </w:rPr>
      </w:pPr>
      <w:r w:rsidRPr="347D5DEF">
        <w:rPr>
          <w:rFonts w:asciiTheme="minorHAnsi" w:eastAsiaTheme="minorEastAsia" w:hAnsiTheme="minorHAnsi" w:cstheme="minorBidi"/>
        </w:rPr>
        <w:t>The benefits of reduced levels of smoking continue to increase over the next 25 years, but also because the benefits of having given up, or preferably never having started to smoke, are often only fully realised in later life.</w:t>
      </w:r>
    </w:p>
    <w:p w14:paraId="3542CA39" w14:textId="77777777" w:rsidR="00E92C3B" w:rsidRDefault="00E92C3B" w:rsidP="00867245">
      <w:pPr>
        <w:pStyle w:val="paragraph"/>
        <w:numPr>
          <w:ilvl w:val="1"/>
          <w:numId w:val="35"/>
        </w:numPr>
        <w:spacing w:before="0" w:beforeAutospacing="0" w:after="0" w:afterAutospacing="0" w:line="276" w:lineRule="auto"/>
        <w:rPr>
          <w:rFonts w:asciiTheme="minorHAnsi" w:eastAsiaTheme="minorEastAsia" w:hAnsiTheme="minorHAnsi" w:cstheme="minorBidi"/>
        </w:rPr>
      </w:pPr>
      <w:r w:rsidRPr="347D5DEF">
        <w:rPr>
          <w:rFonts w:asciiTheme="minorHAnsi" w:eastAsiaTheme="minorEastAsia" w:hAnsiTheme="minorHAnsi" w:cstheme="minorBidi"/>
        </w:rPr>
        <w:t xml:space="preserve">However, prevalence of health conditions in the population continues to rise as a proportion of the </w:t>
      </w:r>
      <w:bookmarkStart w:id="12" w:name="_Int_aBQqpezX"/>
      <w:r w:rsidRPr="347D5DEF">
        <w:rPr>
          <w:rFonts w:asciiTheme="minorHAnsi" w:eastAsiaTheme="minorEastAsia" w:hAnsiTheme="minorHAnsi" w:cstheme="minorBidi"/>
        </w:rPr>
        <w:t>whole population</w:t>
      </w:r>
      <w:bookmarkEnd w:id="12"/>
      <w:r w:rsidRPr="347D5DEF">
        <w:rPr>
          <w:rFonts w:asciiTheme="minorHAnsi" w:eastAsiaTheme="minorEastAsia" w:hAnsiTheme="minorHAnsi" w:cstheme="minorBidi"/>
        </w:rPr>
        <w:t xml:space="preserve">. </w:t>
      </w:r>
    </w:p>
    <w:p w14:paraId="5E54BB4E" w14:textId="28694C7D" w:rsidR="00E92C3B" w:rsidRDefault="00E92C3B" w:rsidP="640406B7">
      <w:pPr>
        <w:pStyle w:val="paragraph"/>
        <w:numPr>
          <w:ilvl w:val="1"/>
          <w:numId w:val="35"/>
        </w:numPr>
        <w:spacing w:before="0" w:beforeAutospacing="0" w:after="0" w:afterAutospacing="0" w:line="276" w:lineRule="auto"/>
        <w:rPr>
          <w:rFonts w:asciiTheme="minorHAnsi" w:eastAsiaTheme="minorEastAsia" w:hAnsiTheme="minorHAnsi" w:cstheme="minorBidi"/>
        </w:rPr>
      </w:pPr>
      <w:r w:rsidRPr="640406B7">
        <w:rPr>
          <w:rFonts w:asciiTheme="minorHAnsi" w:eastAsiaTheme="minorEastAsia" w:hAnsiTheme="minorHAnsi" w:cstheme="minorBidi"/>
        </w:rPr>
        <w:t>The addition of reduced levels of obesity, hazardous and harmful drinking and improvements in adverse childhood experiences further reduce the levels of, at a population level.</w:t>
      </w:r>
    </w:p>
    <w:p w14:paraId="73A28DED" w14:textId="5897EC9D" w:rsidR="00E92C3B" w:rsidRDefault="00E92C3B" w:rsidP="640406B7">
      <w:pPr>
        <w:pStyle w:val="paragraph"/>
        <w:numPr>
          <w:ilvl w:val="1"/>
          <w:numId w:val="35"/>
        </w:numPr>
        <w:spacing w:before="0" w:beforeAutospacing="0" w:after="0" w:afterAutospacing="0" w:line="276" w:lineRule="auto"/>
        <w:rPr>
          <w:rFonts w:asciiTheme="minorHAnsi" w:eastAsiaTheme="minorEastAsia" w:hAnsiTheme="minorHAnsi" w:cstheme="minorBidi"/>
        </w:rPr>
      </w:pPr>
      <w:r w:rsidRPr="640406B7">
        <w:rPr>
          <w:rFonts w:asciiTheme="minorHAnsi" w:eastAsiaTheme="minorEastAsia" w:hAnsiTheme="minorHAnsi" w:cstheme="minorBidi"/>
        </w:rPr>
        <w:t xml:space="preserve">There is </w:t>
      </w:r>
      <w:bookmarkStart w:id="13" w:name="_Int_GeXiIkQP"/>
      <w:r w:rsidRPr="640406B7">
        <w:rPr>
          <w:rFonts w:asciiTheme="minorHAnsi" w:eastAsiaTheme="minorEastAsia" w:hAnsiTheme="minorHAnsi" w:cstheme="minorBidi"/>
        </w:rPr>
        <w:t>approximately a</w:t>
      </w:r>
      <w:bookmarkEnd w:id="13"/>
      <w:r w:rsidRPr="640406B7">
        <w:rPr>
          <w:rFonts w:asciiTheme="minorHAnsi" w:eastAsiaTheme="minorEastAsia" w:hAnsiTheme="minorHAnsi" w:cstheme="minorBidi"/>
        </w:rPr>
        <w:t xml:space="preserve"> 0.3% reduction in frailty when assessing the impact of improvements in all four risk factors. However, frailty will continue to increase significantly, by 40% between 2018 and 2043</w:t>
      </w:r>
      <w:r w:rsidR="3E158CC2" w:rsidRPr="640406B7">
        <w:rPr>
          <w:rFonts w:asciiTheme="minorHAnsi" w:eastAsiaTheme="minorEastAsia" w:hAnsiTheme="minorHAnsi" w:cstheme="minorBidi"/>
        </w:rPr>
        <w:t xml:space="preserve"> due to an ageing population.</w:t>
      </w:r>
      <w:r w:rsidRPr="640406B7">
        <w:rPr>
          <w:rFonts w:asciiTheme="minorHAnsi" w:eastAsiaTheme="minorEastAsia" w:hAnsiTheme="minorHAnsi" w:cstheme="minorBidi"/>
        </w:rPr>
        <w:t xml:space="preserve"> The ‘best case’ in the longer term is to see the numbers who have a health condition increase, particularly in the multiple condition and frail cohorts. However, the impact of all 4 interventions combined would see the growth for multiple conditions slow from 2030 onwards.</w:t>
      </w:r>
    </w:p>
    <w:p w14:paraId="3E2BC132" w14:textId="77777777" w:rsidR="00E92C3B" w:rsidRDefault="00E92C3B" w:rsidP="00867245">
      <w:pPr>
        <w:pStyle w:val="Heading2"/>
      </w:pPr>
      <w:bookmarkStart w:id="14" w:name="_Toc128133793"/>
      <w:r w:rsidRPr="32F7F25D">
        <w:t>Stakeholder Voice</w:t>
      </w:r>
      <w:bookmarkEnd w:id="14"/>
    </w:p>
    <w:p w14:paraId="2F9F7DFF" w14:textId="318C8C50" w:rsidR="00E92C3B" w:rsidRDefault="00E92C3B" w:rsidP="045A98DE">
      <w:pPr>
        <w:pStyle w:val="BodyText"/>
        <w:numPr>
          <w:ilvl w:val="0"/>
          <w:numId w:val="34"/>
        </w:numPr>
        <w:spacing w:before="60" w:line="276" w:lineRule="auto"/>
        <w:jc w:val="left"/>
        <w:rPr>
          <w:rFonts w:asciiTheme="minorHAnsi" w:hAnsiTheme="minorHAnsi" w:cstheme="minorBidi"/>
          <w:sz w:val="24"/>
          <w:szCs w:val="24"/>
        </w:rPr>
      </w:pPr>
      <w:r w:rsidRPr="045A98DE">
        <w:rPr>
          <w:rFonts w:asciiTheme="minorHAnsi" w:hAnsiTheme="minorHAnsi" w:cstheme="minorBidi"/>
          <w:sz w:val="24"/>
          <w:szCs w:val="24"/>
        </w:rPr>
        <w:t>‘</w:t>
      </w:r>
      <w:hyperlink r:id="rId28">
        <w:r w:rsidR="026368E7" w:rsidRPr="045A98DE">
          <w:rPr>
            <w:rStyle w:val="Hyperlink"/>
            <w:rFonts w:asciiTheme="minorHAnsi" w:hAnsiTheme="minorHAnsi" w:cstheme="minorBidi"/>
            <w:sz w:val="24"/>
            <w:szCs w:val="24"/>
          </w:rPr>
          <w:t>Kent and Medway Listens</w:t>
        </w:r>
      </w:hyperlink>
      <w:r w:rsidRPr="045A98DE">
        <w:rPr>
          <w:rFonts w:asciiTheme="minorHAnsi" w:hAnsiTheme="minorHAnsi" w:cstheme="minorBidi"/>
          <w:sz w:val="24"/>
          <w:szCs w:val="24"/>
        </w:rPr>
        <w:t xml:space="preserve">’ </w:t>
      </w:r>
      <w:bookmarkStart w:id="15" w:name="_Int_VwRzYbI4"/>
      <w:r w:rsidRPr="045A98DE">
        <w:rPr>
          <w:rFonts w:asciiTheme="minorHAnsi" w:hAnsiTheme="minorHAnsi" w:cstheme="minorBidi"/>
          <w:sz w:val="24"/>
          <w:szCs w:val="24"/>
        </w:rPr>
        <w:t>is</w:t>
      </w:r>
      <w:bookmarkEnd w:id="15"/>
      <w:r w:rsidRPr="045A98DE">
        <w:rPr>
          <w:rFonts w:asciiTheme="minorHAnsi" w:hAnsiTheme="minorHAnsi" w:cstheme="minorBidi"/>
          <w:sz w:val="24"/>
          <w:szCs w:val="24"/>
        </w:rPr>
        <w:t xml:space="preserve"> an engagement project set up over the last year by KCC, Medway Council and Kent &amp; Medway Partnership NHS Trust involving almost 4000 participants across Kent and Medway to understand the pressures impacting mental wellbeing of the local population, particularly seldom heard communities. Involve Kent managed the West Kent aspects of the survey.</w:t>
      </w:r>
    </w:p>
    <w:p w14:paraId="14B16985" w14:textId="77777777" w:rsidR="00E92C3B" w:rsidRDefault="00E92C3B" w:rsidP="00867245">
      <w:pPr>
        <w:pStyle w:val="BodyText"/>
        <w:numPr>
          <w:ilvl w:val="0"/>
          <w:numId w:val="34"/>
        </w:numPr>
        <w:spacing w:before="60" w:line="276" w:lineRule="auto"/>
        <w:jc w:val="left"/>
        <w:rPr>
          <w:rFonts w:asciiTheme="minorHAnsi" w:hAnsiTheme="minorHAnsi" w:cstheme="minorBidi"/>
          <w:sz w:val="24"/>
          <w:szCs w:val="24"/>
        </w:rPr>
      </w:pPr>
      <w:r w:rsidRPr="32F7F25D">
        <w:rPr>
          <w:rFonts w:asciiTheme="minorHAnsi" w:hAnsiTheme="minorHAnsi" w:cstheme="minorBidi"/>
          <w:sz w:val="24"/>
          <w:szCs w:val="24"/>
        </w:rPr>
        <w:t>Key themes that emerged include</w:t>
      </w:r>
    </w:p>
    <w:p w14:paraId="7529CA89" w14:textId="073E4400" w:rsidR="00E92C3B" w:rsidRDefault="00E92C3B" w:rsidP="00867245">
      <w:pPr>
        <w:pStyle w:val="BodyText"/>
        <w:numPr>
          <w:ilvl w:val="1"/>
          <w:numId w:val="34"/>
        </w:numPr>
        <w:spacing w:before="60" w:line="276" w:lineRule="auto"/>
        <w:jc w:val="left"/>
        <w:rPr>
          <w:rFonts w:asciiTheme="minorHAnsi" w:hAnsiTheme="minorHAnsi" w:cstheme="minorBidi"/>
          <w:sz w:val="24"/>
          <w:szCs w:val="24"/>
        </w:rPr>
      </w:pPr>
      <w:r w:rsidRPr="32F7F25D">
        <w:rPr>
          <w:rFonts w:asciiTheme="minorHAnsi" w:hAnsiTheme="minorHAnsi" w:cstheme="minorBidi"/>
          <w:sz w:val="24"/>
          <w:szCs w:val="24"/>
        </w:rPr>
        <w:t>Wider determinants of health such as growing financial concerns, poor housing</w:t>
      </w:r>
      <w:r w:rsidR="2833ED11" w:rsidRPr="740CDBE4">
        <w:rPr>
          <w:rFonts w:asciiTheme="minorHAnsi" w:hAnsiTheme="minorHAnsi" w:cstheme="minorBidi"/>
          <w:sz w:val="24"/>
          <w:szCs w:val="24"/>
        </w:rPr>
        <w:t>,</w:t>
      </w:r>
      <w:r w:rsidRPr="32F7F25D">
        <w:rPr>
          <w:rFonts w:asciiTheme="minorHAnsi" w:hAnsiTheme="minorHAnsi" w:cstheme="minorBidi"/>
          <w:sz w:val="24"/>
          <w:szCs w:val="24"/>
        </w:rPr>
        <w:t xml:space="preserve"> and the inability to access health services were impacting mental wellbeing.</w:t>
      </w:r>
    </w:p>
    <w:p w14:paraId="5F4BE4F3" w14:textId="77777777" w:rsidR="00E92C3B" w:rsidRDefault="00E92C3B" w:rsidP="00867245">
      <w:pPr>
        <w:pStyle w:val="BodyText"/>
        <w:numPr>
          <w:ilvl w:val="1"/>
          <w:numId w:val="34"/>
        </w:numPr>
        <w:spacing w:before="60" w:line="276" w:lineRule="auto"/>
        <w:jc w:val="left"/>
        <w:rPr>
          <w:rFonts w:asciiTheme="minorHAnsi" w:hAnsiTheme="minorHAnsi" w:cstheme="minorBidi"/>
          <w:sz w:val="24"/>
          <w:szCs w:val="24"/>
        </w:rPr>
      </w:pPr>
      <w:r w:rsidRPr="32F7F25D">
        <w:rPr>
          <w:rFonts w:asciiTheme="minorHAnsi" w:hAnsiTheme="minorHAnsi" w:cstheme="minorBidi"/>
          <w:sz w:val="24"/>
          <w:szCs w:val="24"/>
        </w:rPr>
        <w:t>Local communities expressed distrust with the system borne out of lack of change, the frustration around siloed working and wider societal issues such as racism.</w:t>
      </w:r>
    </w:p>
    <w:p w14:paraId="7D9B2FCA" w14:textId="288F0065" w:rsidR="00E92C3B" w:rsidRDefault="00E92C3B" w:rsidP="00867245">
      <w:pPr>
        <w:pStyle w:val="BodyText"/>
        <w:numPr>
          <w:ilvl w:val="1"/>
          <w:numId w:val="34"/>
        </w:numPr>
        <w:spacing w:before="60" w:line="276" w:lineRule="auto"/>
        <w:jc w:val="left"/>
        <w:rPr>
          <w:rFonts w:asciiTheme="minorHAnsi" w:hAnsiTheme="minorHAnsi" w:cstheme="minorBidi"/>
          <w:sz w:val="24"/>
          <w:szCs w:val="24"/>
        </w:rPr>
      </w:pPr>
      <w:r w:rsidRPr="32F7F25D">
        <w:rPr>
          <w:rFonts w:asciiTheme="minorHAnsi" w:hAnsiTheme="minorHAnsi" w:cstheme="minorBidi"/>
          <w:sz w:val="24"/>
          <w:szCs w:val="24"/>
        </w:rPr>
        <w:lastRenderedPageBreak/>
        <w:t xml:space="preserve">VCS partner organisations expressed difficulty in providing much needed </w:t>
      </w:r>
      <w:r>
        <w:rPr>
          <w:rFonts w:asciiTheme="minorHAnsi" w:hAnsiTheme="minorHAnsi" w:cstheme="minorBidi"/>
          <w:sz w:val="24"/>
          <w:szCs w:val="24"/>
        </w:rPr>
        <w:t>community</w:t>
      </w:r>
      <w:r w:rsidR="5BF832FE" w:rsidRPr="609B13FA">
        <w:rPr>
          <w:rFonts w:asciiTheme="minorHAnsi" w:hAnsiTheme="minorHAnsi" w:cstheme="minorBidi"/>
          <w:sz w:val="24"/>
          <w:szCs w:val="24"/>
        </w:rPr>
        <w:t>-</w:t>
      </w:r>
      <w:r>
        <w:rPr>
          <w:rFonts w:asciiTheme="minorHAnsi" w:hAnsiTheme="minorHAnsi" w:cstheme="minorBidi"/>
          <w:sz w:val="24"/>
          <w:szCs w:val="24"/>
        </w:rPr>
        <w:t xml:space="preserve">based </w:t>
      </w:r>
      <w:r w:rsidRPr="32F7F25D">
        <w:rPr>
          <w:rFonts w:asciiTheme="minorHAnsi" w:hAnsiTheme="minorHAnsi" w:cstheme="minorBidi"/>
          <w:sz w:val="24"/>
          <w:szCs w:val="24"/>
        </w:rPr>
        <w:t>services due to the short-term funding opportunities from commissioners.</w:t>
      </w:r>
    </w:p>
    <w:p w14:paraId="45855FB4" w14:textId="77777777" w:rsidR="00E92C3B" w:rsidRDefault="00E92C3B" w:rsidP="00867245">
      <w:pPr>
        <w:pStyle w:val="BodyText"/>
        <w:numPr>
          <w:ilvl w:val="0"/>
          <w:numId w:val="34"/>
        </w:numPr>
        <w:spacing w:before="60" w:line="276" w:lineRule="auto"/>
        <w:jc w:val="left"/>
        <w:rPr>
          <w:rFonts w:asciiTheme="minorHAnsi" w:hAnsiTheme="minorHAnsi" w:cstheme="minorBidi"/>
          <w:sz w:val="24"/>
          <w:szCs w:val="24"/>
        </w:rPr>
      </w:pPr>
      <w:r w:rsidRPr="32F7F25D">
        <w:rPr>
          <w:rFonts w:asciiTheme="minorHAnsi" w:hAnsiTheme="minorHAnsi" w:cstheme="minorBidi"/>
          <w:sz w:val="24"/>
          <w:szCs w:val="24"/>
        </w:rPr>
        <w:t xml:space="preserve">These themes indicate a need for a system wide approach to tackle health inequalities on an individual and population level. Collaborating with voluntary organisations highlighted the need for an integrated and sustainable approach to address the wider determinants of health. </w:t>
      </w:r>
    </w:p>
    <w:p w14:paraId="4FFEE400" w14:textId="1DD6BB42" w:rsidR="00E92C3B" w:rsidRPr="00867245" w:rsidRDefault="00E92C3B" w:rsidP="00867245">
      <w:pPr>
        <w:pStyle w:val="BodyText"/>
        <w:numPr>
          <w:ilvl w:val="0"/>
          <w:numId w:val="34"/>
        </w:numPr>
        <w:spacing w:before="60" w:line="276" w:lineRule="auto"/>
        <w:jc w:val="left"/>
        <w:rPr>
          <w:rFonts w:asciiTheme="minorHAnsi" w:eastAsiaTheme="minorEastAsia" w:hAnsiTheme="minorHAnsi" w:cstheme="minorBidi"/>
          <w:sz w:val="24"/>
          <w:szCs w:val="24"/>
        </w:rPr>
      </w:pPr>
      <w:proofErr w:type="spellStart"/>
      <w:r w:rsidRPr="32F7F25D">
        <w:rPr>
          <w:rFonts w:asciiTheme="minorHAnsi" w:eastAsiaTheme="minorEastAsia" w:hAnsiTheme="minorHAnsi" w:cstheme="minorBidi"/>
          <w:sz w:val="24"/>
          <w:szCs w:val="24"/>
        </w:rPr>
        <w:t>Activmob</w:t>
      </w:r>
      <w:proofErr w:type="spellEnd"/>
      <w:r w:rsidRPr="32F7F25D">
        <w:rPr>
          <w:rFonts w:asciiTheme="minorHAnsi" w:eastAsiaTheme="minorEastAsia" w:hAnsiTheme="minorHAnsi" w:cstheme="minorBidi"/>
          <w:sz w:val="24"/>
          <w:szCs w:val="24"/>
        </w:rPr>
        <w:t xml:space="preserve"> undertook several listening exercises on people’s health in Parkwood and Shepway wards of Maidstone district. Themes such as anti-social behaviour and safety issues in using communal green spaces, poor housing conditions and lack of </w:t>
      </w:r>
      <w:r w:rsidR="008D1A5C">
        <w:rPr>
          <w:rFonts w:asciiTheme="minorHAnsi" w:eastAsiaTheme="minorEastAsia" w:hAnsiTheme="minorHAnsi" w:cstheme="minorBidi"/>
          <w:sz w:val="24"/>
          <w:szCs w:val="24"/>
        </w:rPr>
        <w:t>nut</w:t>
      </w:r>
      <w:r w:rsidR="00F707B5">
        <w:rPr>
          <w:rFonts w:asciiTheme="minorHAnsi" w:eastAsiaTheme="minorEastAsia" w:hAnsiTheme="minorHAnsi" w:cstheme="minorBidi"/>
          <w:sz w:val="24"/>
          <w:szCs w:val="24"/>
        </w:rPr>
        <w:t>ritious</w:t>
      </w:r>
      <w:r w:rsidRPr="32F7F25D">
        <w:rPr>
          <w:rFonts w:asciiTheme="minorHAnsi" w:eastAsiaTheme="minorEastAsia" w:hAnsiTheme="minorHAnsi" w:cstheme="minorBidi"/>
          <w:sz w:val="24"/>
          <w:szCs w:val="24"/>
        </w:rPr>
        <w:t xml:space="preserve"> food were amongst many that were picked up. These findings contributed to the development of the ‘Community Larder’ pilot in </w:t>
      </w:r>
      <w:r>
        <w:rPr>
          <w:rFonts w:asciiTheme="minorHAnsi" w:eastAsiaTheme="minorEastAsia" w:hAnsiTheme="minorHAnsi" w:cstheme="minorBidi"/>
          <w:sz w:val="24"/>
          <w:szCs w:val="24"/>
        </w:rPr>
        <w:t xml:space="preserve">one of these </w:t>
      </w:r>
      <w:r w:rsidRPr="32F7F25D">
        <w:rPr>
          <w:rFonts w:asciiTheme="minorHAnsi" w:eastAsiaTheme="minorEastAsia" w:hAnsiTheme="minorHAnsi" w:cstheme="minorBidi"/>
          <w:sz w:val="24"/>
          <w:szCs w:val="24"/>
        </w:rPr>
        <w:t xml:space="preserve">wards funded by </w:t>
      </w:r>
      <w:r>
        <w:rPr>
          <w:rFonts w:asciiTheme="minorHAnsi" w:eastAsiaTheme="minorEastAsia" w:hAnsiTheme="minorHAnsi" w:cstheme="minorBidi"/>
          <w:sz w:val="24"/>
          <w:szCs w:val="24"/>
        </w:rPr>
        <w:t>West Kent Health inequalities fund</w:t>
      </w:r>
      <w:r w:rsidRPr="32F7F25D">
        <w:rPr>
          <w:rFonts w:asciiTheme="minorHAnsi" w:eastAsiaTheme="minorEastAsia" w:hAnsiTheme="minorHAnsi" w:cstheme="minorBidi"/>
          <w:sz w:val="24"/>
          <w:szCs w:val="24"/>
        </w:rPr>
        <w:t>.</w:t>
      </w:r>
    </w:p>
    <w:p w14:paraId="007DBD94" w14:textId="572E5640" w:rsidR="00E92C3B" w:rsidRDefault="00E92C3B" w:rsidP="00867245">
      <w:pPr>
        <w:pStyle w:val="Heading2"/>
      </w:pPr>
      <w:bookmarkStart w:id="16" w:name="_Toc128133794"/>
      <w:r w:rsidRPr="32F7F25D">
        <w:t>Recommendations – Key priorities for implementation across all programme areas</w:t>
      </w:r>
      <w:bookmarkEnd w:id="16"/>
    </w:p>
    <w:p w14:paraId="72DE879E" w14:textId="77777777" w:rsidR="00E92C3B" w:rsidRDefault="00E92C3B" w:rsidP="00867245">
      <w:pPr>
        <w:pStyle w:val="Heading3"/>
      </w:pPr>
      <w:bookmarkStart w:id="17" w:name="_Toc128133795"/>
      <w:r w:rsidRPr="32F7F25D">
        <w:t>Partnership building</w:t>
      </w:r>
      <w:bookmarkEnd w:id="17"/>
    </w:p>
    <w:p w14:paraId="19406EFF" w14:textId="42A5187F" w:rsidR="00E92C3B" w:rsidRPr="00867245" w:rsidRDefault="00E92C3B" w:rsidP="00867245">
      <w:pPr>
        <w:rPr>
          <w:rFonts w:ascii="Calibri" w:eastAsia="Calibri" w:hAnsi="Calibri" w:cs="Calibri"/>
        </w:rPr>
      </w:pPr>
      <w:r w:rsidRPr="15853314">
        <w:rPr>
          <w:rFonts w:ascii="Calibri" w:eastAsia="Calibri" w:hAnsi="Calibri" w:cs="Calibri"/>
        </w:rPr>
        <w:t xml:space="preserve">Public Health to work in partnership with districts, VCSE and other local anchor institutions to agree key priorities for action that would be developed under People, Place, Policy &amp; Practice themes, ensuring focus on wider health determinants. Partnership arrangements should minimise duplication of existing work and must align with current local approaches. </w:t>
      </w:r>
    </w:p>
    <w:p w14:paraId="57EEF3AB" w14:textId="77777777" w:rsidR="00E92C3B" w:rsidRDefault="00E92C3B" w:rsidP="00867245">
      <w:pPr>
        <w:pStyle w:val="Heading3"/>
      </w:pPr>
      <w:bookmarkStart w:id="18" w:name="_Toc128133796"/>
      <w:r w:rsidRPr="32F7F25D">
        <w:t>MECC training</w:t>
      </w:r>
      <w:bookmarkEnd w:id="18"/>
    </w:p>
    <w:p w14:paraId="0506C875" w14:textId="77777777" w:rsidR="00E92C3B" w:rsidRDefault="00E92C3B" w:rsidP="00867245">
      <w:pPr>
        <w:rPr>
          <w:rFonts w:ascii="Calibri" w:eastAsia="Calibri" w:hAnsi="Calibri" w:cs="Calibri"/>
        </w:rPr>
      </w:pPr>
      <w:r w:rsidRPr="32F7F25D">
        <w:rPr>
          <w:rFonts w:ascii="Calibri" w:eastAsia="Calibri" w:hAnsi="Calibri" w:cs="Calibri"/>
        </w:rPr>
        <w:t>Workforce education and training to prioritise relevant front-line health and care staff to undertake core MECC training to ensure they have the skills and confidence to hold conversations with at risk individuals and families about healthy behaviour change particularly around healthy weight and signpost to appropriate support services. Maximise the potential of the health coaches, social prescribers, and community champions by offering relevant training to equip them with skills to hold conversations with people.</w:t>
      </w:r>
    </w:p>
    <w:p w14:paraId="7044E21B" w14:textId="77777777" w:rsidR="00E92C3B" w:rsidRDefault="00E92C3B" w:rsidP="00867245">
      <w:pPr>
        <w:pStyle w:val="Heading3"/>
      </w:pPr>
      <w:bookmarkStart w:id="19" w:name="_Toc128133797"/>
      <w:r w:rsidRPr="006B4082">
        <w:t>Health</w:t>
      </w:r>
      <w:r w:rsidRPr="32F7F25D">
        <w:t xml:space="preserve"> Promotion</w:t>
      </w:r>
      <w:bookmarkEnd w:id="19"/>
    </w:p>
    <w:p w14:paraId="35077E17" w14:textId="77777777" w:rsidR="00FC5C87" w:rsidRDefault="00E92C3B" w:rsidP="00867245">
      <w:pPr>
        <w:rPr>
          <w:rFonts w:ascii="Calibri" w:eastAsia="Times New Roman" w:hAnsi="Calibri" w:cs="Calibri"/>
        </w:rPr>
      </w:pPr>
      <w:r w:rsidRPr="32F7F25D">
        <w:rPr>
          <w:rFonts w:ascii="Calibri" w:eastAsia="Calibri" w:hAnsi="Calibri" w:cs="Calibri"/>
        </w:rPr>
        <w:t xml:space="preserve">Apply health in all policies to promote an environment that will make healthy options easier for the West Kent population e.g., using the local planning policies to provide access to quality </w:t>
      </w:r>
      <w:r>
        <w:rPr>
          <w:rFonts w:ascii="Calibri" w:eastAsia="Calibri" w:hAnsi="Calibri" w:cs="Calibri"/>
        </w:rPr>
        <w:t>green</w:t>
      </w:r>
      <w:r w:rsidRPr="32F7F25D">
        <w:rPr>
          <w:rFonts w:ascii="Calibri" w:eastAsia="Calibri" w:hAnsi="Calibri" w:cs="Calibri"/>
        </w:rPr>
        <w:t xml:space="preserve"> and blue spaces or </w:t>
      </w:r>
      <w:r w:rsidRPr="32F7F25D">
        <w:rPr>
          <w:rFonts w:ascii="Calibri" w:eastAsia="Times New Roman" w:hAnsi="Calibri" w:cs="Calibri"/>
        </w:rPr>
        <w:t xml:space="preserve">incorporating messages on falls into other relevant awareness-raising campaigns such as Winter Wellbeing. </w:t>
      </w:r>
    </w:p>
    <w:p w14:paraId="1DA30917" w14:textId="6830D926" w:rsidR="00E92C3B" w:rsidRDefault="00E92C3B" w:rsidP="00867245">
      <w:pPr>
        <w:rPr>
          <w:rFonts w:ascii="Calibri" w:eastAsia="Calibri" w:hAnsi="Calibri" w:cs="Calibri"/>
        </w:rPr>
      </w:pPr>
      <w:r w:rsidRPr="32F7F25D">
        <w:rPr>
          <w:rFonts w:ascii="Calibri" w:eastAsia="Calibri" w:hAnsi="Calibri" w:cs="Calibri"/>
        </w:rPr>
        <w:t>Work with districts and wellbeing providers so that people are signposted to the right recovery servicers, advocacy, and support at the right time.</w:t>
      </w:r>
    </w:p>
    <w:p w14:paraId="12A084C2" w14:textId="77777777" w:rsidR="00E92C3B" w:rsidRDefault="00E92C3B" w:rsidP="00867245">
      <w:pPr>
        <w:rPr>
          <w:rFonts w:ascii="Calibri" w:eastAsia="Calibri" w:hAnsi="Calibri" w:cs="Calibri"/>
        </w:rPr>
      </w:pPr>
      <w:r w:rsidRPr="32F7F25D">
        <w:rPr>
          <w:rFonts w:ascii="Calibri" w:eastAsia="Calibri" w:hAnsi="Calibri" w:cs="Calibri"/>
        </w:rPr>
        <w:t>Working with schools, workplaces, and communities to promote physical activities and healthy eating among West Kent population.</w:t>
      </w:r>
    </w:p>
    <w:p w14:paraId="4DBDCD48" w14:textId="52A98B37" w:rsidR="00E92C3B" w:rsidRDefault="00E92C3B" w:rsidP="00867245">
      <w:pPr>
        <w:spacing w:after="0" w:line="240" w:lineRule="auto"/>
        <w:rPr>
          <w:rFonts w:ascii="Calibri" w:eastAsia="Times New Roman" w:hAnsi="Calibri" w:cs="Calibri"/>
        </w:rPr>
      </w:pPr>
      <w:r w:rsidRPr="32F7F25D">
        <w:rPr>
          <w:rFonts w:ascii="Calibri" w:eastAsia="Times New Roman" w:hAnsi="Calibri" w:cs="Calibri"/>
        </w:rPr>
        <w:lastRenderedPageBreak/>
        <w:t>Consider a ‘Champion’ role e.g., Falls Prevention in adult social care teams to raise awareness within teams and act as a first port of call for signposting to local services.   </w:t>
      </w:r>
    </w:p>
    <w:p w14:paraId="05791FEC" w14:textId="77777777" w:rsidR="00E92C3B" w:rsidRDefault="00E92C3B" w:rsidP="00867245">
      <w:pPr>
        <w:pStyle w:val="Heading3"/>
      </w:pPr>
      <w:bookmarkStart w:id="20" w:name="_Toc128133798"/>
      <w:r w:rsidRPr="32F7F25D">
        <w:t>Integrated Care delivery</w:t>
      </w:r>
      <w:bookmarkEnd w:id="20"/>
    </w:p>
    <w:p w14:paraId="12CA4F45" w14:textId="5C516E95" w:rsidR="00E92C3B" w:rsidRDefault="00E92C3B" w:rsidP="00867245">
      <w:pPr>
        <w:rPr>
          <w:rFonts w:ascii="Calibri" w:eastAsia="Calibri" w:hAnsi="Calibri" w:cs="Calibri"/>
        </w:rPr>
      </w:pPr>
      <w:r w:rsidRPr="32F7F25D">
        <w:rPr>
          <w:rFonts w:ascii="Calibri" w:eastAsia="Calibri" w:hAnsi="Calibri" w:cs="Calibri"/>
        </w:rPr>
        <w:t xml:space="preserve">Address childhood obesity through the commissioning of </w:t>
      </w:r>
      <w:r w:rsidR="0047466E">
        <w:rPr>
          <w:rFonts w:ascii="Calibri" w:eastAsia="Calibri" w:hAnsi="Calibri" w:cs="Calibri"/>
        </w:rPr>
        <w:t xml:space="preserve">a </w:t>
      </w:r>
      <w:r w:rsidRPr="32F7F25D">
        <w:rPr>
          <w:rFonts w:ascii="Calibri" w:eastAsia="Calibri" w:hAnsi="Calibri" w:cs="Calibri"/>
        </w:rPr>
        <w:t>multicomponent family weight management service, align actions with maternity, health visiting and school nursing to promote uptake.</w:t>
      </w:r>
    </w:p>
    <w:p w14:paraId="764FB5D2" w14:textId="6CA515AC" w:rsidR="00E92C3B" w:rsidRDefault="309F080B" w:rsidP="00867245">
      <w:pPr>
        <w:rPr>
          <w:rFonts w:ascii="Calibri" w:eastAsia="Calibri" w:hAnsi="Calibri" w:cs="Calibri"/>
        </w:rPr>
      </w:pPr>
      <w:r w:rsidRPr="740CDBE4">
        <w:rPr>
          <w:rFonts w:ascii="Calibri" w:eastAsia="Calibri" w:hAnsi="Calibri" w:cs="Calibri"/>
        </w:rPr>
        <w:t>Review t</w:t>
      </w:r>
      <w:r w:rsidR="00E92C3B" w:rsidRPr="740CDBE4">
        <w:rPr>
          <w:rFonts w:ascii="Calibri" w:eastAsia="Calibri" w:hAnsi="Calibri" w:cs="Calibri"/>
        </w:rPr>
        <w:t>he</w:t>
      </w:r>
      <w:r w:rsidR="00E92C3B" w:rsidRPr="347D5DEF">
        <w:rPr>
          <w:rFonts w:ascii="Calibri" w:eastAsia="Calibri" w:hAnsi="Calibri" w:cs="Calibri"/>
        </w:rPr>
        <w:t xml:space="preserve"> </w:t>
      </w:r>
      <w:r w:rsidR="00647BCE">
        <w:rPr>
          <w:rFonts w:ascii="Calibri" w:eastAsia="Calibri" w:hAnsi="Calibri" w:cs="Calibri"/>
        </w:rPr>
        <w:t xml:space="preserve">recording and </w:t>
      </w:r>
      <w:r w:rsidR="00E92C3B" w:rsidRPr="347D5DEF">
        <w:rPr>
          <w:rFonts w:ascii="Calibri" w:eastAsia="Calibri" w:hAnsi="Calibri" w:cs="Calibri"/>
        </w:rPr>
        <w:t>management of depression</w:t>
      </w:r>
      <w:r w:rsidR="1EC706CA" w:rsidRPr="740CDBE4">
        <w:rPr>
          <w:rFonts w:ascii="Calibri" w:eastAsia="Calibri" w:hAnsi="Calibri" w:cs="Calibri"/>
        </w:rPr>
        <w:t xml:space="preserve"> (QOF)</w:t>
      </w:r>
      <w:r w:rsidR="00E92C3B" w:rsidRPr="347D5DEF">
        <w:rPr>
          <w:rFonts w:ascii="Calibri" w:eastAsia="Calibri" w:hAnsi="Calibri" w:cs="Calibri"/>
        </w:rPr>
        <w:t xml:space="preserve"> and serious mental illness in primary care</w:t>
      </w:r>
      <w:r w:rsidR="00647BCE">
        <w:rPr>
          <w:rFonts w:ascii="Calibri" w:eastAsia="Calibri" w:hAnsi="Calibri" w:cs="Calibri"/>
        </w:rPr>
        <w:t xml:space="preserve"> (PCN)</w:t>
      </w:r>
      <w:r w:rsidR="00E92C3B" w:rsidRPr="347D5DEF">
        <w:rPr>
          <w:rFonts w:ascii="Calibri" w:eastAsia="Calibri" w:hAnsi="Calibri" w:cs="Calibri"/>
        </w:rPr>
        <w:t xml:space="preserve">: support practices to provide and support faster access to psychological and wellbeing services. All providers to work together to create a better, seamless mental health services where barriers to care are minimised, particularly for those with drug and alcohol problems and a learning disability. Good support and recovery plans should be created for vulnerable patients with complex mental health problems linked to a multidisciplinary team. </w:t>
      </w:r>
    </w:p>
    <w:p w14:paraId="6AFF3C7C" w14:textId="77777777" w:rsidR="00E92C3B" w:rsidRDefault="00E92C3B" w:rsidP="00867245">
      <w:r>
        <w:rPr>
          <w:rFonts w:ascii="Calibri" w:eastAsia="Calibri" w:hAnsi="Calibri" w:cs="Calibri"/>
        </w:rPr>
        <w:t xml:space="preserve">Given the low rates of dementia detection the HCP should </w:t>
      </w:r>
      <w:r>
        <w:t>explore opportunities to further enhance work of Kent and Medway ICB and KCC jointly commissioned dementia co-ordinators who can support pathway navigation for early diagnosis and signpost/refer into wider community services.</w:t>
      </w:r>
    </w:p>
    <w:p w14:paraId="5CC06359" w14:textId="77777777" w:rsidR="00E92C3B" w:rsidRDefault="00E92C3B" w:rsidP="00867245">
      <w:pPr>
        <w:spacing w:after="0"/>
        <w:textAlignment w:val="baseline"/>
      </w:pPr>
      <w:r>
        <w:t>Greater analysis is needed to understand the variation in osteoporosis QOF recording rates to understand detection/treatment gaps and identify areas for improvement.  This should link into the wider falls prevention work that is ongoing in West Kent.</w:t>
      </w:r>
    </w:p>
    <w:p w14:paraId="0F239CF0" w14:textId="3B5518E4" w:rsidR="00E92C3B" w:rsidRDefault="00E92C3B" w:rsidP="00867245">
      <w:r>
        <w:t>A population health management approach could be considered for the ‘younger frail’ (aged 50-65) to identify and proactively signpost individuals at risk into West Kent health and wellbeing services, within a social prescribing model.</w:t>
      </w:r>
    </w:p>
    <w:p w14:paraId="5EE79005" w14:textId="4D4E96F8" w:rsidR="001C3FAE" w:rsidRDefault="001C3FAE" w:rsidP="00867245">
      <w:r>
        <w:rPr>
          <w:rFonts w:cstheme="minorHAnsi"/>
        </w:rPr>
        <w:t xml:space="preserve">Commission </w:t>
      </w:r>
      <w:r>
        <w:t>an initiative to target improved screening for hypertension in several areas of highest deprivation within West Kent focused upon relevant PCNs.</w:t>
      </w:r>
    </w:p>
    <w:p w14:paraId="6448516B" w14:textId="3C363C8E" w:rsidR="00E92C3B" w:rsidRDefault="00E92C3B" w:rsidP="00867245">
      <w:pPr>
        <w:pStyle w:val="Heading3"/>
      </w:pPr>
      <w:bookmarkStart w:id="21" w:name="_Toc128133799"/>
      <w:r w:rsidRPr="32F7F25D">
        <w:t>Research Innovation and Improvement</w:t>
      </w:r>
      <w:bookmarkEnd w:id="21"/>
    </w:p>
    <w:p w14:paraId="72DEAE46" w14:textId="668906C4" w:rsidR="00694B90" w:rsidRPr="00FD0F10" w:rsidRDefault="00E92C3B" w:rsidP="00867245">
      <w:pPr>
        <w:rPr>
          <w:rFonts w:ascii="Calibri" w:eastAsia="Calibri" w:hAnsi="Calibri" w:cs="Calibri"/>
        </w:rPr>
      </w:pPr>
      <w:r w:rsidRPr="045A98DE">
        <w:rPr>
          <w:rFonts w:ascii="Calibri" w:eastAsia="Calibri" w:hAnsi="Calibri" w:cs="Calibri"/>
        </w:rPr>
        <w:t xml:space="preserve">Understand the “best buy” interventions based on evidence and best practice to meet Kent’s localities needs. Encourage data sharing and access, building on the work by the </w:t>
      </w:r>
      <w:hyperlink r:id="rId29">
        <w:r w:rsidRPr="045A98DE">
          <w:rPr>
            <w:rStyle w:val="Hyperlink"/>
            <w:rFonts w:ascii="Calibri" w:eastAsia="Calibri" w:hAnsi="Calibri" w:cs="Calibri"/>
          </w:rPr>
          <w:t>Shared Health &amp; Care Analytics Board</w:t>
        </w:r>
      </w:hyperlink>
      <w:r w:rsidRPr="045A98DE">
        <w:rPr>
          <w:rFonts w:ascii="Calibri" w:eastAsia="Calibri" w:hAnsi="Calibri" w:cs="Calibri"/>
        </w:rPr>
        <w:t xml:space="preserve"> including relevant data on local need </w:t>
      </w:r>
      <w:r w:rsidR="4B72AEFA" w:rsidRPr="045A98DE">
        <w:rPr>
          <w:rFonts w:ascii="Calibri" w:eastAsia="Calibri" w:hAnsi="Calibri" w:cs="Calibri"/>
        </w:rPr>
        <w:t>i.e</w:t>
      </w:r>
      <w:r w:rsidR="5E3F554F" w:rsidRPr="740CDBE4">
        <w:rPr>
          <w:rFonts w:ascii="Calibri" w:eastAsia="Calibri" w:hAnsi="Calibri" w:cs="Calibri"/>
        </w:rPr>
        <w:t>.,</w:t>
      </w:r>
      <w:r w:rsidRPr="045A98DE">
        <w:rPr>
          <w:rFonts w:ascii="Calibri" w:eastAsia="Calibri" w:hAnsi="Calibri" w:cs="Calibri"/>
        </w:rPr>
        <w:t xml:space="preserve"> between council and NHS building on best practice examples such as the Financial Hardship programme, linking into the NHS led Population Health Management programme to enable proper local health needs assessment, effective service planning, evaluation, targeting and measurement of success. Undertake regular equity audits and deep dive analyses on depression and anxiety NHS counselling services linked to specialist psychological provision across West Kent.</w:t>
      </w:r>
    </w:p>
    <w:p w14:paraId="4E312601" w14:textId="55BDF14B" w:rsidR="00E92C3B" w:rsidRDefault="00E92C3B" w:rsidP="00867245">
      <w:pPr>
        <w:pStyle w:val="Heading3"/>
      </w:pPr>
      <w:bookmarkStart w:id="22" w:name="_Toc128133800"/>
      <w:r w:rsidRPr="32F7F25D">
        <w:t>Engagement and Insight</w:t>
      </w:r>
      <w:bookmarkEnd w:id="22"/>
    </w:p>
    <w:p w14:paraId="58301F6D" w14:textId="1162BEED" w:rsidR="00C331E1" w:rsidRDefault="00E92C3B" w:rsidP="045A98DE">
      <w:pPr>
        <w:pStyle w:val="NormalWeb"/>
        <w:spacing w:line="276" w:lineRule="auto"/>
        <w:rPr>
          <w:rFonts w:asciiTheme="minorHAnsi" w:eastAsiaTheme="minorEastAsia" w:hAnsiTheme="minorHAnsi" w:cstheme="minorBidi"/>
        </w:rPr>
      </w:pPr>
      <w:r w:rsidRPr="045A98DE">
        <w:rPr>
          <w:rFonts w:asciiTheme="minorHAnsi" w:hAnsiTheme="minorHAnsi" w:cs="Arial"/>
          <w:color w:val="000000" w:themeColor="text1"/>
        </w:rPr>
        <w:lastRenderedPageBreak/>
        <w:t>There is a need to continue and develop stakeholder voice not only with patients/clients and carers but also with service providers, teaching staff, clinicians, local authorities, the voluntary sector, social care</w:t>
      </w:r>
      <w:r w:rsidR="706383D9" w:rsidRPr="740CDBE4">
        <w:rPr>
          <w:rFonts w:asciiTheme="minorHAnsi" w:hAnsiTheme="minorHAnsi" w:cs="Arial"/>
          <w:color w:val="000000" w:themeColor="text1"/>
        </w:rPr>
        <w:t>,</w:t>
      </w:r>
      <w:r w:rsidRPr="045A98DE">
        <w:rPr>
          <w:rFonts w:asciiTheme="minorHAnsi" w:hAnsiTheme="minorHAnsi" w:cs="Arial"/>
          <w:color w:val="000000" w:themeColor="text1"/>
        </w:rPr>
        <w:t xml:space="preserve"> and other health care staff to enable better insights into service delivery and quality in the West Kent HCP area and specific issues </w:t>
      </w:r>
      <w:r w:rsidR="4864FE5F" w:rsidRPr="045A98DE">
        <w:rPr>
          <w:rFonts w:asciiTheme="minorHAnsi" w:hAnsiTheme="minorHAnsi" w:cs="Arial"/>
          <w:color w:val="000000" w:themeColor="text1"/>
        </w:rPr>
        <w:t>e.g.,</w:t>
      </w:r>
      <w:r w:rsidRPr="045A98DE">
        <w:rPr>
          <w:rFonts w:asciiTheme="minorHAnsi" w:hAnsiTheme="minorHAnsi" w:cs="Arial"/>
          <w:color w:val="000000" w:themeColor="text1"/>
        </w:rPr>
        <w:t xml:space="preserve"> </w:t>
      </w:r>
      <w:r w:rsidRPr="045A98DE">
        <w:rPr>
          <w:rFonts w:asciiTheme="minorHAnsi" w:eastAsiaTheme="minorEastAsia" w:hAnsiTheme="minorHAnsi" w:cstheme="minorBidi"/>
        </w:rPr>
        <w:t>intentional self-harm, diagnosis rates for dementia and diabetes.</w:t>
      </w:r>
    </w:p>
    <w:p w14:paraId="573983CC" w14:textId="77777777" w:rsidR="00FD0F10" w:rsidRPr="004837FE" w:rsidRDefault="00FD0F10" w:rsidP="00FD0F10">
      <w:pPr>
        <w:pStyle w:val="NormalWeb"/>
        <w:spacing w:line="276" w:lineRule="auto"/>
        <w:jc w:val="both"/>
        <w:rPr>
          <w:b/>
          <w:vanish/>
          <w:specVanish/>
        </w:rPr>
      </w:pPr>
    </w:p>
    <w:p w14:paraId="49327E80" w14:textId="2144BC58" w:rsidR="00C331E1" w:rsidRPr="00FD0F10" w:rsidRDefault="009E2DED" w:rsidP="00FD0F10">
      <w:pPr>
        <w:pStyle w:val="Heading1"/>
      </w:pPr>
      <w:bookmarkStart w:id="23" w:name="_Toc445984588"/>
      <w:bookmarkStart w:id="24" w:name="_Toc128133801"/>
      <w:r w:rsidRPr="00FD0F10">
        <w:t xml:space="preserve">Introduction &amp; </w:t>
      </w:r>
      <w:bookmarkEnd w:id="23"/>
      <w:r w:rsidR="001170DD" w:rsidRPr="00FD0F10">
        <w:t>Objectives</w:t>
      </w:r>
      <w:bookmarkEnd w:id="24"/>
    </w:p>
    <w:p w14:paraId="22A246E6" w14:textId="5B0287B3" w:rsidR="00E455B3" w:rsidRPr="00867245" w:rsidRDefault="00E455B3" w:rsidP="00867245">
      <w:pPr>
        <w:pStyle w:val="paragraph"/>
        <w:spacing w:before="0" w:beforeAutospacing="0" w:after="0" w:afterAutospacing="0" w:line="276" w:lineRule="auto"/>
        <w:rPr>
          <w:rStyle w:val="normaltextrun"/>
          <w:rFonts w:ascii="Segoe UI" w:hAnsi="Segoe UI" w:cs="Segoe UI"/>
          <w:sz w:val="18"/>
          <w:szCs w:val="18"/>
        </w:rPr>
      </w:pPr>
      <w:r w:rsidRPr="5E4DB3C2">
        <w:rPr>
          <w:rStyle w:val="normaltextrun"/>
          <w:rFonts w:ascii="Calibri" w:hAnsi="Calibri" w:cs="Calibri"/>
        </w:rPr>
        <w:t xml:space="preserve">The </w:t>
      </w:r>
      <w:hyperlink r:id="rId30">
        <w:r w:rsidRPr="5E4DB3C2">
          <w:rPr>
            <w:rStyle w:val="Hyperlink"/>
            <w:rFonts w:ascii="Calibri" w:eastAsiaTheme="majorEastAsia" w:hAnsi="Calibri" w:cs="Calibri"/>
          </w:rPr>
          <w:t>Health and Care Act 2022</w:t>
        </w:r>
      </w:hyperlink>
      <w:r w:rsidRPr="5E4DB3C2">
        <w:rPr>
          <w:rStyle w:val="normaltextrun"/>
          <w:rFonts w:ascii="Calibri" w:hAnsi="Calibri" w:cs="Calibri"/>
        </w:rPr>
        <w:t xml:space="preserve"> </w:t>
      </w:r>
      <w:r>
        <w:rPr>
          <w:rStyle w:val="normaltextrun"/>
          <w:rFonts w:ascii="Calibri" w:hAnsi="Calibri" w:cs="Calibri"/>
        </w:rPr>
        <w:t xml:space="preserve"> introduces a series of measures to make it easier for health and care organisations to deliver joined up care for people who rely on multiple different services. </w:t>
      </w:r>
      <w:r w:rsidRPr="5E4DB3C2">
        <w:rPr>
          <w:rStyle w:val="normaltextrun"/>
          <w:rFonts w:ascii="Calibri" w:hAnsi="Calibri" w:cs="Calibri"/>
        </w:rPr>
        <w:t>and requires integrated care partnerships to write an Integrated Care Strategy to set out how the assessed needs from the Joint Strategic Needs Assessment (JSNA) can be met through the exercise of the functions of the Integrated Care Board, partner local authorities or NHS England (NHSE).  </w:t>
      </w:r>
    </w:p>
    <w:p w14:paraId="38B74AE4" w14:textId="758B2E90" w:rsidR="00E455B3" w:rsidRPr="00867245" w:rsidRDefault="009C6DE5" w:rsidP="00867245">
      <w:pPr>
        <w:rPr>
          <w:rFonts w:cstheme="minorBidi"/>
          <w:color w:val="333333"/>
        </w:rPr>
      </w:pPr>
      <w:hyperlink r:id="rId31">
        <w:r w:rsidR="00E455B3" w:rsidRPr="5E4DB3C2">
          <w:rPr>
            <w:rStyle w:val="Hyperlink"/>
            <w:rFonts w:eastAsiaTheme="majorEastAsia" w:cstheme="minorBidi"/>
          </w:rPr>
          <w:t>National guidance</w:t>
        </w:r>
      </w:hyperlink>
      <w:r w:rsidR="00E455B3" w:rsidRPr="5E4DB3C2">
        <w:rPr>
          <w:rStyle w:val="normaltextrun"/>
          <w:rFonts w:cstheme="minorBidi"/>
        </w:rPr>
        <w:t xml:space="preserve"> released in July 2022 states that the integrated care strategy should set the direction of the system across the area of the integrated care board and integrated care partnership, setting out how commissioners in the NHS and local authorities, working with providers and other partners, can deliver more joined-up, preventative, and person-centred care for their </w:t>
      </w:r>
      <w:bookmarkStart w:id="25" w:name="_Int_ZYcrWXWc"/>
      <w:r w:rsidR="00E455B3" w:rsidRPr="5E4DB3C2">
        <w:rPr>
          <w:rStyle w:val="normaltextrun"/>
          <w:rFonts w:cstheme="minorBidi"/>
        </w:rPr>
        <w:t>whole population</w:t>
      </w:r>
      <w:bookmarkEnd w:id="25"/>
      <w:r w:rsidR="00E455B3" w:rsidRPr="5E4DB3C2">
        <w:rPr>
          <w:rStyle w:val="normaltextrun"/>
          <w:rFonts w:cstheme="minorBidi"/>
        </w:rPr>
        <w:t>, across the course of their life. The integrated care strategy presents an opportunity to do things differently to before, such as reaching beyond ‘traditional’ health and social care services to consider the wider determinants of health or joining-up health, social care</w:t>
      </w:r>
      <w:r w:rsidR="4FB8D308" w:rsidRPr="740CDBE4">
        <w:rPr>
          <w:rStyle w:val="normaltextrun"/>
          <w:rFonts w:cstheme="minorBidi"/>
        </w:rPr>
        <w:t>,</w:t>
      </w:r>
      <w:r w:rsidR="00E455B3" w:rsidRPr="5E4DB3C2">
        <w:rPr>
          <w:rStyle w:val="normaltextrun"/>
          <w:rFonts w:cstheme="minorBidi"/>
        </w:rPr>
        <w:t xml:space="preserve"> and wider services.</w:t>
      </w:r>
    </w:p>
    <w:p w14:paraId="069191F5" w14:textId="5DFEA763" w:rsidR="00E455B3" w:rsidRPr="00867245" w:rsidRDefault="00E455B3" w:rsidP="00867245">
      <w:pPr>
        <w:rPr>
          <w:rStyle w:val="Hyperlink"/>
          <w:rFonts w:ascii="Segoe UI" w:eastAsia="Times New Roman" w:hAnsi="Segoe UI" w:cs="Segoe UI"/>
          <w:color w:val="auto"/>
          <w:sz w:val="18"/>
          <w:szCs w:val="18"/>
          <w:u w:val="none"/>
        </w:rPr>
      </w:pPr>
      <w:r w:rsidRPr="5E4DB3C2">
        <w:rPr>
          <w:rStyle w:val="normaltextrun"/>
          <w:rFonts w:ascii="Calibri" w:hAnsi="Calibri" w:cs="Calibri"/>
        </w:rPr>
        <w:t>Across Kent and Medway there is currently one ICS and four Health Care Partnerships (HCPs), namely Medway and Swale, Dartford, Gravesham and Swanley, East Kent and West Kent HCPs. This needs assessment builds on the Kent Joint Strategic Needs Assessment (JSNA) and provides further local information to the West Kent HCP to assist them in making their commissioning decisions.  </w:t>
      </w:r>
      <w:r w:rsidRPr="5E4DB3C2">
        <w:rPr>
          <w:rStyle w:val="Hyperlink"/>
          <w:rFonts w:eastAsiaTheme="majorEastAsia" w:cstheme="minorBidi"/>
        </w:rPr>
        <w:t xml:space="preserve"> </w:t>
      </w:r>
    </w:p>
    <w:p w14:paraId="19992A70" w14:textId="2DE9A55F" w:rsidR="00E455B3" w:rsidRDefault="00E455B3" w:rsidP="00867245">
      <w:pPr>
        <w:pStyle w:val="paragraph"/>
        <w:spacing w:before="0" w:beforeAutospacing="0" w:after="0" w:afterAutospacing="0" w:line="276" w:lineRule="auto"/>
        <w:textAlignment w:val="baseline"/>
        <w:rPr>
          <w:rFonts w:ascii="Calibri" w:hAnsi="Calibri" w:cs="Calibri"/>
        </w:rPr>
      </w:pPr>
      <w:r w:rsidRPr="5E4DB3C2">
        <w:rPr>
          <w:rStyle w:val="normaltextrun"/>
          <w:rFonts w:ascii="Calibri" w:hAnsi="Calibri" w:cs="Calibri"/>
        </w:rPr>
        <w:t xml:space="preserve">The </w:t>
      </w:r>
      <w:hyperlink r:id="rId32">
        <w:r w:rsidRPr="5E4DB3C2">
          <w:rPr>
            <w:rStyle w:val="Hyperlink"/>
            <w:rFonts w:ascii="Calibri" w:eastAsiaTheme="majorEastAsia" w:hAnsi="Calibri" w:cs="Calibri"/>
          </w:rPr>
          <w:t>Marmot Review (2010)</w:t>
        </w:r>
      </w:hyperlink>
      <w:r w:rsidRPr="5E4DB3C2">
        <w:rPr>
          <w:rStyle w:val="normaltextrun"/>
          <w:rFonts w:ascii="Calibri" w:hAnsi="Calibri" w:cs="Calibri"/>
        </w:rPr>
        <w:t xml:space="preserve"> emphasises that social determinants lead to health inequalities and that actions must be based on proportionate universalism. The review mentions six policy objectives based on the life course approach. The</w:t>
      </w:r>
      <w:r w:rsidR="004B6A42">
        <w:rPr>
          <w:rStyle w:val="normaltextrun"/>
          <w:rFonts w:ascii="Calibri" w:hAnsi="Calibri" w:cs="Calibri"/>
        </w:rPr>
        <w:t xml:space="preserve"> </w:t>
      </w:r>
      <w:hyperlink r:id="rId33">
        <w:r w:rsidR="000D1C8A">
          <w:rPr>
            <w:rStyle w:val="Hyperlink"/>
            <w:rFonts w:ascii="Calibri" w:eastAsiaTheme="majorEastAsia" w:hAnsi="Calibri" w:cs="Calibri"/>
          </w:rPr>
          <w:t xml:space="preserve">Marmot </w:t>
        </w:r>
        <w:r w:rsidRPr="5E4DB3C2">
          <w:rPr>
            <w:rStyle w:val="Hyperlink"/>
            <w:rFonts w:ascii="Calibri" w:eastAsiaTheme="majorEastAsia" w:hAnsi="Calibri" w:cs="Calibri"/>
          </w:rPr>
          <w:t>Review</w:t>
        </w:r>
      </w:hyperlink>
      <w:r w:rsidRPr="5E4DB3C2">
        <w:rPr>
          <w:rStyle w:val="normaltextrun"/>
          <w:rFonts w:ascii="Calibri" w:hAnsi="Calibri" w:cs="Calibri"/>
        </w:rPr>
        <w:t xml:space="preserve"> 10 years on, highlighted the effect of widespread and deep cuts in most areas of public spending, a result of austerity and government responses to perceived financial pressures, impacting most on health inequalities. Addressing health inequalities usually requires a generic assessment of the following: </w:t>
      </w:r>
      <w:r w:rsidRPr="5E4DB3C2">
        <w:rPr>
          <w:rStyle w:val="eop"/>
          <w:rFonts w:ascii="Calibri" w:hAnsi="Calibri" w:cs="Calibri"/>
        </w:rPr>
        <w:t> </w:t>
      </w:r>
    </w:p>
    <w:p w14:paraId="23FDDAA3" w14:textId="77777777" w:rsidR="00E455B3" w:rsidRDefault="00E455B3" w:rsidP="00867245">
      <w:pPr>
        <w:pStyle w:val="paragraph"/>
        <w:numPr>
          <w:ilvl w:val="0"/>
          <w:numId w:val="2"/>
        </w:numPr>
        <w:spacing w:before="0" w:beforeAutospacing="0" w:after="0" w:afterAutospacing="0" w:line="276" w:lineRule="auto"/>
        <w:textAlignment w:val="baseline"/>
        <w:rPr>
          <w:rFonts w:ascii="Calibri" w:hAnsi="Calibri" w:cs="Calibri"/>
        </w:rPr>
      </w:pPr>
      <w:r w:rsidRPr="305ECFD1">
        <w:rPr>
          <w:rStyle w:val="normaltextrun"/>
          <w:rFonts w:ascii="Calibri" w:hAnsi="Calibri" w:cs="Calibri"/>
        </w:rPr>
        <w:t>Population level demography </w:t>
      </w:r>
      <w:r w:rsidRPr="305ECFD1">
        <w:rPr>
          <w:rStyle w:val="eop"/>
          <w:rFonts w:ascii="Calibri" w:hAnsi="Calibri" w:cs="Calibri"/>
        </w:rPr>
        <w:t> </w:t>
      </w:r>
    </w:p>
    <w:p w14:paraId="5CB971C9" w14:textId="7310D271" w:rsidR="00E455B3" w:rsidRDefault="00E455B3" w:rsidP="045A98DE">
      <w:pPr>
        <w:pStyle w:val="paragraph"/>
        <w:numPr>
          <w:ilvl w:val="0"/>
          <w:numId w:val="2"/>
        </w:numPr>
        <w:spacing w:before="0" w:beforeAutospacing="0" w:after="0" w:afterAutospacing="0" w:line="276" w:lineRule="auto"/>
        <w:textAlignment w:val="baseline"/>
        <w:rPr>
          <w:rFonts w:ascii="Calibri" w:hAnsi="Calibri" w:cs="Calibri"/>
        </w:rPr>
      </w:pPr>
      <w:r w:rsidRPr="045A98DE">
        <w:rPr>
          <w:rStyle w:val="normaltextrun"/>
          <w:rFonts w:ascii="Calibri" w:hAnsi="Calibri" w:cs="Calibri"/>
        </w:rPr>
        <w:t>Social, economic, and environmental determinants of health (</w:t>
      </w:r>
      <w:r w:rsidR="413F9BE6" w:rsidRPr="045A98DE">
        <w:rPr>
          <w:rStyle w:val="normaltextrun"/>
          <w:rFonts w:ascii="Calibri" w:hAnsi="Calibri" w:cs="Calibri"/>
        </w:rPr>
        <w:t>e.g.,</w:t>
      </w:r>
      <w:r w:rsidR="004B1325" w:rsidRPr="045A98DE">
        <w:rPr>
          <w:rStyle w:val="normaltextrun"/>
          <w:rFonts w:ascii="Calibri" w:hAnsi="Calibri" w:cs="Calibri"/>
        </w:rPr>
        <w:t xml:space="preserve"> </w:t>
      </w:r>
      <w:r w:rsidRPr="045A98DE">
        <w:rPr>
          <w:rStyle w:val="normaltextrun"/>
          <w:rFonts w:ascii="Calibri" w:hAnsi="Calibri" w:cs="Calibri"/>
        </w:rPr>
        <w:t>unemployment rates, Indices of Multiple Deprivation, educational attainment, benefit uptake, crime</w:t>
      </w:r>
      <w:r w:rsidR="004B1325" w:rsidRPr="045A98DE">
        <w:rPr>
          <w:rStyle w:val="normaltextrun"/>
          <w:rFonts w:ascii="Calibri" w:hAnsi="Calibri" w:cs="Calibri"/>
        </w:rPr>
        <w:t>)</w:t>
      </w:r>
      <w:r w:rsidRPr="045A98DE">
        <w:rPr>
          <w:rStyle w:val="normaltextrun"/>
          <w:rFonts w:ascii="Calibri" w:hAnsi="Calibri" w:cs="Calibri"/>
        </w:rPr>
        <w:t> </w:t>
      </w:r>
      <w:r w:rsidRPr="045A98DE">
        <w:rPr>
          <w:rStyle w:val="eop"/>
          <w:rFonts w:ascii="Calibri" w:hAnsi="Calibri" w:cs="Calibri"/>
        </w:rPr>
        <w:t> </w:t>
      </w:r>
    </w:p>
    <w:p w14:paraId="514F0C4D" w14:textId="77777777" w:rsidR="00E455B3" w:rsidRDefault="00E455B3" w:rsidP="00867245">
      <w:pPr>
        <w:pStyle w:val="paragraph"/>
        <w:numPr>
          <w:ilvl w:val="0"/>
          <w:numId w:val="2"/>
        </w:numPr>
        <w:spacing w:before="0" w:beforeAutospacing="0" w:after="0" w:afterAutospacing="0" w:line="276" w:lineRule="auto"/>
        <w:textAlignment w:val="baseline"/>
        <w:rPr>
          <w:rFonts w:ascii="Calibri" w:hAnsi="Calibri" w:cs="Calibri"/>
        </w:rPr>
      </w:pPr>
      <w:r w:rsidRPr="305ECFD1">
        <w:rPr>
          <w:rStyle w:val="normaltextrun"/>
          <w:rFonts w:ascii="Calibri" w:hAnsi="Calibri" w:cs="Calibri"/>
        </w:rPr>
        <w:t>Behavioural determinants of health – smoking, diet, alcohol, and drug use  </w:t>
      </w:r>
      <w:r w:rsidRPr="305ECFD1">
        <w:rPr>
          <w:rStyle w:val="eop"/>
          <w:rFonts w:ascii="Calibri" w:hAnsi="Calibri" w:cs="Calibri"/>
        </w:rPr>
        <w:t> </w:t>
      </w:r>
    </w:p>
    <w:p w14:paraId="6097CF78" w14:textId="77777777" w:rsidR="00E455B3" w:rsidRDefault="00E455B3" w:rsidP="00867245">
      <w:pPr>
        <w:pStyle w:val="paragraph"/>
        <w:numPr>
          <w:ilvl w:val="0"/>
          <w:numId w:val="2"/>
        </w:numPr>
        <w:spacing w:before="0" w:beforeAutospacing="0" w:after="0" w:afterAutospacing="0" w:line="276" w:lineRule="auto"/>
        <w:textAlignment w:val="baseline"/>
        <w:rPr>
          <w:rFonts w:ascii="Calibri" w:hAnsi="Calibri" w:cs="Calibri"/>
        </w:rPr>
      </w:pPr>
      <w:r w:rsidRPr="305ECFD1">
        <w:rPr>
          <w:rStyle w:val="normaltextrun"/>
          <w:rFonts w:ascii="Calibri" w:hAnsi="Calibri" w:cs="Calibri"/>
        </w:rPr>
        <w:t>Epidemiology - prevalence of physical and mental illness  </w:t>
      </w:r>
      <w:r w:rsidRPr="305ECFD1">
        <w:rPr>
          <w:rStyle w:val="eop"/>
          <w:rFonts w:ascii="Calibri" w:hAnsi="Calibri" w:cs="Calibri"/>
        </w:rPr>
        <w:t> </w:t>
      </w:r>
    </w:p>
    <w:p w14:paraId="3AFF2535" w14:textId="77777777" w:rsidR="00E455B3" w:rsidRDefault="00E455B3" w:rsidP="00867245">
      <w:pPr>
        <w:pStyle w:val="paragraph"/>
        <w:spacing w:before="0" w:beforeAutospacing="0" w:after="0" w:afterAutospacing="0"/>
        <w:textAlignment w:val="baseline"/>
        <w:rPr>
          <w:rFonts w:ascii="Segoe UI" w:hAnsi="Segoe UI" w:cs="Segoe UI"/>
          <w:sz w:val="18"/>
          <w:szCs w:val="18"/>
        </w:rPr>
      </w:pPr>
      <w:r>
        <w:rPr>
          <w:rStyle w:val="eop"/>
          <w:rFonts w:ascii="Segoe UI" w:hAnsi="Segoe UI" w:cs="Segoe UI"/>
        </w:rPr>
        <w:lastRenderedPageBreak/>
        <w:t> </w:t>
      </w:r>
    </w:p>
    <w:p w14:paraId="69432A55" w14:textId="77777777" w:rsidR="00E455B3" w:rsidRDefault="00E455B3" w:rsidP="00867245">
      <w:pPr>
        <w:pStyle w:val="Heading2"/>
      </w:pPr>
      <w:bookmarkStart w:id="26" w:name="_Toc128133802"/>
      <w:r w:rsidRPr="305ECFD1">
        <w:rPr>
          <w:rStyle w:val="normaltextrun"/>
          <w:rFonts w:ascii="Calibri" w:hAnsi="Calibri" w:cs="Calibri"/>
        </w:rPr>
        <w:t>Methodology</w:t>
      </w:r>
      <w:bookmarkEnd w:id="26"/>
      <w:r w:rsidRPr="305ECFD1">
        <w:rPr>
          <w:rStyle w:val="eop"/>
          <w:rFonts w:ascii="Calibri" w:hAnsi="Calibri" w:cs="Calibri"/>
        </w:rPr>
        <w:t> </w:t>
      </w:r>
    </w:p>
    <w:p w14:paraId="55B46BA1" w14:textId="5430A61F" w:rsidR="00E455B3" w:rsidRDefault="00E455B3" w:rsidP="00867245">
      <w:pPr>
        <w:rPr>
          <w:rStyle w:val="normaltextrun"/>
          <w:rFonts w:ascii="Calibri" w:hAnsi="Calibri" w:cs="Calibri"/>
        </w:rPr>
      </w:pPr>
      <w:r w:rsidRPr="5E4DB3C2">
        <w:rPr>
          <w:rStyle w:val="normaltextrun"/>
          <w:rFonts w:ascii="Calibri" w:hAnsi="Calibri" w:cs="Calibri"/>
        </w:rPr>
        <w:t xml:space="preserve">Past area-based </w:t>
      </w:r>
      <w:hyperlink r:id="rId34">
        <w:r w:rsidRPr="5E4DB3C2">
          <w:rPr>
            <w:rStyle w:val="Hyperlink"/>
            <w:rFonts w:ascii="Calibri" w:eastAsiaTheme="majorEastAsia" w:hAnsi="Calibri" w:cs="Calibri"/>
          </w:rPr>
          <w:t>Health Needs Assessments</w:t>
        </w:r>
      </w:hyperlink>
      <w:r w:rsidRPr="5E4DB3C2">
        <w:rPr>
          <w:rStyle w:val="normaltextrun"/>
          <w:rFonts w:ascii="Calibri" w:hAnsi="Calibri" w:cs="Calibri"/>
        </w:rPr>
        <w:t xml:space="preserve"> (HNA) used a generic approach in describing and assimilating health indicators across up to 40 different programme areas. The West Kent HCP has requested this time for a more focused ‘exception based’ needs analyses, emphasising</w:t>
      </w:r>
      <w:r>
        <w:rPr>
          <w:rStyle w:val="normaltextrun"/>
          <w:rFonts w:ascii="Calibri" w:hAnsi="Calibri" w:cs="Calibri"/>
        </w:rPr>
        <w:t xml:space="preserve"> the identification of areas where West Kent is an outlier either across Kent or nationally and key contributory factors to the development of these issues</w:t>
      </w:r>
      <w:r w:rsidRPr="5E4DB3C2">
        <w:rPr>
          <w:rStyle w:val="normaltextrun"/>
          <w:rFonts w:ascii="Calibri" w:hAnsi="Calibri" w:cs="Calibri"/>
        </w:rPr>
        <w:t>. Information has been assimilated from various information sources currently available on the Kent Public Health Observatory (KPHO) website, the Kent County Council website, from NHS Digital (including Hospital Episode Statistics (HES)), OHID (PHE) and the Office for National Statistics (ONS) and supplemented by additional analysis of data conducted by KPHO, including analysis using various data sets.</w:t>
      </w:r>
    </w:p>
    <w:p w14:paraId="497EA3D7" w14:textId="28BC84D1" w:rsidR="00E455B3" w:rsidRDefault="00E455B3" w:rsidP="00867245">
      <w:pPr>
        <w:rPr>
          <w:rStyle w:val="normaltextrun"/>
          <w:rFonts w:ascii="Calibri" w:hAnsi="Calibri" w:cs="Calibri"/>
        </w:rPr>
      </w:pPr>
      <w:r w:rsidRPr="5E4DB3C2">
        <w:rPr>
          <w:rStyle w:val="normaltextrun"/>
          <w:rFonts w:ascii="Calibri" w:hAnsi="Calibri" w:cs="Calibri"/>
        </w:rPr>
        <w:t>The analysis focusses on West Kent HCP, comparing West Kent wherever possible with the rest of Kent and exploring variation by ward/PCN/GP practice, as well as commenting on trends over time and inequality gaps.</w:t>
      </w:r>
    </w:p>
    <w:p w14:paraId="7A7981FB" w14:textId="02AD961A" w:rsidR="00E455B3" w:rsidRPr="00867245" w:rsidRDefault="00E455B3" w:rsidP="00867245">
      <w:r w:rsidRPr="5E4DB3C2">
        <w:rPr>
          <w:rStyle w:val="normaltextrun"/>
          <w:rFonts w:ascii="Calibri" w:hAnsi="Calibri" w:cs="Calibri"/>
        </w:rPr>
        <w:t xml:space="preserve">A specific locally linked dataset made of GP and other Secondary Healthcare data was developed for population segmentation trend analysis and health outcomes measurement, carried out by </w:t>
      </w:r>
      <w:hyperlink r:id="rId35">
        <w:r w:rsidRPr="5E4DB3C2">
          <w:rPr>
            <w:rStyle w:val="Hyperlink"/>
            <w:rFonts w:ascii="Calibri" w:eastAsiaTheme="majorEastAsia" w:hAnsi="Calibri" w:cs="Calibri"/>
          </w:rPr>
          <w:t>Outcomes Based Healthcare.</w:t>
        </w:r>
      </w:hyperlink>
      <w:r w:rsidRPr="5E4DB3C2">
        <w:rPr>
          <w:rStyle w:val="normaltextrun"/>
          <w:rFonts w:ascii="Calibri" w:hAnsi="Calibri" w:cs="Calibri"/>
        </w:rPr>
        <w:t xml:space="preserve"> This has been included in this report to demonstrate the utility benefit of trend analyses over time of selected population cohorts for health system planning purposes. Analyses will be repeated in future HNAs to track progress of local population health improvement initiatives. </w:t>
      </w:r>
      <w:r w:rsidRPr="5E4DB3C2">
        <w:rPr>
          <w:rStyle w:val="eop"/>
          <w:rFonts w:ascii="Calibri" w:hAnsi="Calibri" w:cs="Calibri"/>
        </w:rPr>
        <w:t> Where appropriate, screenshots of health outcome measures have been taken from a specially designed dashboard are shown in respective chapters to supplement narrative, comparing trends over time for West Kent and selected PCNs. Other graphs and charts have been derived from the NHS England Population and Person Insight dashboard.</w:t>
      </w:r>
    </w:p>
    <w:p w14:paraId="1A5F1183" w14:textId="7D10E6C3" w:rsidR="00E455B3" w:rsidRPr="00867245" w:rsidRDefault="00E455B3" w:rsidP="00867245">
      <w:pPr>
        <w:rPr>
          <w:rFonts w:ascii="Calibri" w:hAnsi="Calibri" w:cs="Calibri"/>
        </w:rPr>
      </w:pPr>
      <w:r w:rsidRPr="15853314">
        <w:rPr>
          <w:rStyle w:val="normaltextrun"/>
          <w:rFonts w:ascii="Calibri" w:hAnsi="Calibri" w:cs="Calibri"/>
        </w:rPr>
        <w:t xml:space="preserve">A rerun of the </w:t>
      </w:r>
      <w:hyperlink r:id="rId36">
        <w:r w:rsidRPr="15853314">
          <w:rPr>
            <w:rStyle w:val="Hyperlink"/>
            <w:rFonts w:ascii="Calibri" w:eastAsiaTheme="majorEastAsia" w:hAnsi="Calibri" w:cs="Calibri"/>
          </w:rPr>
          <w:t>Kent JSNA Cohort Modelling tool</w:t>
        </w:r>
      </w:hyperlink>
      <w:r w:rsidRPr="15853314">
        <w:rPr>
          <w:rStyle w:val="normaltextrun"/>
          <w:rFonts w:ascii="Calibri" w:hAnsi="Calibri" w:cs="Calibri"/>
        </w:rPr>
        <w:t xml:space="preserve"> has been carried out for this HNA.  The tool </w:t>
      </w:r>
      <w:bookmarkStart w:id="27" w:name="_Int_W1o7B1FE"/>
      <w:r w:rsidRPr="15853314">
        <w:rPr>
          <w:rStyle w:val="normaltextrun"/>
          <w:rFonts w:ascii="Calibri" w:hAnsi="Calibri" w:cs="Calibri"/>
        </w:rPr>
        <w:t>uses</w:t>
      </w:r>
      <w:bookmarkEnd w:id="27"/>
      <w:r w:rsidRPr="15853314">
        <w:rPr>
          <w:rStyle w:val="normaltextrun"/>
          <w:rFonts w:ascii="Calibri" w:hAnsi="Calibri" w:cs="Calibri"/>
        </w:rPr>
        <w:t xml:space="preserve"> </w:t>
      </w:r>
      <w:hyperlink r:id="rId37">
        <w:r w:rsidRPr="15853314">
          <w:rPr>
            <w:rStyle w:val="Hyperlink"/>
            <w:rFonts w:ascii="Calibri" w:eastAsiaTheme="majorEastAsia" w:hAnsi="Calibri" w:cs="Calibri"/>
          </w:rPr>
          <w:t>Systems Dynamics</w:t>
        </w:r>
      </w:hyperlink>
      <w:r w:rsidR="00C25766">
        <w:rPr>
          <w:rStyle w:val="Hyperlink"/>
          <w:rFonts w:ascii="Calibri" w:eastAsiaTheme="majorEastAsia" w:hAnsi="Calibri" w:cs="Calibri"/>
        </w:rPr>
        <w:t xml:space="preserve"> Modelling</w:t>
      </w:r>
      <w:r w:rsidRPr="15853314">
        <w:rPr>
          <w:rStyle w:val="normaltextrun"/>
          <w:rFonts w:ascii="Calibri" w:hAnsi="Calibri" w:cs="Calibri"/>
        </w:rPr>
        <w:t xml:space="preserve"> to generate scenarios of population health and health care impacts for West Kent.  The model outputs monthly forecasts of the overall shape of population health needs and demand for services over a 25-year period from 2018. The cohort modelling tool stems from a </w:t>
      </w:r>
      <w:hyperlink r:id="rId38" w:history="1">
        <w:r w:rsidRPr="15853314">
          <w:rPr>
            <w:rStyle w:val="Hyperlink"/>
            <w:rFonts w:ascii="Calibri" w:eastAsiaTheme="majorEastAsia" w:hAnsi="Calibri" w:cs="Calibri"/>
          </w:rPr>
          <w:t>systems thinking perspective</w:t>
        </w:r>
      </w:hyperlink>
      <w:r w:rsidRPr="15853314">
        <w:rPr>
          <w:rStyle w:val="normaltextrun"/>
          <w:rFonts w:ascii="Calibri" w:hAnsi="Calibri" w:cs="Calibri"/>
          <w:color w:val="FF0000"/>
        </w:rPr>
        <w:t xml:space="preserve"> </w:t>
      </w:r>
      <w:r w:rsidRPr="15853314">
        <w:rPr>
          <w:rStyle w:val="normaltextrun"/>
          <w:rFonts w:ascii="Calibri" w:hAnsi="Calibri" w:cs="Calibri"/>
        </w:rPr>
        <w:t xml:space="preserve">and a need to develop a </w:t>
      </w:r>
      <w:hyperlink r:id="rId39" w:history="1">
        <w:r w:rsidRPr="004B6A42">
          <w:rPr>
            <w:rStyle w:val="Hyperlink"/>
            <w:rFonts w:ascii="Calibri" w:hAnsi="Calibri" w:cs="Calibri"/>
          </w:rPr>
          <w:t>complex systems model of ev</w:t>
        </w:r>
        <w:r w:rsidRPr="004B6A42">
          <w:rPr>
            <w:rStyle w:val="Hyperlink"/>
            <w:rFonts w:ascii="Calibri" w:eastAsiaTheme="majorEastAsia" w:hAnsi="Calibri" w:cs="Calibri"/>
          </w:rPr>
          <w:t>idence in public health</w:t>
        </w:r>
      </w:hyperlink>
      <w:r w:rsidRPr="15853314">
        <w:rPr>
          <w:rStyle w:val="normaltextrun"/>
          <w:rFonts w:ascii="Calibri" w:hAnsi="Calibri" w:cs="Calibri"/>
        </w:rPr>
        <w:t>.</w:t>
      </w:r>
    </w:p>
    <w:p w14:paraId="4C2F7F98" w14:textId="77777777" w:rsidR="00E455B3" w:rsidRPr="00867245" w:rsidRDefault="00E455B3" w:rsidP="00867245">
      <w:pPr>
        <w:pStyle w:val="Heading2"/>
        <w:rPr>
          <w:rStyle w:val="normaltextrun"/>
        </w:rPr>
      </w:pPr>
      <w:bookmarkStart w:id="28" w:name="_Toc128133803"/>
      <w:r w:rsidRPr="00867245">
        <w:rPr>
          <w:rStyle w:val="normaltextrun"/>
        </w:rPr>
        <w:t>Index of Multiple Deprivation (IMD)</w:t>
      </w:r>
      <w:bookmarkEnd w:id="28"/>
    </w:p>
    <w:p w14:paraId="553EBC1D" w14:textId="726162E4" w:rsidR="00E455B3" w:rsidRPr="00E25E23" w:rsidRDefault="009C6DE5" w:rsidP="00867245">
      <w:pPr>
        <w:spacing w:after="0"/>
        <w:textAlignment w:val="baseline"/>
      </w:pPr>
      <w:hyperlink r:id="rId40" w:history="1">
        <w:r w:rsidR="00E455B3" w:rsidRPr="00E9179B">
          <w:rPr>
            <w:rStyle w:val="Hyperlink"/>
          </w:rPr>
          <w:t>IMD</w:t>
        </w:r>
      </w:hyperlink>
      <w:r w:rsidR="00E455B3" w:rsidRPr="5E4DB3C2">
        <w:rPr>
          <w:rStyle w:val="normaltextrun"/>
        </w:rPr>
        <w:t xml:space="preserve"> is a propensity scoring tool and the official measure of relative deprivation for small areas in England. It ranks every small area in England from 1 (most deprived area) to 32,844 (least deprived area). These small areas are a statistical geography called Lower-layer Super Output Areas</w:t>
      </w:r>
      <w:r w:rsidR="00BF4DAA">
        <w:rPr>
          <w:rStyle w:val="normaltextrun"/>
        </w:rPr>
        <w:t>, typically with 1,500 to 1,800 residents</w:t>
      </w:r>
      <w:r w:rsidR="00E455B3" w:rsidRPr="5E4DB3C2">
        <w:rPr>
          <w:rStyle w:val="normaltextrun"/>
        </w:rPr>
        <w:t xml:space="preserve">. </w:t>
      </w:r>
      <w:r w:rsidR="00E455B3" w:rsidRPr="5E4DB3C2">
        <w:t xml:space="preserve">Deprivation is a key contribution to poor health outcomes and is closely related to wealth. IMD is a relative measure rather than an individual measure. Knowledge of the location of the most deprived communities is </w:t>
      </w:r>
      <w:r w:rsidR="00E455B3" w:rsidRPr="5E4DB3C2">
        <w:lastRenderedPageBreak/>
        <w:t xml:space="preserve">important to understand where the varying health need may be the greatest. </w:t>
      </w:r>
      <w:r w:rsidR="00E455B3" w:rsidRPr="5E4DB3C2">
        <w:rPr>
          <w:rStyle w:val="normaltextrun"/>
        </w:rPr>
        <w:t>IMD combines information from the seven domains to produce an overall relative measure of deprivation. The domains are combined using the following weights:</w:t>
      </w:r>
      <w:r w:rsidR="00E455B3" w:rsidRPr="5E4DB3C2">
        <w:rPr>
          <w:rStyle w:val="eop"/>
        </w:rPr>
        <w:t> </w:t>
      </w:r>
    </w:p>
    <w:p w14:paraId="62C392D4" w14:textId="7DDF4070" w:rsidR="00E455B3" w:rsidRPr="00E25E23" w:rsidRDefault="00E455B3" w:rsidP="00950441">
      <w:pPr>
        <w:pStyle w:val="paragraph"/>
        <w:numPr>
          <w:ilvl w:val="0"/>
          <w:numId w:val="55"/>
        </w:numPr>
        <w:spacing w:before="0" w:beforeAutospacing="0" w:after="0" w:afterAutospacing="0" w:line="276" w:lineRule="auto"/>
        <w:textAlignment w:val="baseline"/>
        <w:rPr>
          <w:rFonts w:asciiTheme="minorHAnsi" w:hAnsiTheme="minorHAnsi" w:cstheme="minorHAnsi"/>
        </w:rPr>
      </w:pPr>
      <w:r w:rsidRPr="00E25E23">
        <w:rPr>
          <w:rStyle w:val="normaltextrun"/>
          <w:rFonts w:asciiTheme="minorHAnsi" w:hAnsiTheme="minorHAnsi" w:cstheme="minorHAnsi"/>
        </w:rPr>
        <w:t>Income Deprivation (22.5%)</w:t>
      </w:r>
      <w:r w:rsidRPr="00E25E23">
        <w:rPr>
          <w:rStyle w:val="eop"/>
          <w:rFonts w:asciiTheme="minorHAnsi" w:hAnsiTheme="minorHAnsi" w:cstheme="minorHAnsi"/>
        </w:rPr>
        <w:t> </w:t>
      </w:r>
    </w:p>
    <w:p w14:paraId="03E4B73F" w14:textId="23785203" w:rsidR="00E455B3" w:rsidRPr="00E25E23" w:rsidRDefault="00E455B3" w:rsidP="00950441">
      <w:pPr>
        <w:pStyle w:val="paragraph"/>
        <w:numPr>
          <w:ilvl w:val="0"/>
          <w:numId w:val="55"/>
        </w:numPr>
        <w:spacing w:before="0" w:beforeAutospacing="0" w:after="0" w:afterAutospacing="0" w:line="276" w:lineRule="auto"/>
        <w:textAlignment w:val="baseline"/>
        <w:rPr>
          <w:rFonts w:asciiTheme="minorHAnsi" w:hAnsiTheme="minorHAnsi" w:cstheme="minorHAnsi"/>
        </w:rPr>
      </w:pPr>
      <w:r w:rsidRPr="00E25E23">
        <w:rPr>
          <w:rStyle w:val="normaltextrun"/>
          <w:rFonts w:asciiTheme="minorHAnsi" w:hAnsiTheme="minorHAnsi" w:cstheme="minorHAnsi"/>
        </w:rPr>
        <w:t>Employment Deprivation (22.5%) </w:t>
      </w:r>
      <w:r w:rsidRPr="00E25E23">
        <w:rPr>
          <w:rStyle w:val="eop"/>
          <w:rFonts w:asciiTheme="minorHAnsi" w:hAnsiTheme="minorHAnsi" w:cstheme="minorHAnsi"/>
        </w:rPr>
        <w:t> </w:t>
      </w:r>
    </w:p>
    <w:p w14:paraId="78569266" w14:textId="59EF0612" w:rsidR="00E455B3" w:rsidRPr="00E25E23" w:rsidRDefault="00E455B3" w:rsidP="00950441">
      <w:pPr>
        <w:pStyle w:val="paragraph"/>
        <w:numPr>
          <w:ilvl w:val="0"/>
          <w:numId w:val="55"/>
        </w:numPr>
        <w:spacing w:before="0" w:beforeAutospacing="0" w:after="0" w:afterAutospacing="0" w:line="276" w:lineRule="auto"/>
        <w:textAlignment w:val="baseline"/>
        <w:rPr>
          <w:rFonts w:asciiTheme="minorHAnsi" w:hAnsiTheme="minorHAnsi" w:cstheme="minorHAnsi"/>
        </w:rPr>
      </w:pPr>
      <w:r w:rsidRPr="00E25E23">
        <w:rPr>
          <w:rStyle w:val="normaltextrun"/>
          <w:rFonts w:asciiTheme="minorHAnsi" w:hAnsiTheme="minorHAnsi" w:cstheme="minorHAnsi"/>
        </w:rPr>
        <w:t>Education, Skills, and Training Deprivation (13.5%) </w:t>
      </w:r>
      <w:r w:rsidRPr="00E25E23">
        <w:rPr>
          <w:rStyle w:val="eop"/>
          <w:rFonts w:asciiTheme="minorHAnsi" w:hAnsiTheme="minorHAnsi" w:cstheme="minorHAnsi"/>
        </w:rPr>
        <w:t> </w:t>
      </w:r>
    </w:p>
    <w:p w14:paraId="2C3B3AD5" w14:textId="41C8B73B" w:rsidR="00E455B3" w:rsidRPr="00E25E23" w:rsidRDefault="00E455B3" w:rsidP="00950441">
      <w:pPr>
        <w:pStyle w:val="paragraph"/>
        <w:numPr>
          <w:ilvl w:val="0"/>
          <w:numId w:val="55"/>
        </w:numPr>
        <w:spacing w:before="0" w:beforeAutospacing="0" w:after="0" w:afterAutospacing="0" w:line="276" w:lineRule="auto"/>
        <w:textAlignment w:val="baseline"/>
        <w:rPr>
          <w:rFonts w:asciiTheme="minorHAnsi" w:hAnsiTheme="minorHAnsi" w:cstheme="minorHAnsi"/>
        </w:rPr>
      </w:pPr>
      <w:r w:rsidRPr="00E25E23">
        <w:rPr>
          <w:rStyle w:val="normaltextrun"/>
          <w:rFonts w:asciiTheme="minorHAnsi" w:hAnsiTheme="minorHAnsi" w:cstheme="minorHAnsi"/>
        </w:rPr>
        <w:t>Health Deprivation and Disability (13.5%)</w:t>
      </w:r>
      <w:r w:rsidRPr="00E25E23">
        <w:rPr>
          <w:rStyle w:val="eop"/>
          <w:rFonts w:asciiTheme="minorHAnsi" w:hAnsiTheme="minorHAnsi" w:cstheme="minorHAnsi"/>
        </w:rPr>
        <w:t> </w:t>
      </w:r>
    </w:p>
    <w:p w14:paraId="774CC6E1" w14:textId="4C2A3257" w:rsidR="00E455B3" w:rsidRPr="00E25E23" w:rsidRDefault="00E455B3" w:rsidP="00950441">
      <w:pPr>
        <w:pStyle w:val="paragraph"/>
        <w:numPr>
          <w:ilvl w:val="0"/>
          <w:numId w:val="55"/>
        </w:numPr>
        <w:spacing w:before="0" w:beforeAutospacing="0" w:after="0" w:afterAutospacing="0" w:line="276" w:lineRule="auto"/>
        <w:textAlignment w:val="baseline"/>
        <w:rPr>
          <w:rFonts w:asciiTheme="minorHAnsi" w:hAnsiTheme="minorHAnsi" w:cstheme="minorHAnsi"/>
        </w:rPr>
      </w:pPr>
      <w:r w:rsidRPr="00E25E23">
        <w:rPr>
          <w:rStyle w:val="normaltextrun"/>
          <w:rFonts w:asciiTheme="minorHAnsi" w:hAnsiTheme="minorHAnsi" w:cstheme="minorHAnsi"/>
        </w:rPr>
        <w:t>Crime (9.3%) </w:t>
      </w:r>
      <w:r w:rsidRPr="00E25E23">
        <w:rPr>
          <w:rStyle w:val="eop"/>
          <w:rFonts w:asciiTheme="minorHAnsi" w:hAnsiTheme="minorHAnsi" w:cstheme="minorHAnsi"/>
        </w:rPr>
        <w:t> </w:t>
      </w:r>
    </w:p>
    <w:p w14:paraId="5776AD35" w14:textId="09DA20A1" w:rsidR="00E455B3" w:rsidRPr="00E25E23" w:rsidRDefault="00E455B3" w:rsidP="00950441">
      <w:pPr>
        <w:pStyle w:val="paragraph"/>
        <w:numPr>
          <w:ilvl w:val="0"/>
          <w:numId w:val="55"/>
        </w:numPr>
        <w:spacing w:before="0" w:beforeAutospacing="0" w:after="0" w:afterAutospacing="0" w:line="276" w:lineRule="auto"/>
        <w:textAlignment w:val="baseline"/>
        <w:rPr>
          <w:rFonts w:asciiTheme="minorHAnsi" w:hAnsiTheme="minorHAnsi" w:cstheme="minorHAnsi"/>
        </w:rPr>
      </w:pPr>
      <w:r w:rsidRPr="00E25E23">
        <w:rPr>
          <w:rStyle w:val="normaltextrun"/>
          <w:rFonts w:asciiTheme="minorHAnsi" w:hAnsiTheme="minorHAnsi" w:cstheme="minorHAnsi"/>
        </w:rPr>
        <w:t>Barriers to Housing and Services (9.3%) </w:t>
      </w:r>
      <w:r w:rsidRPr="00E25E23">
        <w:rPr>
          <w:rStyle w:val="eop"/>
          <w:rFonts w:asciiTheme="minorHAnsi" w:hAnsiTheme="minorHAnsi" w:cstheme="minorHAnsi"/>
        </w:rPr>
        <w:t> </w:t>
      </w:r>
    </w:p>
    <w:p w14:paraId="66FCE37D" w14:textId="10227EFB" w:rsidR="00E455B3" w:rsidRPr="00E25E23" w:rsidRDefault="00E455B3" w:rsidP="00950441">
      <w:pPr>
        <w:pStyle w:val="paragraph"/>
        <w:numPr>
          <w:ilvl w:val="0"/>
          <w:numId w:val="55"/>
        </w:numPr>
        <w:spacing w:before="0" w:beforeAutospacing="0" w:after="0" w:afterAutospacing="0" w:line="276" w:lineRule="auto"/>
        <w:textAlignment w:val="baseline"/>
        <w:rPr>
          <w:rFonts w:asciiTheme="minorHAnsi" w:hAnsiTheme="minorHAnsi" w:cstheme="minorHAnsi"/>
        </w:rPr>
      </w:pPr>
      <w:r w:rsidRPr="00E25E23">
        <w:rPr>
          <w:rStyle w:val="normaltextrun"/>
          <w:rFonts w:asciiTheme="minorHAnsi" w:hAnsiTheme="minorHAnsi" w:cstheme="minorHAnsi"/>
        </w:rPr>
        <w:t>Living Environment Deprivation (9.3%) </w:t>
      </w:r>
      <w:r w:rsidRPr="00E25E23">
        <w:rPr>
          <w:rStyle w:val="eop"/>
          <w:rFonts w:asciiTheme="minorHAnsi" w:hAnsiTheme="minorHAnsi" w:cstheme="minorHAnsi"/>
        </w:rPr>
        <w:t> </w:t>
      </w:r>
    </w:p>
    <w:p w14:paraId="168D19FD" w14:textId="4BC78812" w:rsidR="00E455B3" w:rsidRPr="00867245" w:rsidRDefault="00E455B3" w:rsidP="00867245">
      <w:pPr>
        <w:spacing w:after="0"/>
        <w:textAlignment w:val="baseline"/>
        <w:rPr>
          <w:rStyle w:val="eop"/>
          <w:color w:val="000000" w:themeColor="text1"/>
        </w:rPr>
      </w:pPr>
      <w:r>
        <w:t>T</w:t>
      </w:r>
      <w:r w:rsidRPr="32F7F25D">
        <w:t xml:space="preserve">he </w:t>
      </w:r>
      <w:r w:rsidRPr="00E9179B">
        <w:t>weights</w:t>
      </w:r>
      <w:r w:rsidRPr="32F7F25D">
        <w:t xml:space="preserve"> were derived from consideration of the academic literature on poverty and deprivation, as well as the levels of robustness of the indicators. </w:t>
      </w:r>
      <w:r w:rsidRPr="32F7F25D">
        <w:rPr>
          <w:rStyle w:val="normaltextrun"/>
          <w:rFonts w:ascii="Calibri" w:hAnsi="Calibri" w:cs="Calibri"/>
          <w:color w:val="000000" w:themeColor="text1"/>
        </w:rPr>
        <w:t>Where analysis is provided by deprivation quintiles, the quintiles shown are the population weighted Kent quintiles, with the first quintile being the most deprived and the fifth being the least deprived.</w:t>
      </w:r>
      <w:r w:rsidRPr="32F7F25D">
        <w:rPr>
          <w:rStyle w:val="eop"/>
          <w:rFonts w:ascii="Calibri" w:hAnsi="Calibri" w:cs="Calibri"/>
          <w:color w:val="000000" w:themeColor="text1"/>
        </w:rPr>
        <w:t xml:space="preserve">  </w:t>
      </w:r>
      <w:r w:rsidRPr="32F7F25D">
        <w:rPr>
          <w:rStyle w:val="normaltextrun"/>
          <w:color w:val="000000"/>
          <w:shd w:val="clear" w:color="auto" w:fill="FFFFFF"/>
        </w:rPr>
        <w:t xml:space="preserve">Given they were updated in 2019 they will not reflect the impact of Covid, or the Cost of Living chapter described later. </w:t>
      </w:r>
    </w:p>
    <w:p w14:paraId="3E2ABED3" w14:textId="77777777" w:rsidR="00E455B3" w:rsidRPr="00867245" w:rsidRDefault="00E455B3" w:rsidP="00867245">
      <w:pPr>
        <w:pStyle w:val="Heading2"/>
        <w:rPr>
          <w:rStyle w:val="eop"/>
        </w:rPr>
      </w:pPr>
      <w:bookmarkStart w:id="29" w:name="_Toc128133804"/>
      <w:r w:rsidRPr="00867245">
        <w:rPr>
          <w:rStyle w:val="eop"/>
        </w:rPr>
        <w:t>Emphasis on Wider Determinants of Health</w:t>
      </w:r>
      <w:bookmarkEnd w:id="29"/>
    </w:p>
    <w:p w14:paraId="08E77C2C" w14:textId="0E5A6433" w:rsidR="00E455B3" w:rsidRDefault="00E455B3" w:rsidP="00867245">
      <w:pPr>
        <w:rPr>
          <w:color w:val="000000" w:themeColor="text1"/>
        </w:rPr>
      </w:pPr>
      <w:r w:rsidRPr="15853314">
        <w:t>The Robert Wood Johnson (RWJ) model is increasingly recognised as a good starting point for identifying the factors contributing to health and the factors which impact an individual’s health. The model ascribes 40% of what impacts on health to socio-economic factors such income, education</w:t>
      </w:r>
      <w:r w:rsidR="7D94CD15">
        <w:t>,</w:t>
      </w:r>
      <w:r w:rsidRPr="15853314">
        <w:t xml:space="preserve"> and employment. The importance of these factors is recognised in </w:t>
      </w:r>
      <w:hyperlink r:id="rId41" w:anchor=":~:text=Framing%20Kent%E2%80%99s%20Future%20is%20our%20top-level%20council%20strategy,of%20the%20opportunities%20that%20the%20county%20is%20facing.">
        <w:r w:rsidRPr="15853314">
          <w:rPr>
            <w:rStyle w:val="Hyperlink"/>
          </w:rPr>
          <w:t>KCC’s Strategic Statement</w:t>
        </w:r>
      </w:hyperlink>
      <w:r w:rsidRPr="15853314">
        <w:t xml:space="preserve"> and is increasingly recognised by our Integrated Care Systems as a key area. By way of example t</w:t>
      </w:r>
      <w:r w:rsidRPr="15853314">
        <w:rPr>
          <w:color w:val="000000" w:themeColor="text1"/>
        </w:rPr>
        <w:t xml:space="preserve">he community engagement exercise managed by </w:t>
      </w:r>
      <w:proofErr w:type="spellStart"/>
      <w:r w:rsidRPr="15853314">
        <w:rPr>
          <w:color w:val="000000" w:themeColor="text1"/>
        </w:rPr>
        <w:t>Activmob</w:t>
      </w:r>
      <w:proofErr w:type="spellEnd"/>
      <w:r w:rsidRPr="15853314">
        <w:rPr>
          <w:color w:val="000000" w:themeColor="text1"/>
        </w:rPr>
        <w:t xml:space="preserve"> in the Maidstone area highlighted how these wider determinants relating to safety, food poverty, money, and housin</w:t>
      </w:r>
      <w:r w:rsidRPr="15853314">
        <w:t xml:space="preserve">g </w:t>
      </w:r>
      <w:r w:rsidRPr="15853314">
        <w:rPr>
          <w:color w:val="000000" w:themeColor="text1"/>
        </w:rPr>
        <w:t>have significant impacts upon both individual and community lives. (See section on Stakeholder Engagement)</w:t>
      </w:r>
    </w:p>
    <w:p w14:paraId="33935D75" w14:textId="25055CB9" w:rsidR="00E455B3" w:rsidRDefault="0099062D" w:rsidP="00867245">
      <w:pPr>
        <w:spacing w:line="257" w:lineRule="auto"/>
      </w:pPr>
      <w:r>
        <w:t xml:space="preserve">The </w:t>
      </w:r>
      <w:bookmarkStart w:id="30" w:name="_Int_RbZTTCMp"/>
      <w:r w:rsidR="00E455B3">
        <w:t xml:space="preserve">Long </w:t>
      </w:r>
      <w:r w:rsidR="07C8F6DB">
        <w:t>T</w:t>
      </w:r>
      <w:r w:rsidR="00E455B3">
        <w:t>erm</w:t>
      </w:r>
      <w:bookmarkEnd w:id="30"/>
      <w:r w:rsidR="00E455B3">
        <w:t xml:space="preserve"> strategy requires </w:t>
      </w:r>
      <w:r w:rsidR="00E06864">
        <w:t xml:space="preserve">the </w:t>
      </w:r>
      <w:r w:rsidR="00E455B3">
        <w:t>best start in life and school readiness to drive optimal educational attainment and then</w:t>
      </w:r>
      <w:r w:rsidR="00E06864">
        <w:t xml:space="preserve"> the </w:t>
      </w:r>
      <w:r w:rsidR="00E455B3">
        <w:t>realisation of potential in the workplace. Income will also include ensuring maximum availability and access to benefits for those who require additional support. Adult Community learning is also key to help people achieve what they can in the workplace, as well as the development of local public sector anchors</w:t>
      </w:r>
      <w:r w:rsidR="00425190">
        <w:t>,</w:t>
      </w:r>
      <w:r w:rsidR="00E455B3">
        <w:t xml:space="preserve"> especially where private sector employment is limited. We also need ensure people with vulnerabilities</w:t>
      </w:r>
      <w:r w:rsidR="00425190">
        <w:t>,</w:t>
      </w:r>
      <w:r w:rsidR="00E455B3">
        <w:t xml:space="preserve"> including people with mental health issues </w:t>
      </w:r>
      <w:r w:rsidR="00425190">
        <w:t xml:space="preserve">or </w:t>
      </w:r>
      <w:r w:rsidR="00E455B3">
        <w:t>learning difficulties</w:t>
      </w:r>
      <w:r w:rsidR="00425190">
        <w:t>,</w:t>
      </w:r>
      <w:r w:rsidR="00E455B3">
        <w:t xml:space="preserve"> have the best chance to gain and retain employment.</w:t>
      </w:r>
    </w:p>
    <w:p w14:paraId="079D87C4" w14:textId="77777777" w:rsidR="00E9179B" w:rsidRDefault="00E9179B">
      <w:pPr>
        <w:spacing w:before="0" w:after="200"/>
        <w:rPr>
          <w:rStyle w:val="eop"/>
          <w:rFonts w:ascii="Calibri" w:eastAsia="Times New Roman" w:hAnsi="Calibri" w:cs="Calibri"/>
          <w:b/>
          <w:bCs/>
        </w:rPr>
      </w:pPr>
      <w:r>
        <w:rPr>
          <w:rStyle w:val="eop"/>
          <w:rFonts w:ascii="Calibri" w:hAnsi="Calibri" w:cs="Calibri"/>
          <w:b/>
          <w:bCs/>
        </w:rPr>
        <w:br w:type="page"/>
      </w:r>
    </w:p>
    <w:p w14:paraId="37751132" w14:textId="40BC01CA" w:rsidR="00E455B3" w:rsidRDefault="00E455B3" w:rsidP="00867245">
      <w:pPr>
        <w:pStyle w:val="paragraph"/>
        <w:spacing w:before="0" w:beforeAutospacing="0" w:after="0" w:afterAutospacing="0" w:line="276" w:lineRule="auto"/>
        <w:rPr>
          <w:rStyle w:val="eop"/>
          <w:rFonts w:ascii="Calibri" w:hAnsi="Calibri" w:cs="Calibri"/>
          <w:b/>
          <w:bCs/>
        </w:rPr>
      </w:pPr>
      <w:r w:rsidRPr="5E4DB3C2">
        <w:rPr>
          <w:rStyle w:val="eop"/>
          <w:rFonts w:ascii="Calibri" w:hAnsi="Calibri" w:cs="Calibri"/>
          <w:b/>
          <w:bCs/>
        </w:rPr>
        <w:lastRenderedPageBreak/>
        <w:t xml:space="preserve">Figure 1 </w:t>
      </w:r>
      <w:hyperlink r:id="rId42">
        <w:r w:rsidRPr="5E4DB3C2">
          <w:rPr>
            <w:rStyle w:val="Hyperlink"/>
            <w:rFonts w:ascii="Calibri" w:eastAsiaTheme="majorEastAsia" w:hAnsi="Calibri" w:cs="Calibri"/>
          </w:rPr>
          <w:t>RWJ Model</w:t>
        </w:r>
      </w:hyperlink>
      <w:r w:rsidR="0099062D">
        <w:rPr>
          <w:rStyle w:val="Hyperlink"/>
          <w:rFonts w:ascii="Calibri" w:eastAsiaTheme="majorEastAsia" w:hAnsi="Calibri" w:cs="Calibri"/>
        </w:rPr>
        <w:t xml:space="preserve"> </w:t>
      </w:r>
    </w:p>
    <w:p w14:paraId="21216DC7" w14:textId="77777777" w:rsidR="00E455B3" w:rsidRDefault="00E455B3" w:rsidP="00E455B3">
      <w:pPr>
        <w:spacing w:after="0" w:line="256" w:lineRule="auto"/>
        <w:ind w:left="720" w:hanging="720"/>
        <w:rPr>
          <w:rFonts w:eastAsia="Calibri"/>
          <w:b/>
          <w:bCs/>
        </w:rPr>
      </w:pPr>
      <w:r>
        <w:rPr>
          <w:noProof/>
        </w:rPr>
        <w:drawing>
          <wp:inline distT="0" distB="0" distL="0" distR="0" wp14:anchorId="1A7D3121" wp14:editId="302D7A01">
            <wp:extent cx="5724525" cy="3433467"/>
            <wp:effectExtent l="0" t="0" r="2540" b="0"/>
            <wp:docPr id="2101748073" name="Picture 44" descr="Infographic of the RJW Model showing factors which impact an individual's health. Health behaviours such as diet, exercise, alcohol, smoking, sexual health make up 30%. Socioeconomic factors such as education, income, employment, social support and community safety make up 40%. Clinical care such as access to and quality of care make up 20%. The build environment makes u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48073" name="Picture 44" descr="Infographic of the RJW Model showing factors which impact an individual's health. Health behaviours such as diet, exercise, alcohol, smoking, sexual health make up 30%. Socioeconomic factors such as education, income, employment, social support and community safety make up 40%. Clinical care such as access to and quality of care make up 20%. The build environment makes up 10%."/>
                    <pic:cNvPicPr/>
                  </pic:nvPicPr>
                  <pic:blipFill>
                    <a:blip r:embed="rId43">
                      <a:extLst>
                        <a:ext uri="{28A0092B-C50C-407E-A947-70E740481C1C}">
                          <a14:useLocalDpi xmlns:a14="http://schemas.microsoft.com/office/drawing/2010/main" val="0"/>
                        </a:ext>
                      </a:extLst>
                    </a:blip>
                    <a:stretch>
                      <a:fillRect/>
                    </a:stretch>
                  </pic:blipFill>
                  <pic:spPr bwMode="auto">
                    <a:xfrm>
                      <a:off x="0" y="0"/>
                      <a:ext cx="5724525" cy="3433467"/>
                    </a:xfrm>
                    <a:prstGeom prst="rect">
                      <a:avLst/>
                    </a:prstGeom>
                    <a:noFill/>
                    <a:ln>
                      <a:noFill/>
                    </a:ln>
                  </pic:spPr>
                </pic:pic>
              </a:graphicData>
            </a:graphic>
          </wp:inline>
        </w:drawing>
      </w:r>
    </w:p>
    <w:p w14:paraId="4534605D" w14:textId="77777777" w:rsidR="00AB4AA7" w:rsidRDefault="00AB4AA7" w:rsidP="002F5F22">
      <w:pPr>
        <w:pStyle w:val="Heading1"/>
      </w:pPr>
      <w:bookmarkStart w:id="31" w:name="_Toc128133805"/>
      <w:r w:rsidRPr="5E4DB3C2">
        <w:t>Demographics</w:t>
      </w:r>
      <w:bookmarkEnd w:id="31"/>
    </w:p>
    <w:p w14:paraId="05619AB8" w14:textId="333E8E31" w:rsidR="00AB4AA7" w:rsidRDefault="00AB4AA7" w:rsidP="00867245">
      <w:pPr>
        <w:spacing w:after="0"/>
        <w:rPr>
          <w:rFonts w:ascii="Calibri" w:eastAsia="Calibri" w:hAnsi="Calibri" w:cs="Calibri"/>
          <w:color w:val="000000" w:themeColor="text1"/>
        </w:rPr>
      </w:pPr>
      <w:r w:rsidRPr="5E4DB3C2">
        <w:rPr>
          <w:rStyle w:val="normaltextrun"/>
          <w:rFonts w:ascii="Calibri" w:eastAsia="Calibri" w:hAnsi="Calibri" w:cs="Calibri"/>
          <w:color w:val="000000" w:themeColor="text1"/>
        </w:rPr>
        <w:t>Default HCP population forecasts follow national ONS projection estimates. Some of these estimates</w:t>
      </w:r>
      <w:r w:rsidR="00425870">
        <w:rPr>
          <w:rStyle w:val="normaltextrun"/>
          <w:rFonts w:ascii="Calibri" w:eastAsia="Calibri" w:hAnsi="Calibri" w:cs="Calibri"/>
          <w:color w:val="000000" w:themeColor="text1"/>
        </w:rPr>
        <w:t>,</w:t>
      </w:r>
      <w:r w:rsidRPr="5E4DB3C2">
        <w:rPr>
          <w:rStyle w:val="normaltextrun"/>
          <w:rFonts w:ascii="Calibri" w:eastAsia="Calibri" w:hAnsi="Calibri" w:cs="Calibri"/>
          <w:color w:val="000000" w:themeColor="text1"/>
        </w:rPr>
        <w:t xml:space="preserve"> particularly</w:t>
      </w:r>
      <w:r w:rsidR="00425870">
        <w:rPr>
          <w:rStyle w:val="normaltextrun"/>
          <w:rFonts w:ascii="Calibri" w:eastAsia="Calibri" w:hAnsi="Calibri" w:cs="Calibri"/>
          <w:color w:val="000000" w:themeColor="text1"/>
        </w:rPr>
        <w:t xml:space="preserve"> for</w:t>
      </w:r>
      <w:r w:rsidRPr="5E4DB3C2">
        <w:rPr>
          <w:rStyle w:val="normaltextrun"/>
          <w:rFonts w:ascii="Calibri" w:eastAsia="Calibri" w:hAnsi="Calibri" w:cs="Calibri"/>
          <w:color w:val="000000" w:themeColor="text1"/>
        </w:rPr>
        <w:t xml:space="preserve"> younger age groups, are in contrast with local housing growth forecasts by KCC shown below</w:t>
      </w:r>
      <w:r w:rsidR="002C4DBD">
        <w:rPr>
          <w:rStyle w:val="normaltextrun"/>
          <w:rFonts w:ascii="Calibri" w:eastAsia="Calibri" w:hAnsi="Calibri" w:cs="Calibri"/>
          <w:color w:val="000000" w:themeColor="text1"/>
        </w:rPr>
        <w:t xml:space="preserve"> which tend to be higher</w:t>
      </w:r>
      <w:r w:rsidRPr="5E4DB3C2">
        <w:rPr>
          <w:rStyle w:val="normaltextrun"/>
          <w:rFonts w:ascii="Calibri" w:eastAsia="Calibri" w:hAnsi="Calibri" w:cs="Calibri"/>
          <w:color w:val="000000" w:themeColor="text1"/>
        </w:rPr>
        <w:t>. For the purposes of this HNA, we will be adopting the latter.</w:t>
      </w:r>
    </w:p>
    <w:p w14:paraId="0C792A89" w14:textId="7566AE15" w:rsidR="00AB4AA7" w:rsidRDefault="00AB4AA7" w:rsidP="00867245">
      <w:pPr>
        <w:spacing w:after="0"/>
        <w:rPr>
          <w:rFonts w:ascii="Calibri" w:eastAsia="Calibri" w:hAnsi="Calibri" w:cs="Calibri"/>
          <w:color w:val="000000" w:themeColor="text1"/>
        </w:rPr>
      </w:pPr>
      <w:r w:rsidRPr="5E4DB3C2">
        <w:rPr>
          <w:rStyle w:val="normaltextrun"/>
          <w:rFonts w:ascii="Calibri" w:eastAsia="Calibri" w:hAnsi="Calibri" w:cs="Calibri"/>
          <w:color w:val="000000" w:themeColor="text1"/>
        </w:rPr>
        <w:t xml:space="preserve">For the resident populations for the districts of Maidstone, Sevenoaks, Tonbridge, and Malling and </w:t>
      </w:r>
      <w:r w:rsidR="00E4536B" w:rsidRPr="5E4DB3C2">
        <w:rPr>
          <w:rStyle w:val="normaltextrun"/>
          <w:rFonts w:ascii="Calibri" w:eastAsia="Calibri" w:hAnsi="Calibri" w:cs="Calibri"/>
          <w:color w:val="000000" w:themeColor="text1"/>
        </w:rPr>
        <w:t>T</w:t>
      </w:r>
      <w:r w:rsidR="00E4536B">
        <w:rPr>
          <w:rStyle w:val="normaltextrun"/>
          <w:rFonts w:ascii="Calibri" w:eastAsia="Calibri" w:hAnsi="Calibri" w:cs="Calibri"/>
          <w:color w:val="000000" w:themeColor="text1"/>
        </w:rPr>
        <w:t>u</w:t>
      </w:r>
      <w:r w:rsidR="00E4536B" w:rsidRPr="5E4DB3C2">
        <w:rPr>
          <w:rStyle w:val="normaltextrun"/>
          <w:rFonts w:ascii="Calibri" w:eastAsia="Calibri" w:hAnsi="Calibri" w:cs="Calibri"/>
          <w:color w:val="000000" w:themeColor="text1"/>
        </w:rPr>
        <w:t xml:space="preserve">nbridge </w:t>
      </w:r>
      <w:r w:rsidRPr="5E4DB3C2">
        <w:rPr>
          <w:rStyle w:val="normaltextrun"/>
          <w:rFonts w:ascii="Calibri" w:eastAsia="Calibri" w:hAnsi="Calibri" w:cs="Calibri"/>
          <w:color w:val="000000" w:themeColor="text1"/>
        </w:rPr>
        <w:t xml:space="preserve">Wells, the following changes are predicted based on KCC housing led forecasts for the next 20 years, as shown in Figures 2 to 8:  </w:t>
      </w:r>
    </w:p>
    <w:p w14:paraId="1F618B42" w14:textId="50878BE0" w:rsidR="00AB4AA7" w:rsidRPr="00E9179B" w:rsidRDefault="00AB4AA7" w:rsidP="00E9179B">
      <w:pPr>
        <w:pStyle w:val="ListParagraph"/>
        <w:numPr>
          <w:ilvl w:val="0"/>
          <w:numId w:val="56"/>
        </w:numPr>
        <w:spacing w:after="0"/>
        <w:rPr>
          <w:rFonts w:ascii="Calibri" w:eastAsia="Calibri" w:hAnsi="Calibri" w:cs="Calibri"/>
          <w:color w:val="000000" w:themeColor="text1"/>
        </w:rPr>
      </w:pPr>
      <w:r w:rsidRPr="15853314">
        <w:rPr>
          <w:rStyle w:val="normaltextrun"/>
          <w:rFonts w:ascii="Calibri" w:eastAsia="Calibri" w:hAnsi="Calibri" w:cs="Calibri"/>
          <w:color w:val="000000" w:themeColor="text1"/>
          <w:sz w:val="24"/>
          <w:szCs w:val="24"/>
        </w:rPr>
        <w:t xml:space="preserve">The under-five population is predicted to increase by </w:t>
      </w:r>
      <w:r w:rsidR="004B7D46">
        <w:rPr>
          <w:rStyle w:val="normaltextrun"/>
          <w:rFonts w:ascii="Calibri" w:eastAsia="Calibri" w:hAnsi="Calibri" w:cs="Calibri"/>
          <w:color w:val="000000" w:themeColor="text1"/>
          <w:sz w:val="24"/>
          <w:szCs w:val="24"/>
        </w:rPr>
        <w:t>16.2</w:t>
      </w:r>
      <w:r w:rsidRPr="15853314">
        <w:rPr>
          <w:rStyle w:val="normaltextrun"/>
          <w:rFonts w:ascii="Calibri" w:eastAsia="Calibri" w:hAnsi="Calibri" w:cs="Calibri"/>
          <w:color w:val="000000" w:themeColor="text1"/>
          <w:sz w:val="24"/>
          <w:szCs w:val="24"/>
        </w:rPr>
        <w:t xml:space="preserve">%.  </w:t>
      </w:r>
    </w:p>
    <w:p w14:paraId="7C28335F" w14:textId="15068C32" w:rsidR="00AB4AA7" w:rsidRPr="00E9179B" w:rsidRDefault="00AB4AA7" w:rsidP="00E9179B">
      <w:pPr>
        <w:pStyle w:val="ListParagraph"/>
        <w:numPr>
          <w:ilvl w:val="0"/>
          <w:numId w:val="56"/>
        </w:numPr>
        <w:spacing w:after="0"/>
        <w:rPr>
          <w:rFonts w:ascii="Calibri" w:eastAsia="Calibri" w:hAnsi="Calibri" w:cs="Calibri"/>
          <w:color w:val="000000" w:themeColor="text1"/>
        </w:rPr>
      </w:pPr>
      <w:r w:rsidRPr="15853314">
        <w:rPr>
          <w:rStyle w:val="normaltextrun"/>
          <w:rFonts w:ascii="Calibri" w:eastAsia="Calibri" w:hAnsi="Calibri" w:cs="Calibri"/>
          <w:color w:val="000000" w:themeColor="text1"/>
          <w:sz w:val="24"/>
          <w:szCs w:val="24"/>
        </w:rPr>
        <w:t xml:space="preserve">The population aged 0-19 is predicted to increase slowly by </w:t>
      </w:r>
      <w:r w:rsidR="00347260">
        <w:rPr>
          <w:rStyle w:val="normaltextrun"/>
          <w:rFonts w:ascii="Calibri" w:eastAsia="Calibri" w:hAnsi="Calibri" w:cs="Calibri"/>
          <w:color w:val="000000" w:themeColor="text1"/>
          <w:sz w:val="24"/>
          <w:szCs w:val="24"/>
        </w:rPr>
        <w:t>12.2%</w:t>
      </w:r>
      <w:r w:rsidRPr="15853314">
        <w:rPr>
          <w:rStyle w:val="normaltextrun"/>
          <w:rFonts w:ascii="Calibri" w:eastAsia="Calibri" w:hAnsi="Calibri" w:cs="Calibri"/>
          <w:color w:val="000000" w:themeColor="text1"/>
          <w:sz w:val="24"/>
          <w:szCs w:val="24"/>
        </w:rPr>
        <w:t xml:space="preserve">.   </w:t>
      </w:r>
    </w:p>
    <w:p w14:paraId="2D47BFE5" w14:textId="51BE6DD6" w:rsidR="00AB4AA7" w:rsidRPr="00E9179B" w:rsidRDefault="00AB4AA7" w:rsidP="00E9179B">
      <w:pPr>
        <w:pStyle w:val="ListParagraph"/>
        <w:numPr>
          <w:ilvl w:val="0"/>
          <w:numId w:val="56"/>
        </w:numPr>
        <w:spacing w:after="0"/>
        <w:rPr>
          <w:rFonts w:ascii="Calibri" w:eastAsia="Calibri" w:hAnsi="Calibri" w:cs="Calibri"/>
          <w:color w:val="000000" w:themeColor="text1"/>
        </w:rPr>
      </w:pPr>
      <w:r w:rsidRPr="00FD11ED">
        <w:rPr>
          <w:rStyle w:val="normaltextrun"/>
          <w:rFonts w:ascii="Calibri" w:eastAsia="Calibri" w:hAnsi="Calibri" w:cs="Calibri"/>
          <w:color w:val="000000" w:themeColor="text1"/>
          <w:sz w:val="24"/>
          <w:szCs w:val="24"/>
        </w:rPr>
        <w:t xml:space="preserve">The population of 65+ is predicted to increase by </w:t>
      </w:r>
      <w:r w:rsidR="00347260">
        <w:rPr>
          <w:rStyle w:val="normaltextrun"/>
          <w:rFonts w:ascii="Calibri" w:eastAsia="Calibri" w:hAnsi="Calibri" w:cs="Calibri"/>
          <w:color w:val="000000" w:themeColor="text1"/>
          <w:sz w:val="24"/>
          <w:szCs w:val="24"/>
        </w:rPr>
        <w:t>44.7</w:t>
      </w:r>
      <w:r w:rsidRPr="00FD11ED">
        <w:rPr>
          <w:rStyle w:val="normaltextrun"/>
          <w:rFonts w:ascii="Calibri" w:eastAsia="Calibri" w:hAnsi="Calibri" w:cs="Calibri"/>
          <w:color w:val="000000" w:themeColor="text1"/>
          <w:sz w:val="24"/>
          <w:szCs w:val="24"/>
        </w:rPr>
        <w:t xml:space="preserve">%.   </w:t>
      </w:r>
    </w:p>
    <w:p w14:paraId="34997BC0" w14:textId="0F2AAFB5" w:rsidR="00AB4AA7" w:rsidRPr="00E9179B" w:rsidRDefault="00AB4AA7" w:rsidP="00E9179B">
      <w:pPr>
        <w:pStyle w:val="ListParagraph"/>
        <w:numPr>
          <w:ilvl w:val="0"/>
          <w:numId w:val="56"/>
        </w:numPr>
        <w:spacing w:after="0"/>
        <w:rPr>
          <w:rFonts w:ascii="Calibri" w:eastAsia="Calibri" w:hAnsi="Calibri" w:cs="Calibri"/>
          <w:color w:val="000000" w:themeColor="text1"/>
        </w:rPr>
      </w:pPr>
      <w:r w:rsidRPr="00FD11ED">
        <w:rPr>
          <w:rStyle w:val="normaltextrun"/>
          <w:rFonts w:ascii="Calibri" w:eastAsia="Calibri" w:hAnsi="Calibri" w:cs="Calibri"/>
          <w:color w:val="000000" w:themeColor="text1"/>
          <w:sz w:val="24"/>
          <w:szCs w:val="24"/>
        </w:rPr>
        <w:t xml:space="preserve">This population increase is even greater in the 85+ group by </w:t>
      </w:r>
      <w:r w:rsidR="00347260">
        <w:rPr>
          <w:rStyle w:val="normaltextrun"/>
          <w:rFonts w:ascii="Calibri" w:eastAsia="Calibri" w:hAnsi="Calibri" w:cs="Calibri"/>
          <w:color w:val="000000" w:themeColor="text1"/>
          <w:sz w:val="24"/>
          <w:szCs w:val="24"/>
        </w:rPr>
        <w:t>78.7</w:t>
      </w:r>
      <w:r w:rsidRPr="00FD11ED">
        <w:rPr>
          <w:rStyle w:val="normaltextrun"/>
          <w:rFonts w:ascii="Calibri" w:eastAsia="Calibri" w:hAnsi="Calibri" w:cs="Calibri"/>
          <w:color w:val="000000" w:themeColor="text1"/>
          <w:sz w:val="24"/>
          <w:szCs w:val="24"/>
        </w:rPr>
        <w:t>%.</w:t>
      </w:r>
      <w:r w:rsidRPr="15853314">
        <w:rPr>
          <w:rStyle w:val="normaltextrun"/>
          <w:rFonts w:ascii="Calibri" w:eastAsia="Calibri" w:hAnsi="Calibri" w:cs="Calibri"/>
          <w:color w:val="000000" w:themeColor="text1"/>
          <w:sz w:val="24"/>
          <w:szCs w:val="24"/>
        </w:rPr>
        <w:t xml:space="preserve">  </w:t>
      </w:r>
    </w:p>
    <w:p w14:paraId="7F2D3A21" w14:textId="77777777" w:rsidR="00AB4AA7" w:rsidRPr="00E9179B" w:rsidRDefault="00AB4AA7" w:rsidP="00E9179B">
      <w:pPr>
        <w:pStyle w:val="ListParagraph"/>
        <w:numPr>
          <w:ilvl w:val="0"/>
          <w:numId w:val="56"/>
        </w:numPr>
        <w:spacing w:after="0"/>
        <w:rPr>
          <w:rFonts w:ascii="Calibri" w:eastAsia="Calibri" w:hAnsi="Calibri" w:cs="Calibri"/>
          <w:color w:val="000000" w:themeColor="text1"/>
        </w:rPr>
      </w:pPr>
      <w:r w:rsidRPr="00FD11ED">
        <w:rPr>
          <w:rStyle w:val="normaltextrun"/>
          <w:rFonts w:ascii="Calibri" w:eastAsia="Calibri" w:hAnsi="Calibri" w:cs="Calibri"/>
          <w:color w:val="000000" w:themeColor="text1"/>
          <w:sz w:val="24"/>
          <w:szCs w:val="24"/>
        </w:rPr>
        <w:t>The greatest increase in population is predicted for Maidstone compared to the other districts in West Kent for population aged 65 plus years and 85 years and over</w:t>
      </w:r>
      <w:r w:rsidRPr="15853314">
        <w:rPr>
          <w:rStyle w:val="normaltextrun"/>
          <w:rFonts w:ascii="Calibri" w:eastAsia="Calibri" w:hAnsi="Calibri" w:cs="Calibri"/>
          <w:color w:val="000000" w:themeColor="text1"/>
          <w:sz w:val="24"/>
          <w:szCs w:val="24"/>
        </w:rPr>
        <w:t xml:space="preserve">.  </w:t>
      </w:r>
    </w:p>
    <w:p w14:paraId="051C0BD6" w14:textId="5CC10B8B" w:rsidR="00AB4AA7" w:rsidRDefault="00AB4AA7" w:rsidP="00867245">
      <w:pPr>
        <w:spacing w:after="0"/>
        <w:rPr>
          <w:rStyle w:val="normaltextrun"/>
          <w:rFonts w:ascii="Calibri" w:eastAsia="Calibri" w:hAnsi="Calibri" w:cs="Calibri"/>
          <w:color w:val="000000" w:themeColor="text1"/>
        </w:rPr>
      </w:pPr>
      <w:r w:rsidRPr="5E4DB3C2">
        <w:rPr>
          <w:rStyle w:val="normaltextrun"/>
          <w:rFonts w:ascii="Calibri" w:eastAsia="Calibri" w:hAnsi="Calibri" w:cs="Calibri"/>
          <w:color w:val="000000" w:themeColor="text1"/>
        </w:rPr>
        <w:t xml:space="preserve">This increase in the numbers of older people will contribute to pressures upon the health and social care system given the increasing incidence of patients with single and multiple long-term conditions as well as increasing numbers of patients experiencing falls and frailty. The multiple challenges facing the health and social care system will be ensuring that the flow of patients both into and out of the healthcare pathway to enable timely and appropriate can be delivered.  </w:t>
      </w:r>
    </w:p>
    <w:p w14:paraId="74E4BEF1" w14:textId="7588FFA6" w:rsidR="00FD0F10" w:rsidRPr="00FD0F10" w:rsidRDefault="00FD0F10" w:rsidP="00FD0F10">
      <w:pPr>
        <w:pStyle w:val="Heading2"/>
      </w:pPr>
      <w:bookmarkStart w:id="32" w:name="_Toc128133806"/>
      <w:r w:rsidRPr="00FD0F10">
        <w:rPr>
          <w:rStyle w:val="normaltextrun"/>
        </w:rPr>
        <w:lastRenderedPageBreak/>
        <w:t>Population Demographics</w:t>
      </w:r>
      <w:bookmarkEnd w:id="32"/>
    </w:p>
    <w:p w14:paraId="0D8C1511" w14:textId="2A43C4F7" w:rsidR="00AB4AA7" w:rsidRDefault="00AB4AA7" w:rsidP="00AB4AA7">
      <w:pPr>
        <w:pStyle w:val="paragraph"/>
        <w:spacing w:before="0" w:beforeAutospacing="0" w:after="0" w:afterAutospacing="0" w:line="276" w:lineRule="auto"/>
        <w:jc w:val="both"/>
        <w:rPr>
          <w:rFonts w:asciiTheme="minorHAnsi" w:eastAsiaTheme="minorEastAsia" w:hAnsiTheme="minorHAnsi" w:cstheme="minorBidi"/>
          <w:b/>
          <w:bCs/>
        </w:rPr>
      </w:pPr>
      <w:r w:rsidRPr="5E4DB3C2">
        <w:rPr>
          <w:rFonts w:asciiTheme="minorHAnsi" w:eastAsiaTheme="minorEastAsia" w:hAnsiTheme="minorHAnsi" w:cstheme="minorBidi"/>
          <w:b/>
          <w:bCs/>
        </w:rPr>
        <w:t>Figure 2</w:t>
      </w:r>
      <w:r w:rsidR="00FD0F10">
        <w:rPr>
          <w:rFonts w:asciiTheme="minorHAnsi" w:eastAsiaTheme="minorEastAsia" w:hAnsiTheme="minorHAnsi" w:cstheme="minorBidi"/>
          <w:b/>
          <w:bCs/>
        </w:rPr>
        <w:t xml:space="preserve"> Age Profile for West Kent </w:t>
      </w:r>
    </w:p>
    <w:p w14:paraId="6FE5918A" w14:textId="77777777" w:rsidR="00AB4AA7" w:rsidRDefault="00AB4AA7" w:rsidP="00AB4AA7">
      <w:pPr>
        <w:pStyle w:val="paragraph"/>
        <w:spacing w:before="0" w:beforeAutospacing="0" w:after="0" w:afterAutospacing="0" w:line="276" w:lineRule="auto"/>
        <w:jc w:val="both"/>
        <w:rPr>
          <w:b/>
          <w:bCs/>
        </w:rPr>
      </w:pPr>
      <w:r>
        <w:rPr>
          <w:noProof/>
        </w:rPr>
        <w:drawing>
          <wp:inline distT="0" distB="0" distL="0" distR="0" wp14:anchorId="051A7A27" wp14:editId="7B654284">
            <wp:extent cx="3842657" cy="4834187"/>
            <wp:effectExtent l="0" t="0" r="5715" b="5080"/>
            <wp:docPr id="1718973551" name="Picture 14" descr="A population pyramid showing the age distribution of people living in West Kent. The chart shows higher proportions of people in age bands 50-54, 55-59, 10-14. West Kent has fewer middle-age adults than England nationally, and slightly more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73551" name="Picture 14" descr="A population pyramid showing the age distribution of people living in West Kent. The chart shows higher proportions of people in age bands 50-54, 55-59, 10-14. West Kent has fewer middle-age adults than England nationally, and slightly more children."/>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846817" cy="4839421"/>
                    </a:xfrm>
                    <a:prstGeom prst="rect">
                      <a:avLst/>
                    </a:prstGeom>
                    <a:noFill/>
                    <a:ln>
                      <a:noFill/>
                    </a:ln>
                  </pic:spPr>
                </pic:pic>
              </a:graphicData>
            </a:graphic>
          </wp:inline>
        </w:drawing>
      </w:r>
    </w:p>
    <w:p w14:paraId="7B1713C3" w14:textId="2E9DA695" w:rsidR="00AB4AA7" w:rsidRDefault="00AB4AA7" w:rsidP="00AB4AA7">
      <w:pPr>
        <w:spacing w:after="0"/>
      </w:pPr>
      <w:r w:rsidRPr="5E4DB3C2">
        <w:rPr>
          <w:b/>
          <w:bCs/>
        </w:rPr>
        <w:t>Figure 3</w:t>
      </w:r>
      <w:r w:rsidR="00FD0F10">
        <w:rPr>
          <w:b/>
          <w:bCs/>
        </w:rPr>
        <w:t xml:space="preserve"> </w:t>
      </w:r>
      <w:r w:rsidR="00484B33">
        <w:rPr>
          <w:b/>
          <w:bCs/>
        </w:rPr>
        <w:t>Population projections in children aged 0-19 years, West Kent districts</w:t>
      </w:r>
    </w:p>
    <w:p w14:paraId="4D5198A0" w14:textId="4669B2F8" w:rsidR="00867245" w:rsidRDefault="00AB4AA7" w:rsidP="00B66790">
      <w:pPr>
        <w:rPr>
          <w:b/>
          <w:bCs/>
        </w:rPr>
      </w:pPr>
      <w:r>
        <w:rPr>
          <w:noProof/>
          <w:color w:val="2B579A"/>
          <w:shd w:val="clear" w:color="auto" w:fill="E6E6E6"/>
        </w:rPr>
        <w:drawing>
          <wp:inline distT="0" distB="0" distL="0" distR="0" wp14:anchorId="47AD1A1A" wp14:editId="6A3374B9">
            <wp:extent cx="5085207" cy="2656936"/>
            <wp:effectExtent l="0" t="0" r="1270" b="0"/>
            <wp:docPr id="1429890784" name="Picture 1429890784" descr="A line chart showing population projections in the 4 West Kent Districts from 2020 to 2040 in children aged 0 to 19 years. Increases in populations are projected for all 4 districts at a similar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ne chart showing population projections in the 4 West Kent Districts from 2020 to 2040 in children aged 0 to 19 years. Increases in populations are projected for all 4 districts at a similar rate.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3833" cy="2661443"/>
                    </a:xfrm>
                    <a:prstGeom prst="rect">
                      <a:avLst/>
                    </a:prstGeom>
                    <a:noFill/>
                  </pic:spPr>
                </pic:pic>
              </a:graphicData>
            </a:graphic>
          </wp:inline>
        </w:drawing>
      </w:r>
      <w:r w:rsidR="00867245">
        <w:rPr>
          <w:b/>
          <w:bCs/>
        </w:rPr>
        <w:br w:type="page"/>
      </w:r>
    </w:p>
    <w:p w14:paraId="1A956570" w14:textId="2A9FBE3B" w:rsidR="00AB4AA7" w:rsidRPr="00BF0596" w:rsidRDefault="00AB4AA7" w:rsidP="00AB4AA7">
      <w:pPr>
        <w:rPr>
          <w:b/>
          <w:bCs/>
        </w:rPr>
      </w:pPr>
      <w:r w:rsidRPr="5E4DB3C2">
        <w:rPr>
          <w:b/>
          <w:bCs/>
        </w:rPr>
        <w:lastRenderedPageBreak/>
        <w:t xml:space="preserve">Figure 4 </w:t>
      </w:r>
      <w:r w:rsidR="00484B33">
        <w:rPr>
          <w:b/>
          <w:bCs/>
        </w:rPr>
        <w:t>Population projections in children aged 0-19 years, West Kent</w:t>
      </w:r>
    </w:p>
    <w:p w14:paraId="70612717" w14:textId="77777777" w:rsidR="00AB4AA7" w:rsidRDefault="00AB4AA7" w:rsidP="00AB4AA7">
      <w:r>
        <w:rPr>
          <w:noProof/>
          <w:color w:val="2B579A"/>
          <w:shd w:val="clear" w:color="auto" w:fill="E6E6E6"/>
        </w:rPr>
        <w:drawing>
          <wp:inline distT="0" distB="0" distL="0" distR="0" wp14:anchorId="6571B163" wp14:editId="11524995">
            <wp:extent cx="4744528" cy="2476471"/>
            <wp:effectExtent l="0" t="0" r="0" b="635"/>
            <wp:docPr id="1429890785" name="Picture 1429890785" descr="A line chart showing population projections in West Kent from 2020 to 2040 in children aged 0 to 19 years. The population is forecast to increase from 133900 in 2020 to 150200 i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line chart showing population projections in West Kent from 2020 to 2040 in children aged 0 to 19 years. The population is forecast to increase from 133900 in 2020 to 150200 in 20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51557" cy="2480140"/>
                    </a:xfrm>
                    <a:prstGeom prst="rect">
                      <a:avLst/>
                    </a:prstGeom>
                    <a:noFill/>
                  </pic:spPr>
                </pic:pic>
              </a:graphicData>
            </a:graphic>
          </wp:inline>
        </w:drawing>
      </w:r>
    </w:p>
    <w:p w14:paraId="5A25A067" w14:textId="74F01D7F" w:rsidR="00AB4AA7" w:rsidRPr="00BF0596" w:rsidRDefault="00AB4AA7" w:rsidP="00AB4AA7">
      <w:pPr>
        <w:rPr>
          <w:b/>
          <w:bCs/>
        </w:rPr>
      </w:pPr>
      <w:r w:rsidRPr="5E4DB3C2">
        <w:rPr>
          <w:b/>
          <w:bCs/>
        </w:rPr>
        <w:t>Figure 5</w:t>
      </w:r>
      <w:r w:rsidR="00484B33">
        <w:rPr>
          <w:b/>
          <w:bCs/>
        </w:rPr>
        <w:t xml:space="preserve"> Population projections in adults aged 65+, West Kent districts</w:t>
      </w:r>
    </w:p>
    <w:p w14:paraId="708783C7" w14:textId="77777777" w:rsidR="00AB4AA7" w:rsidRDefault="00AB4AA7" w:rsidP="00AB4AA7">
      <w:r>
        <w:rPr>
          <w:noProof/>
          <w:color w:val="2B579A"/>
          <w:shd w:val="clear" w:color="auto" w:fill="E6E6E6"/>
        </w:rPr>
        <w:drawing>
          <wp:inline distT="0" distB="0" distL="0" distR="0" wp14:anchorId="39D3E694" wp14:editId="3375BE67">
            <wp:extent cx="4744085" cy="2524894"/>
            <wp:effectExtent l="0" t="0" r="0" b="8890"/>
            <wp:docPr id="1429890786" name="Picture 1429890786" descr="A line chart showing population projections in the 4 West Kent Districts from 2020 to 2040 in adults aged 65 years and over. Increases in populations are projected for all 4 districts at a similar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line chart showing population projections in the 4 West Kent Districts from 2020 to 2040 in adults aged 65 years and over. Increases in populations are projected for all 4 districts at a similar rate.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94775" cy="2551872"/>
                    </a:xfrm>
                    <a:prstGeom prst="rect">
                      <a:avLst/>
                    </a:prstGeom>
                    <a:noFill/>
                  </pic:spPr>
                </pic:pic>
              </a:graphicData>
            </a:graphic>
          </wp:inline>
        </w:drawing>
      </w:r>
    </w:p>
    <w:p w14:paraId="19D76CDF" w14:textId="10699A64" w:rsidR="00AB4AA7" w:rsidRPr="00BF0596" w:rsidRDefault="00AB4AA7" w:rsidP="00AB4AA7">
      <w:pPr>
        <w:rPr>
          <w:b/>
          <w:bCs/>
        </w:rPr>
      </w:pPr>
      <w:r w:rsidRPr="5E4DB3C2">
        <w:rPr>
          <w:b/>
          <w:bCs/>
        </w:rPr>
        <w:t>Figure 6</w:t>
      </w:r>
      <w:r w:rsidR="00484B33">
        <w:rPr>
          <w:b/>
          <w:bCs/>
        </w:rPr>
        <w:t xml:space="preserve"> Population projections in adults aged 65+, West Kent</w:t>
      </w:r>
    </w:p>
    <w:p w14:paraId="787858FC" w14:textId="77777777" w:rsidR="00AB4AA7" w:rsidRDefault="00AB4AA7" w:rsidP="00AB4AA7">
      <w:r>
        <w:rPr>
          <w:noProof/>
          <w:color w:val="2B579A"/>
          <w:shd w:val="clear" w:color="auto" w:fill="E6E6E6"/>
        </w:rPr>
        <w:drawing>
          <wp:inline distT="0" distB="0" distL="0" distR="0" wp14:anchorId="1D31C02E" wp14:editId="49792395">
            <wp:extent cx="4748731" cy="2510287"/>
            <wp:effectExtent l="0" t="0" r="0" b="4445"/>
            <wp:docPr id="1429890787" name="Picture 1429890787" descr="A line chart showing population projections in the West Kent Districts from 2020 to 2040 in adults aged 65+. The population is forecast to increase from 108300 in 2020 to 156700 i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line chart showing population projections in the West Kent Districts from 2020 to 2040 in adults aged 65+. The population is forecast to increase from 108300 in 2020 to 156700 in 20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84662" cy="2529281"/>
                    </a:xfrm>
                    <a:prstGeom prst="rect">
                      <a:avLst/>
                    </a:prstGeom>
                    <a:noFill/>
                  </pic:spPr>
                </pic:pic>
              </a:graphicData>
            </a:graphic>
          </wp:inline>
        </w:drawing>
      </w:r>
    </w:p>
    <w:p w14:paraId="3BFAC1AB" w14:textId="6EAEB601" w:rsidR="00AB4AA7" w:rsidRPr="00E242C7" w:rsidRDefault="00AB4AA7" w:rsidP="00AB4AA7">
      <w:pPr>
        <w:rPr>
          <w:b/>
          <w:bCs/>
        </w:rPr>
      </w:pPr>
      <w:r w:rsidRPr="00E242C7">
        <w:rPr>
          <w:b/>
          <w:bCs/>
        </w:rPr>
        <w:lastRenderedPageBreak/>
        <w:t>Figure 7</w:t>
      </w:r>
      <w:r w:rsidR="00484B33">
        <w:rPr>
          <w:b/>
          <w:bCs/>
        </w:rPr>
        <w:t xml:space="preserve"> Population projections in adults aged 85+, West Kent districts</w:t>
      </w:r>
    </w:p>
    <w:p w14:paraId="1DE49C5B" w14:textId="77777777" w:rsidR="00AB4AA7" w:rsidRDefault="00AB4AA7" w:rsidP="00AB4AA7">
      <w:r>
        <w:rPr>
          <w:noProof/>
          <w:color w:val="2B579A"/>
          <w:shd w:val="clear" w:color="auto" w:fill="E6E6E6"/>
        </w:rPr>
        <w:drawing>
          <wp:inline distT="0" distB="0" distL="0" distR="0" wp14:anchorId="429A43B4" wp14:editId="332418C6">
            <wp:extent cx="4593590" cy="2414002"/>
            <wp:effectExtent l="0" t="0" r="0" b="5715"/>
            <wp:docPr id="1429890788" name="Picture 1429890788" descr="A line chart showing population projections in the 4 West Kent Districts from 2020 to 2040 in adults aged 85 years and over. Increases in populations are projected for all 4 districts at a similar rate, though increasing at a quicker rate from 2031 to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line chart showing population projections in the 4 West Kent Districts from 2020 to 2040 in adults aged 85 years and over. Increases in populations are projected for all 4 districts at a similar rate, though increasing at a quicker rate from 2031 to 20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14890" cy="2425196"/>
                    </a:xfrm>
                    <a:prstGeom prst="rect">
                      <a:avLst/>
                    </a:prstGeom>
                    <a:noFill/>
                  </pic:spPr>
                </pic:pic>
              </a:graphicData>
            </a:graphic>
          </wp:inline>
        </w:drawing>
      </w:r>
    </w:p>
    <w:p w14:paraId="6F0918D5" w14:textId="77777777" w:rsidR="007146C1" w:rsidRPr="00E25E23" w:rsidRDefault="007146C1" w:rsidP="002F5F22">
      <w:pPr>
        <w:pStyle w:val="Heading2"/>
        <w:rPr>
          <w:rFonts w:eastAsia="Times New Roman"/>
        </w:rPr>
      </w:pPr>
      <w:bookmarkStart w:id="33" w:name="_Toc128133807"/>
      <w:r w:rsidRPr="5E4DB3C2">
        <w:rPr>
          <w:rFonts w:eastAsia="Times New Roman"/>
        </w:rPr>
        <w:t xml:space="preserve">Life </w:t>
      </w:r>
      <w:r w:rsidRPr="002F5F22">
        <w:t>expectancy</w:t>
      </w:r>
      <w:r w:rsidRPr="5E4DB3C2">
        <w:rPr>
          <w:rFonts w:eastAsia="Times New Roman"/>
        </w:rPr>
        <w:t xml:space="preserve"> at birth</w:t>
      </w:r>
      <w:bookmarkEnd w:id="33"/>
    </w:p>
    <w:p w14:paraId="4B0A895B" w14:textId="546D6305" w:rsidR="007146C1" w:rsidRDefault="007146C1" w:rsidP="007146C1">
      <w:pPr>
        <w:spacing w:after="0"/>
        <w:textAlignment w:val="baseline"/>
      </w:pPr>
      <w:r w:rsidRPr="008E5F88">
        <w:t xml:space="preserve">Life expectancy in females is higher in Tonbridge &amp; Malling, and Tunbridge Wells than the Kent average, however, it is </w:t>
      </w:r>
      <w:bookmarkStart w:id="34" w:name="_Int_9VWWqcWz"/>
      <w:r w:rsidRPr="008E5F88">
        <w:t>similar to</w:t>
      </w:r>
      <w:bookmarkEnd w:id="34"/>
      <w:r w:rsidRPr="008E5F88">
        <w:t xml:space="preserve"> the Kent average for Sevenoaks, and Maidstone. Life expectancy in females is highest in Tonbridge &amp; Malling district between 2019-21, at 84.9 years. Maidstone was the lowest of the West Kent districts at 83.5 years (Figure </w:t>
      </w:r>
      <w:r w:rsidR="00243B5B">
        <w:t>8</w:t>
      </w:r>
      <w:r w:rsidRPr="008E5F88">
        <w:t>)</w:t>
      </w:r>
      <w:r w:rsidR="00F551DF">
        <w:t>.</w:t>
      </w:r>
    </w:p>
    <w:p w14:paraId="14DCA26B" w14:textId="29AF1168" w:rsidR="00F551DF" w:rsidRPr="00F551DF" w:rsidRDefault="00F551DF" w:rsidP="00F551DF">
      <w:pPr>
        <w:spacing w:after="0" w:line="240" w:lineRule="auto"/>
        <w:jc w:val="both"/>
        <w:textAlignment w:val="baseline"/>
        <w:rPr>
          <w:rFonts w:ascii="Calibri" w:eastAsia="Calibri" w:hAnsi="Calibri"/>
        </w:rPr>
      </w:pPr>
      <w:r w:rsidRPr="008E5F88">
        <w:rPr>
          <w:rFonts w:ascii="Calibri" w:eastAsia="Calibri" w:hAnsi="Calibri"/>
        </w:rPr>
        <w:t xml:space="preserve">Life expectancy in females has reduced in Kent from 83.5 years in 2017 to 83.2 in 2021. All four West Kent districts have had higher life expectancy for females than the Kent average for most years (Figure </w:t>
      </w:r>
      <w:r w:rsidR="00243B5B">
        <w:rPr>
          <w:rFonts w:ascii="Calibri" w:eastAsia="Calibri" w:hAnsi="Calibri"/>
        </w:rPr>
        <w:t xml:space="preserve">8 </w:t>
      </w:r>
      <w:r w:rsidRPr="008E5F88">
        <w:rPr>
          <w:rFonts w:ascii="Calibri" w:eastAsia="Calibri" w:hAnsi="Calibri"/>
        </w:rPr>
        <w:t xml:space="preserve">&amp; </w:t>
      </w:r>
      <w:r w:rsidR="00243B5B">
        <w:rPr>
          <w:rFonts w:ascii="Calibri" w:eastAsia="Calibri" w:hAnsi="Calibri"/>
        </w:rPr>
        <w:t>9</w:t>
      </w:r>
      <w:r w:rsidRPr="008E5F88">
        <w:rPr>
          <w:rFonts w:ascii="Calibri" w:eastAsia="Calibri" w:hAnsi="Calibri"/>
        </w:rPr>
        <w:t>).</w:t>
      </w:r>
    </w:p>
    <w:p w14:paraId="58EE986E" w14:textId="6ABDACF1" w:rsidR="007146C1" w:rsidRPr="00484B33" w:rsidRDefault="007146C1" w:rsidP="00484B33">
      <w:pPr>
        <w:rPr>
          <w:b/>
          <w:bCs/>
        </w:rPr>
      </w:pPr>
      <w:r w:rsidRPr="00484B33">
        <w:rPr>
          <w:b/>
          <w:bCs/>
        </w:rPr>
        <w:t xml:space="preserve">Figure </w:t>
      </w:r>
      <w:r w:rsidR="00243B5B">
        <w:rPr>
          <w:b/>
          <w:bCs/>
        </w:rPr>
        <w:t>8</w:t>
      </w:r>
      <w:r w:rsidR="00484B33">
        <w:rPr>
          <w:b/>
          <w:bCs/>
        </w:rPr>
        <w:t xml:space="preserve"> Life Expectancy at birth, females,</w:t>
      </w:r>
      <w:r w:rsidR="00F551DF">
        <w:rPr>
          <w:b/>
          <w:bCs/>
        </w:rPr>
        <w:t xml:space="preserve"> Kent districts</w:t>
      </w:r>
      <w:r w:rsidR="00484B33">
        <w:rPr>
          <w:b/>
          <w:bCs/>
        </w:rPr>
        <w:t xml:space="preserve"> 2019-21</w:t>
      </w:r>
    </w:p>
    <w:p w14:paraId="4D70E8B2" w14:textId="626E1158" w:rsidR="007146C1" w:rsidRPr="00F551DF" w:rsidRDefault="007146C1" w:rsidP="00F551DF">
      <w:pPr>
        <w:spacing w:after="0" w:line="240" w:lineRule="auto"/>
        <w:textAlignment w:val="baseline"/>
      </w:pPr>
      <w:r>
        <w:rPr>
          <w:noProof/>
        </w:rPr>
        <w:drawing>
          <wp:inline distT="0" distB="0" distL="0" distR="0" wp14:anchorId="3F8EEFB7" wp14:editId="3E57FAAE">
            <wp:extent cx="4909457" cy="3642726"/>
            <wp:effectExtent l="0" t="0" r="5715" b="0"/>
            <wp:docPr id="1095142324" name="Picture 1412120206" descr="Life expectancy in females is highest in Tonbridge &amp; Malling district between 2019-21, at 84.9 years. Maidstone was the lowest of the West Kent districts at 83.5 years, and statistically similar to the Kent life expectan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06"/>
                    <pic:cNvPicPr/>
                  </pic:nvPicPr>
                  <pic:blipFill>
                    <a:blip r:embed="rId50">
                      <a:extLst>
                        <a:ext uri="{28A0092B-C50C-407E-A947-70E740481C1C}">
                          <a14:useLocalDpi xmlns:a14="http://schemas.microsoft.com/office/drawing/2010/main" val="0"/>
                        </a:ext>
                      </a:extLst>
                    </a:blip>
                    <a:stretch>
                      <a:fillRect/>
                    </a:stretch>
                  </pic:blipFill>
                  <pic:spPr>
                    <a:xfrm>
                      <a:off x="0" y="0"/>
                      <a:ext cx="4915863" cy="3647479"/>
                    </a:xfrm>
                    <a:prstGeom prst="rect">
                      <a:avLst/>
                    </a:prstGeom>
                  </pic:spPr>
                </pic:pic>
              </a:graphicData>
            </a:graphic>
          </wp:inline>
        </w:drawing>
      </w:r>
    </w:p>
    <w:p w14:paraId="7F9BDCD0" w14:textId="6E1556DD" w:rsidR="007146C1" w:rsidRPr="00F551DF" w:rsidRDefault="007146C1" w:rsidP="00F551DF">
      <w:pPr>
        <w:rPr>
          <w:b/>
          <w:bCs/>
        </w:rPr>
      </w:pPr>
      <w:r w:rsidRPr="00F551DF">
        <w:rPr>
          <w:b/>
          <w:bCs/>
        </w:rPr>
        <w:lastRenderedPageBreak/>
        <w:t xml:space="preserve">Figure </w:t>
      </w:r>
      <w:r w:rsidR="00243B5B">
        <w:rPr>
          <w:b/>
          <w:bCs/>
        </w:rPr>
        <w:t>9</w:t>
      </w:r>
      <w:r w:rsidR="00F551DF" w:rsidRPr="00F551DF">
        <w:rPr>
          <w:b/>
          <w:bCs/>
        </w:rPr>
        <w:t xml:space="preserve"> </w:t>
      </w:r>
      <w:r w:rsidR="00F551DF">
        <w:rPr>
          <w:b/>
          <w:bCs/>
        </w:rPr>
        <w:t>Life Expectancy at birth, females, West Kent districts, 2019-21</w:t>
      </w:r>
    </w:p>
    <w:p w14:paraId="6C66EE59" w14:textId="1E86581C" w:rsidR="007146C1" w:rsidRPr="00E25E23" w:rsidRDefault="007146C1" w:rsidP="007146C1">
      <w:pPr>
        <w:spacing w:after="0" w:line="240" w:lineRule="auto"/>
        <w:textAlignment w:val="baseline"/>
        <w:rPr>
          <w:rFonts w:ascii="Calibri" w:eastAsia="Calibri" w:hAnsi="Calibri"/>
        </w:rPr>
      </w:pPr>
      <w:r>
        <w:rPr>
          <w:noProof/>
        </w:rPr>
        <w:drawing>
          <wp:inline distT="0" distB="0" distL="0" distR="0" wp14:anchorId="3016441F" wp14:editId="786F36C0">
            <wp:extent cx="5364480" cy="3111716"/>
            <wp:effectExtent l="0" t="0" r="7620" b="0"/>
            <wp:docPr id="804125439" name="Picture 1412120207" descr="Life expectancy in Females has reduced in Kent from 83.5 years in 2017 to 83.2 in 2021. Sevenoaks, Tonbridge &amp; Malling and Tunbridge Wells districts have been higher than the Kent average for most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07"/>
                    <pic:cNvPicPr/>
                  </pic:nvPicPr>
                  <pic:blipFill>
                    <a:blip r:embed="rId51">
                      <a:extLst>
                        <a:ext uri="{28A0092B-C50C-407E-A947-70E740481C1C}">
                          <a14:useLocalDpi xmlns:a14="http://schemas.microsoft.com/office/drawing/2010/main" val="0"/>
                        </a:ext>
                      </a:extLst>
                    </a:blip>
                    <a:stretch>
                      <a:fillRect/>
                    </a:stretch>
                  </pic:blipFill>
                  <pic:spPr>
                    <a:xfrm>
                      <a:off x="0" y="0"/>
                      <a:ext cx="5372531" cy="3116386"/>
                    </a:xfrm>
                    <a:prstGeom prst="rect">
                      <a:avLst/>
                    </a:prstGeom>
                  </pic:spPr>
                </pic:pic>
              </a:graphicData>
            </a:graphic>
          </wp:inline>
        </w:drawing>
      </w:r>
    </w:p>
    <w:p w14:paraId="43D2C2B8" w14:textId="444F2CEE" w:rsidR="007146C1" w:rsidRPr="008E5F88" w:rsidRDefault="007146C1" w:rsidP="0057420C">
      <w:pPr>
        <w:spacing w:after="0" w:line="240" w:lineRule="auto"/>
        <w:textAlignment w:val="baseline"/>
        <w:rPr>
          <w:rFonts w:ascii="Calibri" w:eastAsia="Calibri" w:hAnsi="Calibri"/>
        </w:rPr>
      </w:pPr>
      <w:r w:rsidRPr="008E5F88">
        <w:rPr>
          <w:rFonts w:ascii="Calibri" w:eastAsia="Calibri" w:hAnsi="Calibri"/>
        </w:rPr>
        <w:t>Life expectancy in males (Figure 1</w:t>
      </w:r>
      <w:r w:rsidR="00243B5B">
        <w:rPr>
          <w:rFonts w:ascii="Calibri" w:eastAsia="Calibri" w:hAnsi="Calibri"/>
        </w:rPr>
        <w:t>0</w:t>
      </w:r>
      <w:r w:rsidRPr="008E5F88">
        <w:rPr>
          <w:rFonts w:ascii="Calibri" w:eastAsia="Calibri" w:hAnsi="Calibri"/>
        </w:rPr>
        <w:t xml:space="preserve"> &amp; 1</w:t>
      </w:r>
      <w:r w:rsidR="00243B5B">
        <w:rPr>
          <w:rFonts w:ascii="Calibri" w:eastAsia="Calibri" w:hAnsi="Calibri"/>
        </w:rPr>
        <w:t>1</w:t>
      </w:r>
      <w:r w:rsidRPr="008E5F88">
        <w:rPr>
          <w:rFonts w:ascii="Calibri" w:eastAsia="Calibri" w:hAnsi="Calibri"/>
        </w:rPr>
        <w:t xml:space="preserve">) is higher in Sevenoaks, Tonbridge &amp; Malling, and Tunbridge Wells than the Kent average, however, it is </w:t>
      </w:r>
      <w:bookmarkStart w:id="35" w:name="_Int_IXZepWPm"/>
      <w:r w:rsidRPr="008E5F88">
        <w:rPr>
          <w:rFonts w:ascii="Calibri" w:eastAsia="Calibri" w:hAnsi="Calibri"/>
        </w:rPr>
        <w:t>similar to</w:t>
      </w:r>
      <w:bookmarkEnd w:id="35"/>
      <w:r w:rsidRPr="008E5F88">
        <w:rPr>
          <w:rFonts w:ascii="Calibri" w:eastAsia="Calibri" w:hAnsi="Calibri"/>
        </w:rPr>
        <w:t xml:space="preserve"> the Kent average for Maidstone. Life expectancy in males is highest in Sevenoaks district between 2019-21, at 81.5 years. Maidstone was the lowest of the West Kent districts at 79.9 years.</w:t>
      </w:r>
    </w:p>
    <w:p w14:paraId="108719C4" w14:textId="165539E9" w:rsidR="007146C1" w:rsidRPr="00F551DF" w:rsidRDefault="007146C1" w:rsidP="00F551DF">
      <w:pPr>
        <w:rPr>
          <w:b/>
          <w:bCs/>
        </w:rPr>
      </w:pPr>
      <w:r w:rsidRPr="00F551DF">
        <w:rPr>
          <w:b/>
          <w:bCs/>
        </w:rPr>
        <w:t>Figure 1</w:t>
      </w:r>
      <w:r w:rsidR="00243B5B">
        <w:rPr>
          <w:b/>
          <w:bCs/>
        </w:rPr>
        <w:t>0</w:t>
      </w:r>
      <w:r w:rsidR="00F551DF" w:rsidRPr="00F551DF">
        <w:rPr>
          <w:b/>
          <w:bCs/>
        </w:rPr>
        <w:t xml:space="preserve"> </w:t>
      </w:r>
      <w:r w:rsidR="00F551DF">
        <w:rPr>
          <w:b/>
          <w:bCs/>
        </w:rPr>
        <w:t>Life Expectancy at birth, males, Kent districts 2019-21</w:t>
      </w:r>
    </w:p>
    <w:p w14:paraId="29F437B7" w14:textId="77777777" w:rsidR="007146C1" w:rsidRPr="00E25E23" w:rsidRDefault="007146C1" w:rsidP="007146C1">
      <w:pPr>
        <w:spacing w:after="0" w:line="240" w:lineRule="auto"/>
        <w:textAlignment w:val="baseline"/>
      </w:pPr>
      <w:r>
        <w:rPr>
          <w:noProof/>
        </w:rPr>
        <w:drawing>
          <wp:inline distT="0" distB="0" distL="0" distR="0" wp14:anchorId="73072B61" wp14:editId="4EE42251">
            <wp:extent cx="5236234" cy="3875483"/>
            <wp:effectExtent l="0" t="0" r="2540" b="0"/>
            <wp:docPr id="1359881897" name="Picture 1412120208" descr="Life expectancy in males is highest in Sevenoaks district between 2019-21, at 81.5 years. Maidstone was the lowest of the West Kent districts at 79.9 years, and statistically similar to the Kent ave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08"/>
                    <pic:cNvPicPr/>
                  </pic:nvPicPr>
                  <pic:blipFill>
                    <a:blip r:embed="rId52">
                      <a:extLst>
                        <a:ext uri="{28A0092B-C50C-407E-A947-70E740481C1C}">
                          <a14:useLocalDpi xmlns:a14="http://schemas.microsoft.com/office/drawing/2010/main" val="0"/>
                        </a:ext>
                      </a:extLst>
                    </a:blip>
                    <a:stretch>
                      <a:fillRect/>
                    </a:stretch>
                  </pic:blipFill>
                  <pic:spPr>
                    <a:xfrm>
                      <a:off x="0" y="0"/>
                      <a:ext cx="5253284" cy="3888102"/>
                    </a:xfrm>
                    <a:prstGeom prst="rect">
                      <a:avLst/>
                    </a:prstGeom>
                  </pic:spPr>
                </pic:pic>
              </a:graphicData>
            </a:graphic>
          </wp:inline>
        </w:drawing>
      </w:r>
    </w:p>
    <w:p w14:paraId="3781AF18" w14:textId="77777777" w:rsidR="007146C1" w:rsidRPr="008E5F88" w:rsidRDefault="007146C1" w:rsidP="007146C1">
      <w:pPr>
        <w:spacing w:after="0" w:line="240" w:lineRule="auto"/>
        <w:textAlignment w:val="baseline"/>
        <w:rPr>
          <w:rFonts w:ascii="Calibri" w:eastAsia="Calibri" w:hAnsi="Calibri"/>
        </w:rPr>
      </w:pPr>
      <w:r w:rsidRPr="008E5F88">
        <w:rPr>
          <w:rFonts w:ascii="Calibri" w:eastAsia="Calibri" w:hAnsi="Calibri"/>
        </w:rPr>
        <w:lastRenderedPageBreak/>
        <w:t>Life expectancy in males has reduced in Kent from 79.9 years in 2017 to 79.0 in 2021. All four West Kent districts have had higher life expectancy for males than the Kent average for most years.</w:t>
      </w:r>
    </w:p>
    <w:p w14:paraId="43D3BEB8" w14:textId="088895A9" w:rsidR="007146C1" w:rsidRPr="00F551DF" w:rsidRDefault="007146C1" w:rsidP="00F551DF">
      <w:pPr>
        <w:rPr>
          <w:b/>
          <w:bCs/>
        </w:rPr>
      </w:pPr>
      <w:r w:rsidRPr="00F551DF">
        <w:rPr>
          <w:b/>
          <w:bCs/>
        </w:rPr>
        <w:t>Figure 1</w:t>
      </w:r>
      <w:r w:rsidR="00243B5B">
        <w:rPr>
          <w:b/>
          <w:bCs/>
        </w:rPr>
        <w:t>1</w:t>
      </w:r>
      <w:r w:rsidR="00F551DF" w:rsidRPr="00F551DF">
        <w:rPr>
          <w:b/>
          <w:bCs/>
        </w:rPr>
        <w:t xml:space="preserve"> </w:t>
      </w:r>
      <w:r w:rsidR="00F551DF">
        <w:rPr>
          <w:b/>
          <w:bCs/>
        </w:rPr>
        <w:t>Life Expectancy at birth, males, West Kent districts, 2019-21</w:t>
      </w:r>
    </w:p>
    <w:p w14:paraId="2D486712" w14:textId="77777777" w:rsidR="007146C1" w:rsidRPr="00E25E23" w:rsidRDefault="007146C1" w:rsidP="007146C1">
      <w:pPr>
        <w:spacing w:after="0" w:line="240" w:lineRule="auto"/>
        <w:textAlignment w:val="baseline"/>
        <w:rPr>
          <w:rFonts w:ascii="Calibri" w:eastAsia="Calibri" w:hAnsi="Calibri"/>
        </w:rPr>
      </w:pPr>
      <w:r>
        <w:rPr>
          <w:noProof/>
        </w:rPr>
        <w:drawing>
          <wp:inline distT="0" distB="0" distL="0" distR="0" wp14:anchorId="3872E437" wp14:editId="26E63BBC">
            <wp:extent cx="5276394" cy="3036498"/>
            <wp:effectExtent l="0" t="0" r="635" b="0"/>
            <wp:docPr id="1526240918" name="Picture 1412120209" descr="Life expectancy in males has reduced in Kent from 79.9 years in 2017 to 79.0 in 2021. Sevenoaks, Tonbridge &amp; Malling and Tunbridge Wells districts have been higher than the Kent average for most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09"/>
                    <pic:cNvPicPr/>
                  </pic:nvPicPr>
                  <pic:blipFill>
                    <a:blip r:embed="rId53">
                      <a:extLst>
                        <a:ext uri="{28A0092B-C50C-407E-A947-70E740481C1C}">
                          <a14:useLocalDpi xmlns:a14="http://schemas.microsoft.com/office/drawing/2010/main" val="0"/>
                        </a:ext>
                      </a:extLst>
                    </a:blip>
                    <a:stretch>
                      <a:fillRect/>
                    </a:stretch>
                  </pic:blipFill>
                  <pic:spPr bwMode="auto">
                    <a:xfrm>
                      <a:off x="0" y="0"/>
                      <a:ext cx="5287079" cy="3042647"/>
                    </a:xfrm>
                    <a:prstGeom prst="rect">
                      <a:avLst/>
                    </a:prstGeom>
                    <a:noFill/>
                  </pic:spPr>
                </pic:pic>
              </a:graphicData>
            </a:graphic>
          </wp:inline>
        </w:drawing>
      </w:r>
    </w:p>
    <w:p w14:paraId="1750AE3A" w14:textId="77777777" w:rsidR="007146C1" w:rsidRPr="00E25E23" w:rsidRDefault="007146C1" w:rsidP="002F5F22">
      <w:pPr>
        <w:pStyle w:val="Heading2"/>
        <w:rPr>
          <w:rFonts w:eastAsia="Times New Roman"/>
        </w:rPr>
      </w:pPr>
      <w:bookmarkStart w:id="36" w:name="_Toc128133808"/>
      <w:r w:rsidRPr="32F7F25D">
        <w:rPr>
          <w:rFonts w:eastAsia="Times New Roman"/>
        </w:rPr>
        <w:t>Premature Mortality</w:t>
      </w:r>
      <w:bookmarkEnd w:id="36"/>
    </w:p>
    <w:p w14:paraId="0D38A198" w14:textId="7BD566B6" w:rsidR="007146C1" w:rsidRDefault="007146C1" w:rsidP="0057420C">
      <w:pPr>
        <w:spacing w:after="0" w:line="240" w:lineRule="auto"/>
        <w:textAlignment w:val="baseline"/>
      </w:pPr>
      <w:r w:rsidRPr="008E5F88">
        <w:t>The four West Kent districts are all lower than the Kent average for premature mortality from all causes, with Maidstone district the highest at 308.6 per 100,000 aged 0-74 and Sevenoaks lowest at 275.3 per 100,000 (Figure 1</w:t>
      </w:r>
      <w:r w:rsidR="00243B5B">
        <w:t>2</w:t>
      </w:r>
      <w:r w:rsidRPr="008E5F88">
        <w:t>).</w:t>
      </w:r>
    </w:p>
    <w:p w14:paraId="3DC67C92" w14:textId="55BFCB1A" w:rsidR="00F551DF" w:rsidRPr="008E5F88" w:rsidRDefault="00F551DF" w:rsidP="0057420C">
      <w:pPr>
        <w:spacing w:after="0" w:line="240" w:lineRule="auto"/>
        <w:textAlignment w:val="baseline"/>
        <w:rPr>
          <w:rFonts w:ascii="Calibri" w:eastAsia="Calibri" w:hAnsi="Calibri"/>
        </w:rPr>
      </w:pPr>
      <w:r w:rsidRPr="008E5F88">
        <w:rPr>
          <w:rFonts w:ascii="Calibri" w:eastAsia="Calibri" w:hAnsi="Calibri"/>
        </w:rPr>
        <w:t>In 2019-2021, 39.4% of premature deaths (under the age of 75) were from cancer, 19.6% from circulatory disease and 7.6% from respiratory diseases (Figure 1</w:t>
      </w:r>
      <w:r w:rsidR="00243B5B">
        <w:rPr>
          <w:rFonts w:ascii="Calibri" w:eastAsia="Calibri" w:hAnsi="Calibri"/>
        </w:rPr>
        <w:t>3</w:t>
      </w:r>
      <w:r w:rsidRPr="008E5F88">
        <w:rPr>
          <w:rFonts w:ascii="Calibri" w:eastAsia="Calibri" w:hAnsi="Calibri"/>
        </w:rPr>
        <w:t>).</w:t>
      </w:r>
    </w:p>
    <w:p w14:paraId="1F1ED172" w14:textId="77777777" w:rsidR="009D74E9" w:rsidRDefault="009D74E9">
      <w:pPr>
        <w:spacing w:before="0" w:after="200"/>
        <w:rPr>
          <w:b/>
          <w:bCs/>
        </w:rPr>
      </w:pPr>
      <w:r>
        <w:rPr>
          <w:b/>
          <w:bCs/>
        </w:rPr>
        <w:br w:type="page"/>
      </w:r>
    </w:p>
    <w:p w14:paraId="09AE2286" w14:textId="11AC6EAE" w:rsidR="007146C1" w:rsidRPr="00F551DF" w:rsidRDefault="007146C1" w:rsidP="00F551DF">
      <w:pPr>
        <w:rPr>
          <w:b/>
          <w:bCs/>
        </w:rPr>
      </w:pPr>
      <w:r w:rsidRPr="00F551DF">
        <w:rPr>
          <w:b/>
          <w:bCs/>
        </w:rPr>
        <w:lastRenderedPageBreak/>
        <w:t>Figure 1</w:t>
      </w:r>
      <w:r w:rsidR="00243B5B">
        <w:rPr>
          <w:b/>
          <w:bCs/>
        </w:rPr>
        <w:t>2</w:t>
      </w:r>
      <w:r w:rsidR="00F551DF" w:rsidRPr="00F551DF">
        <w:rPr>
          <w:b/>
          <w:bCs/>
        </w:rPr>
        <w:t xml:space="preserve"> Premature mortality, Kent districts 2019-21</w:t>
      </w:r>
    </w:p>
    <w:p w14:paraId="786F1364" w14:textId="77777777" w:rsidR="007146C1" w:rsidRPr="00E25E23" w:rsidRDefault="007146C1" w:rsidP="007146C1">
      <w:pPr>
        <w:spacing w:after="0" w:line="240" w:lineRule="auto"/>
        <w:textAlignment w:val="baseline"/>
        <w:rPr>
          <w:rFonts w:ascii="Calibri" w:eastAsia="Calibri" w:hAnsi="Calibri"/>
        </w:rPr>
      </w:pPr>
      <w:r>
        <w:rPr>
          <w:noProof/>
        </w:rPr>
        <w:drawing>
          <wp:inline distT="0" distB="0" distL="0" distR="0" wp14:anchorId="53782C95" wp14:editId="6E2E996F">
            <wp:extent cx="5187002" cy="2981325"/>
            <wp:effectExtent l="0" t="0" r="0" b="0"/>
            <wp:docPr id="695028203" name="Picture 1412120210" descr="The four West Kent districts are all significantly lower than the Kent average for premature mortality, with Maidstone district the highest at 308.6 per 100,000 age 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10"/>
                    <pic:cNvPicPr/>
                  </pic:nvPicPr>
                  <pic:blipFill>
                    <a:blip r:embed="rId54">
                      <a:extLst>
                        <a:ext uri="{28A0092B-C50C-407E-A947-70E740481C1C}">
                          <a14:useLocalDpi xmlns:a14="http://schemas.microsoft.com/office/drawing/2010/main" val="0"/>
                        </a:ext>
                      </a:extLst>
                    </a:blip>
                    <a:stretch>
                      <a:fillRect/>
                    </a:stretch>
                  </pic:blipFill>
                  <pic:spPr>
                    <a:xfrm>
                      <a:off x="0" y="0"/>
                      <a:ext cx="5197747" cy="2987501"/>
                    </a:xfrm>
                    <a:prstGeom prst="rect">
                      <a:avLst/>
                    </a:prstGeom>
                  </pic:spPr>
                </pic:pic>
              </a:graphicData>
            </a:graphic>
          </wp:inline>
        </w:drawing>
      </w:r>
    </w:p>
    <w:p w14:paraId="174DF78E" w14:textId="4F1EDB21" w:rsidR="007146C1" w:rsidRPr="00F551DF" w:rsidRDefault="007146C1" w:rsidP="00F551DF">
      <w:pPr>
        <w:rPr>
          <w:b/>
          <w:bCs/>
        </w:rPr>
      </w:pPr>
      <w:r w:rsidRPr="00F551DF">
        <w:rPr>
          <w:b/>
          <w:bCs/>
        </w:rPr>
        <w:t>Figure 1</w:t>
      </w:r>
      <w:r w:rsidR="00243B5B">
        <w:rPr>
          <w:b/>
          <w:bCs/>
        </w:rPr>
        <w:t>3</w:t>
      </w:r>
      <w:r w:rsidR="00F551DF" w:rsidRPr="00F551DF">
        <w:rPr>
          <w:b/>
          <w:bCs/>
        </w:rPr>
        <w:t xml:space="preserve"> Causes of premature mortality, West Kent 2019-21</w:t>
      </w:r>
    </w:p>
    <w:p w14:paraId="251EC7AC" w14:textId="77777777" w:rsidR="007146C1" w:rsidRPr="00E25E23" w:rsidRDefault="007146C1" w:rsidP="007146C1">
      <w:pPr>
        <w:spacing w:after="0" w:line="240" w:lineRule="auto"/>
        <w:textAlignment w:val="baseline"/>
      </w:pPr>
      <w:r>
        <w:rPr>
          <w:noProof/>
        </w:rPr>
        <w:drawing>
          <wp:inline distT="0" distB="0" distL="0" distR="0" wp14:anchorId="45782106" wp14:editId="367630BA">
            <wp:extent cx="5467350" cy="3672737"/>
            <wp:effectExtent l="0" t="0" r="0" b="4445"/>
            <wp:docPr id="1418194500" name="Picture 1412120211" descr="Causes of premature mortality (ages 0-74) in West Kent HCP. Cancer is the largest cause at 39.4%, followed by circulatory at 19.6% and respiratory at 7.6%.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94500" name="Picture 1412120211" descr="Causes of premature mortality (ages 0-74) in West Kent HCP. Cancer is the largest cause at 39.4%, followed by circulatory at 19.6% and respiratory at 7.6%. ">
                      <a:extLst>
                        <a:ext uri="{C183D7F6-B498-43B3-948B-1728B52AA6E4}">
                          <adec:decorative xmlns:adec="http://schemas.microsoft.com/office/drawing/2017/decorative" val="0"/>
                        </a:ext>
                      </a:extLst>
                    </pic:cNvPr>
                    <pic:cNvPicPr/>
                  </pic:nvPicPr>
                  <pic:blipFill>
                    <a:blip r:embed="rId55">
                      <a:extLst>
                        <a:ext uri="{28A0092B-C50C-407E-A947-70E740481C1C}">
                          <a14:useLocalDpi xmlns:a14="http://schemas.microsoft.com/office/drawing/2010/main" val="0"/>
                        </a:ext>
                      </a:extLst>
                    </a:blip>
                    <a:stretch>
                      <a:fillRect/>
                    </a:stretch>
                  </pic:blipFill>
                  <pic:spPr>
                    <a:xfrm>
                      <a:off x="0" y="0"/>
                      <a:ext cx="5516052" cy="3705453"/>
                    </a:xfrm>
                    <a:prstGeom prst="rect">
                      <a:avLst/>
                    </a:prstGeom>
                  </pic:spPr>
                </pic:pic>
              </a:graphicData>
            </a:graphic>
          </wp:inline>
        </w:drawing>
      </w:r>
    </w:p>
    <w:p w14:paraId="28DEE576" w14:textId="77777777" w:rsidR="007146C1" w:rsidRPr="00E25E23" w:rsidRDefault="007146C1" w:rsidP="001D1DEC">
      <w:pPr>
        <w:pStyle w:val="Heading2"/>
        <w:rPr>
          <w:rFonts w:eastAsia="Times New Roman"/>
        </w:rPr>
      </w:pPr>
      <w:bookmarkStart w:id="37" w:name="_Toc128133809"/>
      <w:r w:rsidRPr="5E4DB3C2">
        <w:rPr>
          <w:rFonts w:eastAsia="Times New Roman"/>
        </w:rPr>
        <w:t>Mortality of older people</w:t>
      </w:r>
      <w:bookmarkEnd w:id="37"/>
    </w:p>
    <w:p w14:paraId="7D7F7210" w14:textId="617A5F81" w:rsidR="007146C1" w:rsidRDefault="007146C1" w:rsidP="001D1DEC">
      <w:r w:rsidRPr="008E5F88">
        <w:t xml:space="preserve">Sevenoaks, Tonbridge &amp; Malling, and Tunbridge Wells districts are all lower than the Kent average for mortality in older people. Maidstone district is statistically </w:t>
      </w:r>
      <w:bookmarkStart w:id="38" w:name="_Int_bYGcBiYN"/>
      <w:r w:rsidRPr="008E5F88">
        <w:t>similar to</w:t>
      </w:r>
      <w:bookmarkEnd w:id="38"/>
      <w:r w:rsidRPr="008E5F88">
        <w:t xml:space="preserve"> Kent at 4152.2 per 100,000 age 65+ (Figure 1</w:t>
      </w:r>
      <w:r w:rsidR="00243B5B">
        <w:t>4</w:t>
      </w:r>
      <w:r w:rsidRPr="008E5F88">
        <w:t>).</w:t>
      </w:r>
    </w:p>
    <w:p w14:paraId="6A045711" w14:textId="4BF317CD" w:rsidR="00F551DF" w:rsidRPr="00E25E23" w:rsidRDefault="00F551DF" w:rsidP="001D1DEC">
      <w:pPr>
        <w:spacing w:after="0" w:line="240" w:lineRule="auto"/>
        <w:textAlignment w:val="baseline"/>
      </w:pPr>
      <w:r w:rsidRPr="008E5F88">
        <w:lastRenderedPageBreak/>
        <w:t xml:space="preserve">In 2019-2021, 24.5% of deaths involving people aged 65 or over were from </w:t>
      </w:r>
      <w:r w:rsidRPr="00B001FB">
        <w:t>cancer</w:t>
      </w:r>
      <w:r w:rsidRPr="008E5F88">
        <w:t xml:space="preserve">, 22.7% from </w:t>
      </w:r>
      <w:r w:rsidRPr="00B001FB">
        <w:t>circulatory disease</w:t>
      </w:r>
      <w:r w:rsidRPr="008E5F88">
        <w:t>, and 11.4% were from mental illness, behavioural disorders</w:t>
      </w:r>
      <w:r w:rsidR="52144737">
        <w:t>,</w:t>
      </w:r>
      <w:r w:rsidRPr="008E5F88">
        <w:t xml:space="preserve"> and dementia (Figure 1</w:t>
      </w:r>
      <w:r w:rsidR="00243B5B">
        <w:t>5</w:t>
      </w:r>
      <w:r w:rsidRPr="008E5F88">
        <w:t>)</w:t>
      </w:r>
      <w:r>
        <w:t>.</w:t>
      </w:r>
    </w:p>
    <w:p w14:paraId="1D47C2D4" w14:textId="6F381673" w:rsidR="007146C1" w:rsidRPr="00F551DF" w:rsidRDefault="007146C1" w:rsidP="001D1DEC">
      <w:pPr>
        <w:rPr>
          <w:b/>
          <w:bCs/>
        </w:rPr>
      </w:pPr>
      <w:r w:rsidRPr="00F551DF">
        <w:rPr>
          <w:b/>
          <w:bCs/>
        </w:rPr>
        <w:t>Figure 1</w:t>
      </w:r>
      <w:r w:rsidR="00243B5B">
        <w:rPr>
          <w:b/>
          <w:bCs/>
        </w:rPr>
        <w:t>4</w:t>
      </w:r>
      <w:r w:rsidR="00F551DF" w:rsidRPr="00F551DF">
        <w:rPr>
          <w:b/>
          <w:bCs/>
        </w:rPr>
        <w:t xml:space="preserve"> Mortality in older people, Kent districts 2019-21</w:t>
      </w:r>
    </w:p>
    <w:p w14:paraId="650A11F6" w14:textId="77777777" w:rsidR="007146C1" w:rsidRPr="00E25E23" w:rsidRDefault="007146C1" w:rsidP="001D1DEC">
      <w:pPr>
        <w:spacing w:after="0" w:line="240" w:lineRule="auto"/>
        <w:textAlignment w:val="baseline"/>
      </w:pPr>
      <w:r>
        <w:rPr>
          <w:noProof/>
        </w:rPr>
        <w:drawing>
          <wp:inline distT="0" distB="0" distL="0" distR="0" wp14:anchorId="55662D0A" wp14:editId="48F55A4A">
            <wp:extent cx="5141343" cy="2955083"/>
            <wp:effectExtent l="0" t="0" r="2540" b="0"/>
            <wp:docPr id="711588634" name="Picture 1412120213" descr="Sevenoaks, Tonbridge &amp; Malling and Tunbridge Wells districts are all lower than the Kent average for mortality in older people. Maidstone district is statistically similar to Kent at 4152.2 per 100,000 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13"/>
                    <pic:cNvPicPr/>
                  </pic:nvPicPr>
                  <pic:blipFill>
                    <a:blip r:embed="rId56">
                      <a:extLst>
                        <a:ext uri="{28A0092B-C50C-407E-A947-70E740481C1C}">
                          <a14:useLocalDpi xmlns:a14="http://schemas.microsoft.com/office/drawing/2010/main" val="0"/>
                        </a:ext>
                      </a:extLst>
                    </a:blip>
                    <a:stretch>
                      <a:fillRect/>
                    </a:stretch>
                  </pic:blipFill>
                  <pic:spPr>
                    <a:xfrm>
                      <a:off x="0" y="0"/>
                      <a:ext cx="5149447" cy="2959741"/>
                    </a:xfrm>
                    <a:prstGeom prst="rect">
                      <a:avLst/>
                    </a:prstGeom>
                  </pic:spPr>
                </pic:pic>
              </a:graphicData>
            </a:graphic>
          </wp:inline>
        </w:drawing>
      </w:r>
    </w:p>
    <w:p w14:paraId="5CA5508B" w14:textId="77F48163" w:rsidR="007146C1" w:rsidRPr="00F551DF" w:rsidRDefault="007146C1" w:rsidP="001D1DEC">
      <w:pPr>
        <w:rPr>
          <w:b/>
          <w:bCs/>
        </w:rPr>
      </w:pPr>
      <w:r w:rsidRPr="00F551DF">
        <w:rPr>
          <w:b/>
          <w:bCs/>
        </w:rPr>
        <w:t>Figure 1</w:t>
      </w:r>
      <w:r w:rsidR="00243B5B">
        <w:rPr>
          <w:b/>
          <w:bCs/>
        </w:rPr>
        <w:t>5</w:t>
      </w:r>
      <w:r w:rsidR="00F551DF" w:rsidRPr="00F551DF">
        <w:rPr>
          <w:b/>
          <w:bCs/>
        </w:rPr>
        <w:t xml:space="preserve"> Causes of mortality in older people, West Kent 2019-21</w:t>
      </w:r>
    </w:p>
    <w:p w14:paraId="4D0FC05C" w14:textId="77777777" w:rsidR="007146C1" w:rsidRPr="00E25E23" w:rsidRDefault="007146C1" w:rsidP="001D1DEC">
      <w:pPr>
        <w:spacing w:after="0" w:line="240" w:lineRule="auto"/>
        <w:textAlignment w:val="baseline"/>
        <w:rPr>
          <w:rFonts w:ascii="Calibri" w:eastAsia="Calibri" w:hAnsi="Calibri"/>
        </w:rPr>
      </w:pPr>
      <w:r>
        <w:rPr>
          <w:noProof/>
        </w:rPr>
        <w:drawing>
          <wp:inline distT="0" distB="0" distL="0" distR="0" wp14:anchorId="1EEF69CA" wp14:editId="14FD2CEE">
            <wp:extent cx="5089585" cy="3412605"/>
            <wp:effectExtent l="0" t="0" r="0" b="0"/>
            <wp:docPr id="1719947733" name="Picture 1412120214" descr="Causes of mortality in older people (age 65+). Cancer is the largest cause of death at 24.5%, followed by circulatory at 22.7%, mental behavioural and dementia at 11.4% and respiratory at 10.9%.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47733" name="Picture 1412120214" descr="Causes of mortality in older people (age 65+). Cancer is the largest cause of death at 24.5%, followed by circulatory at 22.7%, mental behavioural and dementia at 11.4% and respiratory at 10.9%. ">
                      <a:extLst>
                        <a:ext uri="{C183D7F6-B498-43B3-948B-1728B52AA6E4}">
                          <adec:decorative xmlns:adec="http://schemas.microsoft.com/office/drawing/2017/decorative" val="0"/>
                        </a:ext>
                      </a:extLst>
                    </pic:cNvPr>
                    <pic:cNvPicPr/>
                  </pic:nvPicPr>
                  <pic:blipFill>
                    <a:blip r:embed="rId57">
                      <a:extLst>
                        <a:ext uri="{28A0092B-C50C-407E-A947-70E740481C1C}">
                          <a14:useLocalDpi xmlns:a14="http://schemas.microsoft.com/office/drawing/2010/main" val="0"/>
                        </a:ext>
                      </a:extLst>
                    </a:blip>
                    <a:stretch>
                      <a:fillRect/>
                    </a:stretch>
                  </pic:blipFill>
                  <pic:spPr>
                    <a:xfrm>
                      <a:off x="0" y="0"/>
                      <a:ext cx="5092416" cy="3414503"/>
                    </a:xfrm>
                    <a:prstGeom prst="rect">
                      <a:avLst/>
                    </a:prstGeom>
                  </pic:spPr>
                </pic:pic>
              </a:graphicData>
            </a:graphic>
          </wp:inline>
        </w:drawing>
      </w:r>
    </w:p>
    <w:p w14:paraId="7053576B" w14:textId="39394B4B" w:rsidR="007146C1" w:rsidRPr="008E5F88" w:rsidRDefault="007146C1" w:rsidP="001D1DEC">
      <w:pPr>
        <w:textAlignment w:val="baseline"/>
        <w:rPr>
          <w:rFonts w:ascii="Calibri" w:eastAsia="Calibri" w:hAnsi="Calibri" w:cs="Calibri"/>
          <w:color w:val="000000" w:themeColor="text1"/>
        </w:rPr>
      </w:pPr>
      <w:r w:rsidRPr="008E5F88">
        <w:rPr>
          <w:rFonts w:ascii="Calibri" w:eastAsia="Calibri" w:hAnsi="Calibri" w:cs="Calibri"/>
          <w:color w:val="000000" w:themeColor="text1"/>
        </w:rPr>
        <w:t>OBH Dashboard Average age at death in people 18 years and above with one or more LTCs. Figure 1</w:t>
      </w:r>
      <w:r w:rsidR="00243B5B">
        <w:rPr>
          <w:rFonts w:ascii="Calibri" w:eastAsia="Calibri" w:hAnsi="Calibri" w:cs="Calibri"/>
          <w:color w:val="000000" w:themeColor="text1"/>
        </w:rPr>
        <w:t xml:space="preserve">6 </w:t>
      </w:r>
      <w:r w:rsidRPr="008E5F88">
        <w:rPr>
          <w:rFonts w:ascii="Calibri" w:eastAsia="Calibri" w:hAnsi="Calibri" w:cs="Calibri"/>
          <w:color w:val="000000" w:themeColor="text1"/>
        </w:rPr>
        <w:t xml:space="preserve">below shows Malling PCN having consistently lower average age of death compared to the West Kent average. This is quite different from the other PCNs where the </w:t>
      </w:r>
      <w:r w:rsidRPr="008E5F88">
        <w:rPr>
          <w:rFonts w:ascii="Calibri" w:eastAsia="Calibri" w:hAnsi="Calibri" w:cs="Calibri"/>
          <w:color w:val="000000" w:themeColor="text1"/>
        </w:rPr>
        <w:lastRenderedPageBreak/>
        <w:t xml:space="preserve">average age </w:t>
      </w:r>
      <w:bookmarkStart w:id="39" w:name="_Int_DECooYOF"/>
      <w:r w:rsidRPr="008E5F88">
        <w:rPr>
          <w:rFonts w:ascii="Calibri" w:eastAsia="Calibri" w:hAnsi="Calibri" w:cs="Calibri"/>
          <w:color w:val="000000" w:themeColor="text1"/>
        </w:rPr>
        <w:t>appears to be</w:t>
      </w:r>
      <w:bookmarkEnd w:id="39"/>
      <w:r w:rsidRPr="008E5F88">
        <w:rPr>
          <w:rFonts w:ascii="Calibri" w:eastAsia="Calibri" w:hAnsi="Calibri" w:cs="Calibri"/>
          <w:color w:val="000000" w:themeColor="text1"/>
        </w:rPr>
        <w:t xml:space="preserve"> broadly </w:t>
      </w:r>
      <w:bookmarkStart w:id="40" w:name="_Int_wLnf0QkK"/>
      <w:r w:rsidRPr="008E5F88">
        <w:rPr>
          <w:rFonts w:ascii="Calibri" w:eastAsia="Calibri" w:hAnsi="Calibri" w:cs="Calibri"/>
          <w:color w:val="000000" w:themeColor="text1"/>
        </w:rPr>
        <w:t>similar to</w:t>
      </w:r>
      <w:bookmarkEnd w:id="40"/>
      <w:r w:rsidRPr="008E5F88">
        <w:rPr>
          <w:rFonts w:ascii="Calibri" w:eastAsia="Calibri" w:hAnsi="Calibri" w:cs="Calibri"/>
          <w:color w:val="000000" w:themeColor="text1"/>
        </w:rPr>
        <w:t xml:space="preserve"> West Kent average over time. Further investigation </w:t>
      </w:r>
      <w:bookmarkStart w:id="41" w:name="_Int_VPm636cn"/>
      <w:r w:rsidRPr="008E5F88">
        <w:rPr>
          <w:rFonts w:ascii="Calibri" w:eastAsia="Calibri" w:hAnsi="Calibri" w:cs="Calibri"/>
          <w:color w:val="000000" w:themeColor="text1"/>
        </w:rPr>
        <w:t>maybe required</w:t>
      </w:r>
      <w:bookmarkEnd w:id="41"/>
      <w:r w:rsidRPr="008E5F88">
        <w:rPr>
          <w:rFonts w:ascii="Calibri" w:eastAsia="Calibri" w:hAnsi="Calibri" w:cs="Calibri"/>
          <w:color w:val="000000" w:themeColor="text1"/>
        </w:rPr>
        <w:t xml:space="preserve"> to determine if this is a real difference or due to artefact. </w:t>
      </w:r>
    </w:p>
    <w:p w14:paraId="16C99EC0" w14:textId="77777777" w:rsidR="006B4082" w:rsidRPr="008E5F88" w:rsidRDefault="006B4082" w:rsidP="001D1DEC">
      <w:pPr>
        <w:textAlignment w:val="baseline"/>
        <w:rPr>
          <w:rFonts w:ascii="Calibri" w:eastAsia="Calibri" w:hAnsi="Calibri" w:cs="Calibri"/>
          <w:color w:val="000000" w:themeColor="text1"/>
        </w:rPr>
      </w:pPr>
    </w:p>
    <w:p w14:paraId="661D98C1" w14:textId="370DEAB9" w:rsidR="007146C1" w:rsidRPr="004216F9" w:rsidRDefault="007146C1" w:rsidP="004216F9">
      <w:pPr>
        <w:rPr>
          <w:rFonts w:ascii="Calibri" w:eastAsia="Calibri" w:hAnsi="Calibri" w:cs="Calibri"/>
          <w:b/>
          <w:bCs/>
          <w:color w:val="000000" w:themeColor="text1"/>
        </w:rPr>
      </w:pPr>
      <w:r w:rsidRPr="32F7F25D">
        <w:rPr>
          <w:rFonts w:ascii="Calibri" w:eastAsia="Calibri" w:hAnsi="Calibri" w:cs="Calibri"/>
          <w:b/>
          <w:bCs/>
          <w:color w:val="000000" w:themeColor="text1"/>
        </w:rPr>
        <w:t>Figure 1</w:t>
      </w:r>
      <w:r w:rsidR="00243B5B">
        <w:rPr>
          <w:rFonts w:ascii="Calibri" w:eastAsia="Calibri" w:hAnsi="Calibri" w:cs="Calibri"/>
          <w:b/>
          <w:bCs/>
          <w:color w:val="000000" w:themeColor="text1"/>
        </w:rPr>
        <w:t>6</w:t>
      </w:r>
      <w:r w:rsidRPr="32F7F25D">
        <w:rPr>
          <w:rFonts w:ascii="Calibri" w:eastAsia="Calibri" w:hAnsi="Calibri" w:cs="Calibri"/>
          <w:b/>
          <w:bCs/>
          <w:color w:val="000000" w:themeColor="text1"/>
        </w:rPr>
        <w:t xml:space="preserve"> A measure of the average age at time of death in people with one or more Long Term Conditions (LTCs) West Kent vs Malling PCN</w:t>
      </w:r>
      <w:r w:rsidR="004216F9">
        <w:rPr>
          <w:rFonts w:ascii="Calibri" w:eastAsia="Calibri" w:hAnsi="Calibri" w:cs="Calibri"/>
          <w:b/>
          <w:bCs/>
          <w:color w:val="000000" w:themeColor="text1"/>
        </w:rPr>
        <w:t xml:space="preserve">. </w:t>
      </w:r>
      <w:r w:rsidR="004216F9" w:rsidRPr="004216F9">
        <w:rPr>
          <w:rFonts w:ascii="Calibri" w:eastAsia="Calibri" w:hAnsi="Calibri" w:cs="Calibri"/>
          <w:color w:val="000000" w:themeColor="text1"/>
        </w:rPr>
        <w:t>Source: OBH</w:t>
      </w:r>
    </w:p>
    <w:p w14:paraId="187A03E0" w14:textId="77777777" w:rsidR="007146C1" w:rsidRPr="00E25E23" w:rsidRDefault="007146C1" w:rsidP="007146C1">
      <w:pPr>
        <w:spacing w:after="0" w:line="240" w:lineRule="auto"/>
        <w:textAlignment w:val="baseline"/>
      </w:pPr>
      <w:r>
        <w:rPr>
          <w:noProof/>
        </w:rPr>
        <w:drawing>
          <wp:inline distT="0" distB="0" distL="0" distR="0" wp14:anchorId="3C96CCE7" wp14:editId="06646EC0">
            <wp:extent cx="6132255" cy="2979399"/>
            <wp:effectExtent l="0" t="0" r="1905" b="0"/>
            <wp:docPr id="248364778" name="Picture 248364778" descr="A line graph showing the average age at time of death for West Kent PCN and for Malling PCN between April 2018 and April 2022. The line for Malling sits around ages 76 to 78 and has a slight upwards trend. The line for West Kent sits between 80 and 81 and looks s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64778" name="Picture 248364778" descr="A line graph showing the average age at time of death for West Kent PCN and for Malling PCN between April 2018 and April 2022. The line for Malling sits around ages 76 to 78 and has a slight upwards trend. The line for West Kent sits between 80 and 81 and looks stable. "/>
                    <pic:cNvPicPr/>
                  </pic:nvPicPr>
                  <pic:blipFill>
                    <a:blip r:embed="rId58">
                      <a:extLst>
                        <a:ext uri="{28A0092B-C50C-407E-A947-70E740481C1C}">
                          <a14:useLocalDpi xmlns:a14="http://schemas.microsoft.com/office/drawing/2010/main" val="0"/>
                        </a:ext>
                      </a:extLst>
                    </a:blip>
                    <a:stretch>
                      <a:fillRect/>
                    </a:stretch>
                  </pic:blipFill>
                  <pic:spPr>
                    <a:xfrm>
                      <a:off x="0" y="0"/>
                      <a:ext cx="6142550" cy="2984401"/>
                    </a:xfrm>
                    <a:prstGeom prst="rect">
                      <a:avLst/>
                    </a:prstGeom>
                  </pic:spPr>
                </pic:pic>
              </a:graphicData>
            </a:graphic>
          </wp:inline>
        </w:drawing>
      </w:r>
    </w:p>
    <w:p w14:paraId="1C6897DD" w14:textId="77777777" w:rsidR="006B4082" w:rsidRPr="00E25E23" w:rsidRDefault="006B4082" w:rsidP="007146C1">
      <w:pPr>
        <w:spacing w:after="0" w:line="240" w:lineRule="auto"/>
        <w:textAlignment w:val="baseline"/>
      </w:pPr>
    </w:p>
    <w:p w14:paraId="62E0C2D0" w14:textId="77777777" w:rsidR="007146C1" w:rsidRPr="00E25E23" w:rsidRDefault="007146C1" w:rsidP="00753A65">
      <w:pPr>
        <w:pStyle w:val="Heading2"/>
        <w:rPr>
          <w:rFonts w:eastAsia="Times New Roman"/>
        </w:rPr>
      </w:pPr>
      <w:bookmarkStart w:id="42" w:name="_Toc128133810"/>
      <w:r w:rsidRPr="5E4DB3C2">
        <w:rPr>
          <w:rFonts w:eastAsia="Times New Roman"/>
        </w:rPr>
        <w:t>Migration</w:t>
      </w:r>
      <w:bookmarkEnd w:id="42"/>
      <w:r w:rsidRPr="5E4DB3C2">
        <w:rPr>
          <w:rFonts w:eastAsia="Times New Roman"/>
        </w:rPr>
        <w:t> </w:t>
      </w:r>
    </w:p>
    <w:p w14:paraId="639E9162" w14:textId="116E0C1E" w:rsidR="007146C1" w:rsidRPr="00E25E23" w:rsidRDefault="009C6DE5" w:rsidP="00753A65">
      <w:pPr>
        <w:spacing w:after="0"/>
        <w:ind w:left="-150"/>
        <w:textAlignment w:val="baseline"/>
        <w:rPr>
          <w:rFonts w:ascii="Segoe UI" w:eastAsia="Times New Roman" w:hAnsi="Segoe UI" w:cs="Segoe UI"/>
          <w:sz w:val="18"/>
          <w:szCs w:val="18"/>
        </w:rPr>
      </w:pPr>
      <w:hyperlink r:id="rId59">
        <w:r w:rsidR="007146C1" w:rsidRPr="5E4DB3C2">
          <w:rPr>
            <w:rStyle w:val="Hyperlink"/>
            <w:rFonts w:ascii="Calibri" w:eastAsia="Times New Roman" w:hAnsi="Calibri" w:cs="Calibri"/>
          </w:rPr>
          <w:t>ONS provide migration projections</w:t>
        </w:r>
      </w:hyperlink>
      <w:r w:rsidR="007146C1" w:rsidRPr="5E4DB3C2">
        <w:rPr>
          <w:rFonts w:ascii="Calibri" w:eastAsia="Times New Roman" w:hAnsi="Calibri" w:cs="Calibri"/>
        </w:rPr>
        <w:t>, which are used as one of the components of change within their subnational population projections. These projections suggest net migration (made up of international, internal, and cross-border migration) of around 3,300 per year across Maidstone, Sevenoaks, Tonbridge &amp; Malling, and Tunbridge Wells (Figures 1</w:t>
      </w:r>
      <w:r w:rsidR="00243B5B">
        <w:rPr>
          <w:rFonts w:ascii="Calibri" w:eastAsia="Times New Roman" w:hAnsi="Calibri" w:cs="Calibri"/>
        </w:rPr>
        <w:t>7</w:t>
      </w:r>
      <w:r w:rsidR="007146C1" w:rsidRPr="5E4DB3C2">
        <w:rPr>
          <w:rFonts w:ascii="Calibri" w:eastAsia="Times New Roman" w:hAnsi="Calibri" w:cs="Calibri"/>
        </w:rPr>
        <w:t xml:space="preserve"> to 2</w:t>
      </w:r>
      <w:r w:rsidR="00243B5B">
        <w:rPr>
          <w:rFonts w:ascii="Calibri" w:eastAsia="Times New Roman" w:hAnsi="Calibri" w:cs="Calibri"/>
        </w:rPr>
        <w:t>1</w:t>
      </w:r>
      <w:r w:rsidR="007146C1" w:rsidRPr="5E4DB3C2">
        <w:rPr>
          <w:rFonts w:ascii="Calibri" w:eastAsia="Times New Roman" w:hAnsi="Calibri" w:cs="Calibri"/>
        </w:rPr>
        <w:t>).</w:t>
      </w:r>
    </w:p>
    <w:p w14:paraId="303A2D0A" w14:textId="77777777" w:rsidR="001D1DEC" w:rsidRDefault="007146C1" w:rsidP="00753A65">
      <w:pPr>
        <w:spacing w:after="0"/>
        <w:ind w:left="-150"/>
        <w:textAlignment w:val="baseline"/>
        <w:rPr>
          <w:rFonts w:ascii="Segoe UI" w:eastAsia="Times New Roman" w:hAnsi="Segoe UI" w:cs="Segoe UI"/>
          <w:sz w:val="18"/>
          <w:szCs w:val="18"/>
        </w:rPr>
      </w:pPr>
      <w:r w:rsidRPr="00E25E23">
        <w:rPr>
          <w:rFonts w:ascii="Calibri" w:eastAsia="Times New Roman" w:hAnsi="Calibri" w:cs="Calibri"/>
        </w:rPr>
        <w:t xml:space="preserve">Although there is an awareness of changes in local population demographics </w:t>
      </w:r>
      <w:bookmarkStart w:id="43" w:name="_Int_YashToru"/>
      <w:r w:rsidRPr="00E25E23">
        <w:rPr>
          <w:rFonts w:ascii="Calibri" w:eastAsia="Times New Roman" w:hAnsi="Calibri" w:cs="Calibri"/>
        </w:rPr>
        <w:t>as a result of</w:t>
      </w:r>
      <w:bookmarkEnd w:id="43"/>
      <w:r w:rsidRPr="00E25E23">
        <w:rPr>
          <w:rFonts w:ascii="Calibri" w:eastAsia="Times New Roman" w:hAnsi="Calibri" w:cs="Calibri"/>
        </w:rPr>
        <w:t xml:space="preserve"> migration from Eastern European countries, there is currently no data available to assess their specific needs. We are also aware that the traveller population fluctuates considerably. Because of tradition and poor communication these populations can present additional needs, for instance, poor immunisation uptake, poor involvement in ante-natal and birthing services, etc.  Local authorities are developing some information sources about these communities.  </w:t>
      </w:r>
    </w:p>
    <w:p w14:paraId="2DC2AF39" w14:textId="77777777" w:rsidR="00D65A49" w:rsidRDefault="00D65A49">
      <w:pPr>
        <w:spacing w:before="0" w:after="200"/>
        <w:rPr>
          <w:b/>
          <w:bCs/>
        </w:rPr>
      </w:pPr>
      <w:r>
        <w:rPr>
          <w:b/>
          <w:bCs/>
        </w:rPr>
        <w:br w:type="page"/>
      </w:r>
    </w:p>
    <w:p w14:paraId="0431E582" w14:textId="163FEF0E" w:rsidR="007146C1" w:rsidRPr="001D1DEC" w:rsidRDefault="007146C1" w:rsidP="00753A65">
      <w:pPr>
        <w:spacing w:after="0"/>
        <w:ind w:left="-150"/>
        <w:textAlignment w:val="baseline"/>
        <w:rPr>
          <w:rFonts w:ascii="Segoe UI" w:eastAsia="Times New Roman" w:hAnsi="Segoe UI" w:cs="Segoe UI"/>
          <w:sz w:val="18"/>
          <w:szCs w:val="18"/>
        </w:rPr>
      </w:pPr>
      <w:r w:rsidRPr="001D1DEC">
        <w:rPr>
          <w:b/>
          <w:bCs/>
        </w:rPr>
        <w:lastRenderedPageBreak/>
        <w:t>Figure 1</w:t>
      </w:r>
      <w:r w:rsidR="00243B5B">
        <w:rPr>
          <w:b/>
          <w:bCs/>
        </w:rPr>
        <w:t>7</w:t>
      </w:r>
      <w:r w:rsidRPr="001D1DEC">
        <w:rPr>
          <w:b/>
          <w:bCs/>
        </w:rPr>
        <w:t xml:space="preserve"> </w:t>
      </w:r>
      <w:r w:rsidR="001D1DEC" w:rsidRPr="001D1DEC">
        <w:rPr>
          <w:b/>
          <w:bCs/>
        </w:rPr>
        <w:t>Net migration estimates, West Kent districts, 2015-16 to 2019-20</w:t>
      </w:r>
    </w:p>
    <w:p w14:paraId="5B77A6A2" w14:textId="77777777" w:rsidR="006B4082" w:rsidRDefault="007146C1" w:rsidP="00753A65">
      <w:pPr>
        <w:spacing w:after="0" w:line="240" w:lineRule="auto"/>
        <w:ind w:left="-150"/>
        <w:textAlignment w:val="baseline"/>
        <w:rPr>
          <w:rFonts w:ascii="Calibri" w:eastAsia="Times New Roman" w:hAnsi="Calibri" w:cs="Calibri"/>
        </w:rPr>
      </w:pPr>
      <w:r>
        <w:rPr>
          <w:noProof/>
        </w:rPr>
        <w:drawing>
          <wp:inline distT="0" distB="0" distL="0" distR="0" wp14:anchorId="239579D2" wp14:editId="045DDDE3">
            <wp:extent cx="6237657" cy="3728357"/>
            <wp:effectExtent l="0" t="0" r="0" b="5715"/>
            <wp:docPr id="8" name="Picture 8" descr="Bar chart showing net migration estimates for the 4 West Kent districts from mid 2015/16 to mid 2019/20. Maidstone consistently has most net migration, ranging from 1096 to 1770 migrants and peaking in 2017/18. Sevenoaks ranges from 265 to 730 and also peaks in 2017/18. Tonbridge and Malling is steady around 1200 from 2015/16 to 2018/19 but falls to 119 in 2019/20. Tunbridge wells typically has about 550 incoming migrants each year but negative net migration with -105 i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r chart showing net migration estimates for the 4 West Kent districts from mid 2015/16 to mid 2019/20. Maidstone consistently has most net migration, ranging from 1096 to 1770 migrants and peaking in 2017/18. Sevenoaks ranges from 265 to 730 and also peaks in 2017/18. Tonbridge and Malling is steady around 1200 from 2015/16 to 2018/19 but falls to 119 in 2019/20. Tunbridge wells typically has about 550 incoming migrants each year but negative net migration with -105 in 2017/18."/>
                    <pic:cNvPicPr/>
                  </pic:nvPicPr>
                  <pic:blipFill>
                    <a:blip r:embed="rId60">
                      <a:extLst>
                        <a:ext uri="{28A0092B-C50C-407E-A947-70E740481C1C}">
                          <a14:useLocalDpi xmlns:a14="http://schemas.microsoft.com/office/drawing/2010/main" val="0"/>
                        </a:ext>
                      </a:extLst>
                    </a:blip>
                    <a:stretch>
                      <a:fillRect/>
                    </a:stretch>
                  </pic:blipFill>
                  <pic:spPr>
                    <a:xfrm>
                      <a:off x="0" y="0"/>
                      <a:ext cx="6250386" cy="3735966"/>
                    </a:xfrm>
                    <a:prstGeom prst="rect">
                      <a:avLst/>
                    </a:prstGeom>
                  </pic:spPr>
                </pic:pic>
              </a:graphicData>
            </a:graphic>
          </wp:inline>
        </w:drawing>
      </w:r>
      <w:r w:rsidRPr="5E4DB3C2">
        <w:rPr>
          <w:rFonts w:ascii="Calibri" w:eastAsia="Times New Roman" w:hAnsi="Calibri" w:cs="Calibri"/>
        </w:rPr>
        <w:t> </w:t>
      </w:r>
    </w:p>
    <w:p w14:paraId="093E6148" w14:textId="27330FB3" w:rsidR="007146C1" w:rsidRPr="00E25E23" w:rsidRDefault="007146C1" w:rsidP="00753A65">
      <w:pPr>
        <w:spacing w:after="0" w:line="240" w:lineRule="auto"/>
        <w:ind w:left="-150"/>
        <w:textAlignment w:val="baseline"/>
        <w:rPr>
          <w:rFonts w:ascii="Segoe UI" w:eastAsia="Times New Roman" w:hAnsi="Segoe UI" w:cs="Segoe UI"/>
          <w:sz w:val="18"/>
          <w:szCs w:val="18"/>
        </w:rPr>
      </w:pPr>
      <w:r>
        <w:br/>
      </w:r>
      <w:r w:rsidRPr="001D1DEC">
        <w:rPr>
          <w:b/>
          <w:bCs/>
        </w:rPr>
        <w:t>Figure 1</w:t>
      </w:r>
      <w:r w:rsidR="00243B5B">
        <w:rPr>
          <w:b/>
          <w:bCs/>
        </w:rPr>
        <w:t>8</w:t>
      </w:r>
      <w:r w:rsidR="001D1DEC" w:rsidRPr="001D1DEC">
        <w:rPr>
          <w:b/>
          <w:bCs/>
        </w:rPr>
        <w:t xml:space="preserve"> Percentage population change due to migration, West Kent districts, 2015-16 to 2019-20</w:t>
      </w:r>
    </w:p>
    <w:p w14:paraId="68EC93AD" w14:textId="3CAE60A8" w:rsidR="001D1DEC" w:rsidRDefault="007146C1" w:rsidP="00753A65">
      <w:pPr>
        <w:spacing w:after="0" w:line="240" w:lineRule="auto"/>
        <w:textAlignment w:val="baseline"/>
        <w:rPr>
          <w:rFonts w:ascii="Calibri" w:eastAsia="Times New Roman" w:hAnsi="Calibri" w:cs="Calibri"/>
        </w:rPr>
      </w:pPr>
      <w:r>
        <w:rPr>
          <w:noProof/>
        </w:rPr>
        <w:drawing>
          <wp:inline distT="0" distB="0" distL="0" distR="0" wp14:anchorId="1DB2B7F3" wp14:editId="41BDC630">
            <wp:extent cx="5986702" cy="3592286"/>
            <wp:effectExtent l="0" t="0" r="0" b="8255"/>
            <wp:docPr id="7" name="Picture 7" descr="Bar chart showing the percentage change of the population of West Kent districts due to migration. Maidstone varies between 0.6% and 1%. Sevenoaks varies between 0.2% and 0.6%. Tonbridge and Malling varies between 0.1% and 1%. Tunbridge Wells varies between -0.1% and 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r chart showing the percentage change of the population of West Kent districts due to migration. Maidstone varies between 0.6% and 1%. Sevenoaks varies between 0.2% and 0.6%. Tonbridge and Malling varies between 0.1% and 1%. Tunbridge Wells varies between -0.1% and 0.5%. "/>
                    <pic:cNvPicPr/>
                  </pic:nvPicPr>
                  <pic:blipFill>
                    <a:blip r:embed="rId61">
                      <a:extLst>
                        <a:ext uri="{28A0092B-C50C-407E-A947-70E740481C1C}">
                          <a14:useLocalDpi xmlns:a14="http://schemas.microsoft.com/office/drawing/2010/main" val="0"/>
                        </a:ext>
                      </a:extLst>
                    </a:blip>
                    <a:stretch>
                      <a:fillRect/>
                    </a:stretch>
                  </pic:blipFill>
                  <pic:spPr>
                    <a:xfrm>
                      <a:off x="0" y="0"/>
                      <a:ext cx="5992103" cy="3595527"/>
                    </a:xfrm>
                    <a:prstGeom prst="rect">
                      <a:avLst/>
                    </a:prstGeom>
                  </pic:spPr>
                </pic:pic>
              </a:graphicData>
            </a:graphic>
          </wp:inline>
        </w:drawing>
      </w:r>
    </w:p>
    <w:p w14:paraId="3926AB59" w14:textId="241CDD92" w:rsidR="007146C1" w:rsidRPr="001D1DEC" w:rsidRDefault="007146C1" w:rsidP="00753A65">
      <w:pPr>
        <w:spacing w:after="0" w:line="240" w:lineRule="auto"/>
        <w:ind w:left="-150"/>
        <w:textAlignment w:val="baseline"/>
        <w:rPr>
          <w:b/>
          <w:bCs/>
        </w:rPr>
      </w:pPr>
      <w:r w:rsidRPr="001D1DEC">
        <w:rPr>
          <w:b/>
          <w:bCs/>
        </w:rPr>
        <w:lastRenderedPageBreak/>
        <w:t xml:space="preserve">Figure </w:t>
      </w:r>
      <w:r w:rsidR="00243B5B">
        <w:rPr>
          <w:b/>
          <w:bCs/>
        </w:rPr>
        <w:t>19</w:t>
      </w:r>
      <w:r w:rsidR="001D1DEC" w:rsidRPr="001D1DEC">
        <w:rPr>
          <w:b/>
          <w:bCs/>
        </w:rPr>
        <w:t xml:space="preserve"> Net migration estimates, West Kent districts as proportion of total, 2015-16 to 2019-20</w:t>
      </w:r>
    </w:p>
    <w:p w14:paraId="1B8844E9" w14:textId="29A569A6" w:rsidR="007146C1" w:rsidRPr="001D1DEC" w:rsidRDefault="007146C1" w:rsidP="00753A65">
      <w:pPr>
        <w:spacing w:after="0" w:line="240" w:lineRule="auto"/>
        <w:ind w:left="-150"/>
        <w:textAlignment w:val="baseline"/>
        <w:rPr>
          <w:rFonts w:ascii="Segoe UI" w:eastAsia="Times New Roman" w:hAnsi="Segoe UI" w:cs="Segoe UI"/>
          <w:sz w:val="18"/>
          <w:szCs w:val="18"/>
        </w:rPr>
      </w:pPr>
      <w:r>
        <w:rPr>
          <w:noProof/>
        </w:rPr>
        <w:drawing>
          <wp:inline distT="0" distB="0" distL="0" distR="0" wp14:anchorId="12ECA814" wp14:editId="069F5F9C">
            <wp:extent cx="5987143" cy="3578622"/>
            <wp:effectExtent l="0" t="0" r="0" b="3175"/>
            <wp:docPr id="6" name="Picture 6" descr="A stacked bar chart showing net migration estimates. All districts show an increase in net migration between mid 2015 and mid 2020, except Tunbridge Wells in 2017-18 who had a negative net migration estimate of 105. The increases in net migration were between 119 (Tonbridge and Malling, Mid 2019-2020) and 1770 (Maidstone, Mid 2017-201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tacked bar chart showing net migration estimates. All districts show an increase in net migration between mid 2015 and mid 2020, except Tunbridge Wells in 2017-18 who had a negative net migration estimate of 105. The increases in net migration were between 119 (Tonbridge and Malling, Mid 2019-2020) and 1770 (Maidstone, Mid 2017-2018).">
                      <a:extLst>
                        <a:ext uri="{C183D7F6-B498-43B3-948B-1728B52AA6E4}">
                          <adec:decorative xmlns:adec="http://schemas.microsoft.com/office/drawing/2017/decorative" val="0"/>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6002604" cy="3587863"/>
                    </a:xfrm>
                    <a:prstGeom prst="rect">
                      <a:avLst/>
                    </a:prstGeom>
                  </pic:spPr>
                </pic:pic>
              </a:graphicData>
            </a:graphic>
          </wp:inline>
        </w:drawing>
      </w:r>
      <w:r w:rsidRPr="5E4DB3C2">
        <w:rPr>
          <w:rFonts w:ascii="Calibri" w:eastAsia="Times New Roman" w:hAnsi="Calibri" w:cs="Calibri"/>
        </w:rPr>
        <w:t> </w:t>
      </w:r>
      <w:r>
        <w:br/>
      </w:r>
      <w:r w:rsidRPr="001D1DEC">
        <w:rPr>
          <w:b/>
          <w:bCs/>
        </w:rPr>
        <w:t>Figure 2</w:t>
      </w:r>
      <w:r w:rsidR="00243B5B">
        <w:rPr>
          <w:b/>
          <w:bCs/>
        </w:rPr>
        <w:t>0</w:t>
      </w:r>
      <w:r w:rsidR="001D1DEC">
        <w:rPr>
          <w:b/>
          <w:bCs/>
        </w:rPr>
        <w:t xml:space="preserve"> </w:t>
      </w:r>
      <w:r w:rsidR="001D1DEC" w:rsidRPr="001D1DEC">
        <w:rPr>
          <w:b/>
          <w:bCs/>
        </w:rPr>
        <w:t>Percentage population change due to migration, West Kent districts</w:t>
      </w:r>
      <w:r w:rsidR="001D1DEC">
        <w:rPr>
          <w:b/>
          <w:bCs/>
        </w:rPr>
        <w:t xml:space="preserve"> as a proportion of total</w:t>
      </w:r>
      <w:r w:rsidR="001D1DEC" w:rsidRPr="001D1DEC">
        <w:rPr>
          <w:b/>
          <w:bCs/>
        </w:rPr>
        <w:t>, 2015-16 to 2019-20</w:t>
      </w:r>
    </w:p>
    <w:p w14:paraId="55C84E5F" w14:textId="3931FDD8" w:rsidR="007146C1" w:rsidRPr="00E25E23" w:rsidRDefault="007146C1" w:rsidP="00753A65">
      <w:pPr>
        <w:spacing w:after="0" w:line="240" w:lineRule="auto"/>
        <w:textAlignment w:val="baseline"/>
        <w:rPr>
          <w:rFonts w:ascii="Segoe UI" w:eastAsia="Times New Roman" w:hAnsi="Segoe UI" w:cs="Segoe UI"/>
          <w:sz w:val="18"/>
          <w:szCs w:val="18"/>
        </w:rPr>
      </w:pPr>
      <w:r>
        <w:rPr>
          <w:noProof/>
        </w:rPr>
        <w:drawing>
          <wp:inline distT="0" distB="0" distL="0" distR="0" wp14:anchorId="339634DD" wp14:editId="56619C16">
            <wp:extent cx="6003471" cy="3837140"/>
            <wp:effectExtent l="0" t="0" r="0" b="0"/>
            <wp:docPr id="752297152" name="Picture 752297152" descr="A stacked bar chart showing net migration estimates between 2015-16 and 2019-20. All districts showed an increase in percentage population change except Tunbridge Wells in 2017-18 who had a negative net migration estimate of -0.1%. The increases were between 0.1% (Tonbridge and Malling, Mid 2019-2020) and 1% (Maidstone, Mid 2017-201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7152" name="Picture 752297152" descr="A stacked bar chart showing net migration estimates between 2015-16 and 2019-20. All districts showed an increase in percentage population change except Tunbridge Wells in 2017-18 who had a negative net migration estimate of -0.1%. The increases were between 0.1% (Tonbridge and Malling, Mid 2019-2020) and 1% (Maidstone, Mid 2017-2018).">
                      <a:extLst>
                        <a:ext uri="{C183D7F6-B498-43B3-948B-1728B52AA6E4}">
                          <adec:decorative xmlns:adec="http://schemas.microsoft.com/office/drawing/2017/decorative" val="0"/>
                        </a:ext>
                      </a:extLst>
                    </pic:cNvPr>
                    <pic:cNvPicPr/>
                  </pic:nvPicPr>
                  <pic:blipFill>
                    <a:blip r:embed="rId63">
                      <a:extLst>
                        <a:ext uri="{28A0092B-C50C-407E-A947-70E740481C1C}">
                          <a14:useLocalDpi xmlns:a14="http://schemas.microsoft.com/office/drawing/2010/main" val="0"/>
                        </a:ext>
                      </a:extLst>
                    </a:blip>
                    <a:stretch>
                      <a:fillRect/>
                    </a:stretch>
                  </pic:blipFill>
                  <pic:spPr>
                    <a:xfrm>
                      <a:off x="0" y="0"/>
                      <a:ext cx="6023926" cy="3850214"/>
                    </a:xfrm>
                    <a:prstGeom prst="rect">
                      <a:avLst/>
                    </a:prstGeom>
                  </pic:spPr>
                </pic:pic>
              </a:graphicData>
            </a:graphic>
          </wp:inline>
        </w:drawing>
      </w:r>
      <w:r w:rsidRPr="5E4DB3C2">
        <w:rPr>
          <w:rFonts w:ascii="Calibri" w:eastAsia="Times New Roman" w:hAnsi="Calibri" w:cs="Calibri"/>
        </w:rPr>
        <w:t> </w:t>
      </w:r>
      <w:r>
        <w:br/>
      </w:r>
      <w:r w:rsidRPr="001D1DEC">
        <w:rPr>
          <w:b/>
          <w:bCs/>
        </w:rPr>
        <w:lastRenderedPageBreak/>
        <w:t>Figure 2</w:t>
      </w:r>
      <w:r w:rsidR="00243B5B">
        <w:rPr>
          <w:b/>
          <w:bCs/>
        </w:rPr>
        <w:t>1</w:t>
      </w:r>
      <w:r w:rsidR="001D1DEC" w:rsidRPr="001D1DEC">
        <w:rPr>
          <w:b/>
          <w:bCs/>
        </w:rPr>
        <w:t xml:space="preserve"> Net migration breakdown internal and international, West Kent districts, 2015-16 to 2019-20</w:t>
      </w:r>
    </w:p>
    <w:p w14:paraId="00738767" w14:textId="57997AB2" w:rsidR="007146C1" w:rsidRPr="00E25E23" w:rsidRDefault="007146C1" w:rsidP="00753A65">
      <w:pPr>
        <w:spacing w:after="0" w:line="240" w:lineRule="auto"/>
        <w:textAlignment w:val="baseline"/>
        <w:rPr>
          <w:rFonts w:ascii="Segoe UI" w:eastAsia="Times New Roman" w:hAnsi="Segoe UI" w:cs="Segoe UI"/>
          <w:sz w:val="18"/>
          <w:szCs w:val="18"/>
        </w:rPr>
      </w:pPr>
      <w:r>
        <w:rPr>
          <w:noProof/>
        </w:rPr>
        <w:drawing>
          <wp:inline distT="0" distB="0" distL="0" distR="0" wp14:anchorId="7E57CFC2" wp14:editId="1221E319">
            <wp:extent cx="5731510" cy="4079240"/>
            <wp:effectExtent l="0" t="0" r="2540" b="0"/>
            <wp:docPr id="752297153" name="Picture 752297153" descr="Chart showing net migrants into West Kent districts broken down into international and internal migration. Between 2015/16 and 2019/20 internal migration internal migration increases from 1682 to 2562. International migration falls from 1821 to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7153" name="Picture 752297153" descr="Chart showing net migrants into West Kent districts broken down into international and internal migration. Between 2015/16 and 2019/20 internal migration internal migration increases from 1682 to 2562. International migration falls from 1821 to -413."/>
                    <pic:cNvPicPr/>
                  </pic:nvPicPr>
                  <pic:blipFill>
                    <a:blip r:embed="rId64">
                      <a:extLst>
                        <a:ext uri="{28A0092B-C50C-407E-A947-70E740481C1C}">
                          <a14:useLocalDpi xmlns:a14="http://schemas.microsoft.com/office/drawing/2010/main" val="0"/>
                        </a:ext>
                      </a:extLst>
                    </a:blip>
                    <a:stretch>
                      <a:fillRect/>
                    </a:stretch>
                  </pic:blipFill>
                  <pic:spPr>
                    <a:xfrm>
                      <a:off x="0" y="0"/>
                      <a:ext cx="5731510" cy="4079240"/>
                    </a:xfrm>
                    <a:prstGeom prst="rect">
                      <a:avLst/>
                    </a:prstGeom>
                  </pic:spPr>
                </pic:pic>
              </a:graphicData>
            </a:graphic>
          </wp:inline>
        </w:drawing>
      </w:r>
    </w:p>
    <w:p w14:paraId="220FC7EF" w14:textId="77777777" w:rsidR="006B4082" w:rsidRPr="00E25E23" w:rsidRDefault="006B4082" w:rsidP="00753A65">
      <w:pPr>
        <w:spacing w:after="0" w:line="240" w:lineRule="auto"/>
        <w:textAlignment w:val="baseline"/>
        <w:rPr>
          <w:rFonts w:ascii="Segoe UI" w:eastAsia="Times New Roman" w:hAnsi="Segoe UI" w:cs="Segoe UI"/>
          <w:sz w:val="18"/>
          <w:szCs w:val="18"/>
        </w:rPr>
      </w:pPr>
    </w:p>
    <w:p w14:paraId="6B1E3BAE" w14:textId="77777777" w:rsidR="007146C1" w:rsidRPr="00E25E23" w:rsidRDefault="007146C1" w:rsidP="00753A65">
      <w:pPr>
        <w:pStyle w:val="Heading2"/>
        <w:rPr>
          <w:rFonts w:eastAsia="Times New Roman"/>
        </w:rPr>
      </w:pPr>
      <w:bookmarkStart w:id="44" w:name="_Toc128133811"/>
      <w:r w:rsidRPr="5E4DB3C2">
        <w:rPr>
          <w:rFonts w:eastAsia="Times New Roman"/>
        </w:rPr>
        <w:t>Fertility</w:t>
      </w:r>
      <w:bookmarkEnd w:id="44"/>
      <w:r w:rsidRPr="5E4DB3C2">
        <w:rPr>
          <w:rFonts w:eastAsia="Times New Roman"/>
        </w:rPr>
        <w:t> </w:t>
      </w:r>
    </w:p>
    <w:p w14:paraId="01E46413" w14:textId="40103136" w:rsidR="007146C1" w:rsidRDefault="007146C1" w:rsidP="00753A65">
      <w:pPr>
        <w:spacing w:after="0"/>
        <w:textAlignment w:val="baseline"/>
        <w:rPr>
          <w:rFonts w:ascii="Calibri" w:eastAsia="Times New Roman" w:hAnsi="Calibri" w:cs="Calibri"/>
        </w:rPr>
      </w:pPr>
      <w:r w:rsidRPr="5E4DB3C2">
        <w:rPr>
          <w:rFonts w:ascii="Calibri" w:eastAsia="Times New Roman" w:hAnsi="Calibri" w:cs="Calibri"/>
        </w:rPr>
        <w:t>The General Fertility Rate (GFR) show</w:t>
      </w:r>
      <w:r w:rsidR="00753A65">
        <w:rPr>
          <w:rFonts w:ascii="Calibri" w:eastAsia="Times New Roman" w:hAnsi="Calibri" w:cs="Calibri"/>
        </w:rPr>
        <w:t>s</w:t>
      </w:r>
      <w:r w:rsidRPr="5E4DB3C2">
        <w:rPr>
          <w:rFonts w:ascii="Calibri" w:eastAsia="Times New Roman" w:hAnsi="Calibri" w:cs="Calibri"/>
        </w:rPr>
        <w:t xml:space="preserve"> variations in fertility over time for West Kent </w:t>
      </w:r>
      <w:bookmarkStart w:id="45" w:name="_Int_0N13wgqK"/>
      <w:r w:rsidRPr="5E4DB3C2">
        <w:rPr>
          <w:rFonts w:ascii="Calibri" w:eastAsia="Times New Roman" w:hAnsi="Calibri" w:cs="Calibri"/>
        </w:rPr>
        <w:t>similar to</w:t>
      </w:r>
      <w:bookmarkEnd w:id="45"/>
      <w:r w:rsidRPr="5E4DB3C2">
        <w:rPr>
          <w:rFonts w:ascii="Calibri" w:eastAsia="Times New Roman" w:hAnsi="Calibri" w:cs="Calibri"/>
        </w:rPr>
        <w:t xml:space="preserve"> regional and national trends. A decrease in the general fertility rate was seen between 2018 and 2020. Fertility rates then rose between 2020 and 2021 (Figure 2</w:t>
      </w:r>
      <w:r w:rsidR="00243B5B">
        <w:rPr>
          <w:rFonts w:ascii="Calibri" w:eastAsia="Times New Roman" w:hAnsi="Calibri" w:cs="Calibri"/>
        </w:rPr>
        <w:t>2</w:t>
      </w:r>
      <w:r w:rsidRPr="5E4DB3C2">
        <w:rPr>
          <w:rFonts w:ascii="Calibri" w:eastAsia="Times New Roman" w:hAnsi="Calibri" w:cs="Calibri"/>
        </w:rPr>
        <w:t>).</w:t>
      </w:r>
    </w:p>
    <w:p w14:paraId="0C601D61" w14:textId="554C35DB" w:rsidR="001D1DEC" w:rsidRPr="0057420C" w:rsidRDefault="001D1DEC" w:rsidP="00753A65">
      <w:pPr>
        <w:spacing w:after="0"/>
        <w:textAlignment w:val="baseline"/>
        <w:rPr>
          <w:rFonts w:ascii="Calibri" w:eastAsia="Times New Roman" w:hAnsi="Calibri" w:cs="Calibri"/>
        </w:rPr>
      </w:pPr>
      <w:r w:rsidRPr="347D5DEF">
        <w:rPr>
          <w:rFonts w:ascii="Calibri" w:eastAsia="Times New Roman" w:hAnsi="Calibri" w:cs="Calibri"/>
        </w:rPr>
        <w:t xml:space="preserve">The fertility rate for the four West Kent districts is </w:t>
      </w:r>
      <w:bookmarkStart w:id="46" w:name="_Int_HBSmMBvy"/>
      <w:r w:rsidRPr="347D5DEF">
        <w:rPr>
          <w:rFonts w:ascii="Calibri" w:eastAsia="Times New Roman" w:hAnsi="Calibri" w:cs="Calibri"/>
        </w:rPr>
        <w:t>similar to</w:t>
      </w:r>
      <w:bookmarkEnd w:id="46"/>
      <w:r w:rsidRPr="347D5DEF">
        <w:rPr>
          <w:rFonts w:ascii="Calibri" w:eastAsia="Times New Roman" w:hAnsi="Calibri" w:cs="Calibri"/>
        </w:rPr>
        <w:t xml:space="preserve"> the Kent average. Maidstone and Sevenoaks have higher rates than the Kent average (62.8 and 61.8 respectively). Tonbridge and Malling and Tunbridge Wells have rates </w:t>
      </w:r>
      <w:bookmarkStart w:id="47" w:name="_Int_MgDh3CBk"/>
      <w:r w:rsidRPr="347D5DEF">
        <w:rPr>
          <w:rFonts w:ascii="Calibri" w:eastAsia="Times New Roman" w:hAnsi="Calibri" w:cs="Calibri"/>
        </w:rPr>
        <w:t>similar to</w:t>
      </w:r>
      <w:bookmarkEnd w:id="47"/>
      <w:r w:rsidRPr="347D5DEF">
        <w:rPr>
          <w:rFonts w:ascii="Calibri" w:eastAsia="Times New Roman" w:hAnsi="Calibri" w:cs="Calibri"/>
        </w:rPr>
        <w:t xml:space="preserve"> Kent (Figure 2</w:t>
      </w:r>
      <w:r w:rsidR="00243B5B">
        <w:rPr>
          <w:rFonts w:ascii="Calibri" w:eastAsia="Times New Roman" w:hAnsi="Calibri" w:cs="Calibri"/>
        </w:rPr>
        <w:t>2</w:t>
      </w:r>
      <w:r w:rsidRPr="347D5DEF">
        <w:rPr>
          <w:rFonts w:ascii="Calibri" w:eastAsia="Times New Roman" w:hAnsi="Calibri" w:cs="Calibri"/>
        </w:rPr>
        <w:t xml:space="preserve"> and Table 1)</w:t>
      </w:r>
      <w:r>
        <w:rPr>
          <w:rFonts w:ascii="Calibri" w:eastAsia="Times New Roman" w:hAnsi="Calibri" w:cs="Calibri"/>
        </w:rPr>
        <w:t>.</w:t>
      </w:r>
    </w:p>
    <w:p w14:paraId="575D9815" w14:textId="77777777" w:rsidR="00D65A49" w:rsidRDefault="00D65A49">
      <w:pPr>
        <w:spacing w:before="0" w:after="200"/>
        <w:rPr>
          <w:b/>
          <w:bCs/>
        </w:rPr>
      </w:pPr>
      <w:r>
        <w:rPr>
          <w:b/>
          <w:bCs/>
        </w:rPr>
        <w:br w:type="page"/>
      </w:r>
    </w:p>
    <w:p w14:paraId="71F25A77" w14:textId="20C8EDF5" w:rsidR="007146C1" w:rsidRPr="00414B4A" w:rsidRDefault="007146C1" w:rsidP="00753A65">
      <w:pPr>
        <w:spacing w:after="0" w:line="240" w:lineRule="auto"/>
        <w:textAlignment w:val="baseline"/>
        <w:rPr>
          <w:b/>
          <w:bCs/>
        </w:rPr>
      </w:pPr>
      <w:r w:rsidRPr="00414B4A">
        <w:rPr>
          <w:b/>
          <w:bCs/>
        </w:rPr>
        <w:lastRenderedPageBreak/>
        <w:t>Figure 2</w:t>
      </w:r>
      <w:r w:rsidR="00243B5B">
        <w:rPr>
          <w:b/>
          <w:bCs/>
        </w:rPr>
        <w:t>2</w:t>
      </w:r>
      <w:r w:rsidR="001D1DEC" w:rsidRPr="00414B4A">
        <w:rPr>
          <w:b/>
          <w:bCs/>
        </w:rPr>
        <w:t xml:space="preserve"> General fertility rate trend of live births, West Kent 2014-2021</w:t>
      </w:r>
    </w:p>
    <w:p w14:paraId="266CFA25" w14:textId="47140CC3" w:rsidR="006B4082" w:rsidRPr="00E25E23" w:rsidRDefault="007146C1" w:rsidP="00753A65">
      <w:pPr>
        <w:spacing w:after="0" w:line="240" w:lineRule="auto"/>
        <w:textAlignment w:val="baseline"/>
        <w:rPr>
          <w:rFonts w:ascii="Segoe UI" w:eastAsia="Times New Roman" w:hAnsi="Segoe UI" w:cs="Segoe UI"/>
          <w:sz w:val="18"/>
          <w:szCs w:val="18"/>
        </w:rPr>
      </w:pPr>
      <w:r>
        <w:rPr>
          <w:noProof/>
        </w:rPr>
        <w:drawing>
          <wp:inline distT="0" distB="0" distL="0" distR="0" wp14:anchorId="31F0DE2A" wp14:editId="185FC37F">
            <wp:extent cx="5667375" cy="3977083"/>
            <wp:effectExtent l="0" t="0" r="0" b="4445"/>
            <wp:docPr id="3" name="Picture 3" descr="Line graph showing general fertility rates per 1000 women in West Kent and Kent. The lines stay very close together between 2014 and 2021, and vary between 58.2 and 64.3 births per 1000 women. There is a slight dip in both lines around 2019-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ine graph showing general fertility rates per 1000 women in West Kent and Kent. The lines stay very close together between 2014 and 2021, and vary between 58.2 and 64.3 births per 1000 women. There is a slight dip in both lines around 2019-2020. "/>
                    <pic:cNvPicPr/>
                  </pic:nvPicPr>
                  <pic:blipFill>
                    <a:blip r:embed="rId65">
                      <a:extLst>
                        <a:ext uri="{28A0092B-C50C-407E-A947-70E740481C1C}">
                          <a14:useLocalDpi xmlns:a14="http://schemas.microsoft.com/office/drawing/2010/main" val="0"/>
                        </a:ext>
                      </a:extLst>
                    </a:blip>
                    <a:stretch>
                      <a:fillRect/>
                    </a:stretch>
                  </pic:blipFill>
                  <pic:spPr>
                    <a:xfrm>
                      <a:off x="0" y="0"/>
                      <a:ext cx="5679180" cy="3985367"/>
                    </a:xfrm>
                    <a:prstGeom prst="rect">
                      <a:avLst/>
                    </a:prstGeom>
                  </pic:spPr>
                </pic:pic>
              </a:graphicData>
            </a:graphic>
          </wp:inline>
        </w:drawing>
      </w:r>
    </w:p>
    <w:p w14:paraId="2D253B5D" w14:textId="6C918877" w:rsidR="007146C1" w:rsidRPr="00414B4A" w:rsidRDefault="007146C1" w:rsidP="00753A65">
      <w:pPr>
        <w:spacing w:after="0" w:line="240" w:lineRule="auto"/>
        <w:textAlignment w:val="baseline"/>
        <w:rPr>
          <w:b/>
          <w:bCs/>
        </w:rPr>
      </w:pPr>
      <w:r w:rsidRPr="00414B4A">
        <w:rPr>
          <w:b/>
          <w:bCs/>
        </w:rPr>
        <w:t>Figure 2</w:t>
      </w:r>
      <w:r w:rsidR="00243B5B">
        <w:rPr>
          <w:b/>
          <w:bCs/>
        </w:rPr>
        <w:t>3</w:t>
      </w:r>
      <w:r w:rsidRPr="00414B4A">
        <w:rPr>
          <w:b/>
          <w:bCs/>
        </w:rPr>
        <w:t> </w:t>
      </w:r>
      <w:r w:rsidR="001D1DEC" w:rsidRPr="00414B4A">
        <w:rPr>
          <w:b/>
          <w:bCs/>
        </w:rPr>
        <w:t>General fertility rate trend of live births, West Kent districts 201</w:t>
      </w:r>
      <w:r w:rsidR="00533D89">
        <w:rPr>
          <w:b/>
          <w:bCs/>
        </w:rPr>
        <w:t>9</w:t>
      </w:r>
      <w:r w:rsidR="001D1DEC" w:rsidRPr="00414B4A">
        <w:rPr>
          <w:b/>
          <w:bCs/>
        </w:rPr>
        <w:t>-2021</w:t>
      </w:r>
    </w:p>
    <w:p w14:paraId="60C54C34" w14:textId="510DB810" w:rsidR="007146C1" w:rsidRPr="00130421" w:rsidRDefault="007146C1" w:rsidP="00753A65">
      <w:pPr>
        <w:spacing w:after="0" w:line="240" w:lineRule="auto"/>
        <w:textAlignment w:val="baseline"/>
        <w:rPr>
          <w:b/>
          <w:bCs/>
        </w:rPr>
      </w:pPr>
      <w:r>
        <w:rPr>
          <w:noProof/>
        </w:rPr>
        <w:drawing>
          <wp:inline distT="0" distB="0" distL="0" distR="0" wp14:anchorId="711A9732" wp14:editId="687C56DC">
            <wp:extent cx="5705476" cy="3742756"/>
            <wp:effectExtent l="0" t="0" r="0" b="0"/>
            <wp:docPr id="752297154" name="Picture 752297154" descr="A combination chart with bars showing the general fertility rate by district. Maidstone had the highest fertility rate at 62.8 live births per 1000 women aged 15-44, while Tunbridge Wells had the lowest at 57. The Kent average line showed a rate of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7154" name="Picture 752297154" descr="A combination chart with bars showing the general fertility rate by district. Maidstone had the highest fertility rate at 62.8 live births per 1000 women aged 15-44, while Tunbridge Wells had the lowest at 57. The Kent average line showed a rate of 59."/>
                    <pic:cNvPicPr/>
                  </pic:nvPicPr>
                  <pic:blipFill>
                    <a:blip r:embed="rId66">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http://schemas.microsoft.com/office/drawing/2014/main" xmlns:c="http://schemas.openxmlformats.org/drawingml/2006/chart" xmlns:adec="http://schemas.microsoft.com/office/drawing/2017/decorative" xmlns:arto="http://schemas.microsoft.com/office/word/2006/arto" val="1"/>
                        </a:ext>
                      </a:extLst>
                    </a:blip>
                    <a:stretch>
                      <a:fillRect/>
                    </a:stretch>
                  </pic:blipFill>
                  <pic:spPr>
                    <a:xfrm>
                      <a:off x="0" y="0"/>
                      <a:ext cx="5705476" cy="3742756"/>
                    </a:xfrm>
                    <a:prstGeom prst="rect">
                      <a:avLst/>
                    </a:prstGeom>
                  </pic:spPr>
                </pic:pic>
              </a:graphicData>
            </a:graphic>
          </wp:inline>
        </w:drawing>
      </w:r>
      <w:r w:rsidRPr="00E25E23">
        <w:rPr>
          <w:rFonts w:ascii="Calibri" w:eastAsia="Times New Roman" w:hAnsi="Calibri" w:cs="Calibri"/>
        </w:rPr>
        <w:t> </w:t>
      </w:r>
      <w:r>
        <w:br/>
      </w:r>
      <w:r w:rsidRPr="00E25E23">
        <w:rPr>
          <w:rFonts w:ascii="Calibri" w:eastAsia="Times New Roman" w:hAnsi="Calibri" w:cs="Calibri"/>
        </w:rPr>
        <w:lastRenderedPageBreak/>
        <w:t> </w:t>
      </w:r>
      <w:r w:rsidRPr="00130421">
        <w:rPr>
          <w:b/>
          <w:bCs/>
        </w:rPr>
        <w:t>Table 1 General fertility rate: crude rate of total live births per 1,000 women aged 15-44 in West Kent Districts, West Kent</w:t>
      </w:r>
      <w:r w:rsidR="2A910838" w:rsidRPr="740CDBE4">
        <w:rPr>
          <w:b/>
          <w:bCs/>
        </w:rPr>
        <w:t>,</w:t>
      </w:r>
      <w:r w:rsidRPr="00130421">
        <w:rPr>
          <w:b/>
          <w:bCs/>
        </w:rPr>
        <w:t xml:space="preserve"> and Kent from 2014 - 2021</w:t>
      </w:r>
    </w:p>
    <w:tbl>
      <w:tblPr>
        <w:tblW w:w="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25"/>
        <w:gridCol w:w="816"/>
        <w:gridCol w:w="816"/>
        <w:gridCol w:w="830"/>
        <w:gridCol w:w="830"/>
        <w:gridCol w:w="830"/>
        <w:gridCol w:w="830"/>
        <w:gridCol w:w="830"/>
        <w:gridCol w:w="830"/>
      </w:tblGrid>
      <w:tr w:rsidR="007146C1" w:rsidRPr="00E25E23" w14:paraId="6A79FCDA" w14:textId="77777777">
        <w:trPr>
          <w:trHeight w:val="570"/>
        </w:trPr>
        <w:tc>
          <w:tcPr>
            <w:tcW w:w="237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0C093F9C" w14:textId="77777777" w:rsidR="007146C1" w:rsidRPr="00E25E23" w:rsidRDefault="007146C1" w:rsidP="00753A65">
            <w:pPr>
              <w:spacing w:after="0" w:line="240" w:lineRule="auto"/>
              <w:textAlignment w:val="baseline"/>
              <w:rPr>
                <w:rFonts w:ascii="Times New Roman" w:eastAsia="Times New Roman" w:hAnsi="Times New Roman" w:cs="Times New Roman"/>
              </w:rPr>
            </w:pPr>
            <w:r w:rsidRPr="00E25E23">
              <w:rPr>
                <w:rFonts w:ascii="Arial" w:eastAsia="Times New Roman" w:hAnsi="Arial"/>
                <w:b/>
                <w:bCs/>
                <w:color w:val="FFFFFF"/>
              </w:rPr>
              <w:t>Area</w:t>
            </w:r>
            <w:r w:rsidRPr="00E25E23">
              <w:rPr>
                <w:rFonts w:ascii="Arial" w:eastAsia="Times New Roman" w:hAnsi="Arial"/>
                <w:color w:val="FFFFFF"/>
              </w:rPr>
              <w:t>  </w:t>
            </w:r>
          </w:p>
        </w:tc>
        <w:tc>
          <w:tcPr>
            <w:tcW w:w="825" w:type="dxa"/>
            <w:tcBorders>
              <w:top w:val="single" w:sz="6" w:space="0" w:color="auto"/>
              <w:left w:val="nil"/>
              <w:bottom w:val="single" w:sz="6" w:space="0" w:color="auto"/>
              <w:right w:val="single" w:sz="6" w:space="0" w:color="auto"/>
            </w:tcBorders>
            <w:shd w:val="clear" w:color="auto" w:fill="2D7D82"/>
            <w:vAlign w:val="center"/>
            <w:hideMark/>
          </w:tcPr>
          <w:p w14:paraId="59D9F98B" w14:textId="392193BF"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b/>
                <w:bCs/>
                <w:color w:val="FFFFFF"/>
              </w:rPr>
              <w:t>2014</w:t>
            </w:r>
            <w:r w:rsidRPr="00E25E23">
              <w:rPr>
                <w:rFonts w:ascii="Arial" w:eastAsia="Times New Roman" w:hAnsi="Arial"/>
                <w:color w:val="FFFFFF"/>
              </w:rPr>
              <w:t> </w:t>
            </w:r>
          </w:p>
        </w:tc>
        <w:tc>
          <w:tcPr>
            <w:tcW w:w="825"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1A473A57" w14:textId="582DE877"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b/>
                <w:bCs/>
                <w:color w:val="FFFFFF"/>
              </w:rPr>
              <w:t>2015</w:t>
            </w:r>
            <w:r w:rsidRPr="00E25E23">
              <w:rPr>
                <w:rFonts w:ascii="Arial" w:eastAsia="Times New Roman" w:hAnsi="Arial"/>
                <w:color w:val="FFFFFF"/>
              </w:rPr>
              <w:t> </w:t>
            </w:r>
          </w:p>
        </w:tc>
        <w:tc>
          <w:tcPr>
            <w:tcW w:w="84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3995E436" w14:textId="743C1483"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b/>
                <w:bCs/>
                <w:color w:val="FFFFFF"/>
              </w:rPr>
              <w:t>2016</w:t>
            </w:r>
            <w:r w:rsidRPr="00E25E23">
              <w:rPr>
                <w:rFonts w:ascii="Arial" w:eastAsia="Times New Roman" w:hAnsi="Arial"/>
                <w:color w:val="FFFFFF"/>
              </w:rPr>
              <w:t> </w:t>
            </w:r>
          </w:p>
        </w:tc>
        <w:tc>
          <w:tcPr>
            <w:tcW w:w="84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4660C5D5" w14:textId="3FEBEC63"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b/>
                <w:bCs/>
                <w:color w:val="FFFFFF"/>
              </w:rPr>
              <w:t>2017</w:t>
            </w:r>
            <w:r w:rsidRPr="00E25E23">
              <w:rPr>
                <w:rFonts w:ascii="Arial" w:eastAsia="Times New Roman" w:hAnsi="Arial"/>
                <w:color w:val="FFFFFF"/>
              </w:rPr>
              <w:t> </w:t>
            </w:r>
          </w:p>
        </w:tc>
        <w:tc>
          <w:tcPr>
            <w:tcW w:w="84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09924A88" w14:textId="58D8631C"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b/>
                <w:bCs/>
                <w:color w:val="FFFFFF"/>
              </w:rPr>
              <w:t>2018</w:t>
            </w:r>
            <w:r w:rsidRPr="00E25E23">
              <w:rPr>
                <w:rFonts w:ascii="Arial" w:eastAsia="Times New Roman" w:hAnsi="Arial"/>
                <w:color w:val="FFFFFF"/>
              </w:rPr>
              <w:t> </w:t>
            </w:r>
          </w:p>
        </w:tc>
        <w:tc>
          <w:tcPr>
            <w:tcW w:w="84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4C420831" w14:textId="005F1E84"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b/>
                <w:bCs/>
                <w:color w:val="FFFFFF"/>
              </w:rPr>
              <w:t>2019</w:t>
            </w:r>
            <w:r w:rsidRPr="00E25E23">
              <w:rPr>
                <w:rFonts w:ascii="Arial" w:eastAsia="Times New Roman" w:hAnsi="Arial"/>
                <w:color w:val="FFFFFF"/>
              </w:rPr>
              <w:t> </w:t>
            </w:r>
          </w:p>
        </w:tc>
        <w:tc>
          <w:tcPr>
            <w:tcW w:w="84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1C410FE7" w14:textId="5C224C4C"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b/>
                <w:bCs/>
                <w:color w:val="FFFFFF"/>
              </w:rPr>
              <w:t>2020</w:t>
            </w:r>
            <w:r w:rsidRPr="00E25E23">
              <w:rPr>
                <w:rFonts w:ascii="Arial" w:eastAsia="Times New Roman" w:hAnsi="Arial"/>
                <w:color w:val="FFFFFF"/>
              </w:rPr>
              <w:t> </w:t>
            </w:r>
          </w:p>
        </w:tc>
        <w:tc>
          <w:tcPr>
            <w:tcW w:w="84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070BCB11" w14:textId="2AD5EF1B"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b/>
                <w:bCs/>
                <w:color w:val="FFFFFF"/>
              </w:rPr>
              <w:t>2021</w:t>
            </w:r>
            <w:r w:rsidRPr="00E25E23">
              <w:rPr>
                <w:rFonts w:ascii="Arial" w:eastAsia="Times New Roman" w:hAnsi="Arial"/>
                <w:color w:val="FFFFFF"/>
              </w:rPr>
              <w:t> </w:t>
            </w:r>
          </w:p>
        </w:tc>
      </w:tr>
      <w:tr w:rsidR="007146C1" w:rsidRPr="00E25E23" w14:paraId="3CBCEA30" w14:textId="77777777">
        <w:trPr>
          <w:trHeight w:val="270"/>
        </w:trPr>
        <w:tc>
          <w:tcPr>
            <w:tcW w:w="2370" w:type="dxa"/>
            <w:tcBorders>
              <w:top w:val="nil"/>
              <w:left w:val="single" w:sz="6" w:space="0" w:color="auto"/>
              <w:bottom w:val="single" w:sz="6" w:space="0" w:color="auto"/>
              <w:right w:val="single" w:sz="6" w:space="0" w:color="auto"/>
            </w:tcBorders>
            <w:shd w:val="clear" w:color="auto" w:fill="DDF1F3"/>
            <w:vAlign w:val="center"/>
            <w:hideMark/>
          </w:tcPr>
          <w:p w14:paraId="64E62171" w14:textId="77777777" w:rsidR="007146C1" w:rsidRPr="00E25E23" w:rsidRDefault="007146C1" w:rsidP="00753A65">
            <w:pPr>
              <w:spacing w:after="0" w:line="240" w:lineRule="auto"/>
              <w:textAlignment w:val="baseline"/>
              <w:rPr>
                <w:rFonts w:ascii="Times New Roman" w:eastAsia="Times New Roman" w:hAnsi="Times New Roman" w:cs="Times New Roman"/>
              </w:rPr>
            </w:pPr>
            <w:r w:rsidRPr="00E25E23">
              <w:rPr>
                <w:rFonts w:ascii="Arial" w:eastAsia="Times New Roman" w:hAnsi="Arial"/>
                <w:color w:val="000000"/>
              </w:rPr>
              <w:t>Maidstone  </w:t>
            </w:r>
          </w:p>
        </w:tc>
        <w:tc>
          <w:tcPr>
            <w:tcW w:w="825" w:type="dxa"/>
            <w:tcBorders>
              <w:top w:val="single" w:sz="6" w:space="0" w:color="auto"/>
              <w:left w:val="nil"/>
              <w:bottom w:val="single" w:sz="6" w:space="0" w:color="auto"/>
              <w:right w:val="single" w:sz="6" w:space="0" w:color="auto"/>
            </w:tcBorders>
            <w:shd w:val="clear" w:color="auto" w:fill="DDF1F3"/>
            <w:hideMark/>
          </w:tcPr>
          <w:p w14:paraId="6B9DDB9E" w14:textId="6C42AB75"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66.1 </w:t>
            </w:r>
          </w:p>
        </w:tc>
        <w:tc>
          <w:tcPr>
            <w:tcW w:w="825" w:type="dxa"/>
            <w:tcBorders>
              <w:top w:val="single" w:sz="6" w:space="0" w:color="auto"/>
              <w:left w:val="single" w:sz="6" w:space="0" w:color="auto"/>
              <w:bottom w:val="single" w:sz="6" w:space="0" w:color="auto"/>
              <w:right w:val="single" w:sz="6" w:space="0" w:color="auto"/>
            </w:tcBorders>
            <w:shd w:val="clear" w:color="auto" w:fill="DDF1F3"/>
            <w:hideMark/>
          </w:tcPr>
          <w:p w14:paraId="21FF27FF" w14:textId="54B8A0BD"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66.4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54AE352E" w14:textId="49FB489A"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67.4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3A3B13DB" w14:textId="481D22E6"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66.8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077592DA" w14:textId="20D09B10"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68.4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48F63F3" w14:textId="7DD96F8E"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61.8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BFA484E" w14:textId="19998403"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59.1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5BB4A8CF" w14:textId="316A3072"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67.5 </w:t>
            </w:r>
          </w:p>
        </w:tc>
      </w:tr>
      <w:tr w:rsidR="007146C1" w:rsidRPr="00E25E23" w14:paraId="57C92632" w14:textId="77777777">
        <w:trPr>
          <w:trHeight w:val="270"/>
        </w:trPr>
        <w:tc>
          <w:tcPr>
            <w:tcW w:w="2370" w:type="dxa"/>
            <w:tcBorders>
              <w:top w:val="nil"/>
              <w:left w:val="single" w:sz="6" w:space="0" w:color="auto"/>
              <w:bottom w:val="single" w:sz="6" w:space="0" w:color="auto"/>
              <w:right w:val="single" w:sz="6" w:space="0" w:color="auto"/>
            </w:tcBorders>
            <w:shd w:val="clear" w:color="auto" w:fill="DDF1F3"/>
            <w:vAlign w:val="center"/>
            <w:hideMark/>
          </w:tcPr>
          <w:p w14:paraId="3670F6E0" w14:textId="77777777" w:rsidR="007146C1" w:rsidRPr="00E25E23" w:rsidRDefault="007146C1" w:rsidP="00753A65">
            <w:pPr>
              <w:spacing w:after="0" w:line="240" w:lineRule="auto"/>
              <w:textAlignment w:val="baseline"/>
              <w:rPr>
                <w:rFonts w:ascii="Times New Roman" w:eastAsia="Times New Roman" w:hAnsi="Times New Roman" w:cs="Times New Roman"/>
              </w:rPr>
            </w:pPr>
            <w:r w:rsidRPr="00E25E23">
              <w:rPr>
                <w:rFonts w:ascii="Arial" w:eastAsia="Times New Roman" w:hAnsi="Arial"/>
                <w:color w:val="000000"/>
              </w:rPr>
              <w:t>Sevenoaks  </w:t>
            </w:r>
          </w:p>
        </w:tc>
        <w:tc>
          <w:tcPr>
            <w:tcW w:w="825" w:type="dxa"/>
            <w:tcBorders>
              <w:top w:val="single" w:sz="6" w:space="0" w:color="auto"/>
              <w:left w:val="nil"/>
              <w:bottom w:val="single" w:sz="6" w:space="0" w:color="auto"/>
              <w:right w:val="single" w:sz="6" w:space="0" w:color="auto"/>
            </w:tcBorders>
            <w:shd w:val="clear" w:color="auto" w:fill="DDF1F3"/>
            <w:hideMark/>
          </w:tcPr>
          <w:p w14:paraId="26BBB523" w14:textId="51D15895"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64.3 </w:t>
            </w:r>
          </w:p>
        </w:tc>
        <w:tc>
          <w:tcPr>
            <w:tcW w:w="825" w:type="dxa"/>
            <w:tcBorders>
              <w:top w:val="single" w:sz="6" w:space="0" w:color="auto"/>
              <w:left w:val="single" w:sz="6" w:space="0" w:color="auto"/>
              <w:bottom w:val="single" w:sz="6" w:space="0" w:color="auto"/>
              <w:right w:val="single" w:sz="6" w:space="0" w:color="auto"/>
            </w:tcBorders>
            <w:shd w:val="clear" w:color="auto" w:fill="DDF1F3"/>
            <w:hideMark/>
          </w:tcPr>
          <w:p w14:paraId="0A20B751" w14:textId="67403DCB"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65.2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2425495D" w14:textId="268F83A4"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62.7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57C2B55" w14:textId="6AB9FDD2"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62.0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7973EB6" w14:textId="7C4B59EC"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63.8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104D9600" w14:textId="71C59D81"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61.9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0B80353A" w14:textId="453857EC"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59.3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5086A086" w14:textId="1D91CE88"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64.1 </w:t>
            </w:r>
          </w:p>
        </w:tc>
      </w:tr>
      <w:tr w:rsidR="007146C1" w:rsidRPr="00E25E23" w14:paraId="4C3C5C54" w14:textId="77777777">
        <w:trPr>
          <w:trHeight w:val="270"/>
        </w:trPr>
        <w:tc>
          <w:tcPr>
            <w:tcW w:w="2370" w:type="dxa"/>
            <w:tcBorders>
              <w:top w:val="nil"/>
              <w:left w:val="single" w:sz="6" w:space="0" w:color="auto"/>
              <w:bottom w:val="single" w:sz="6" w:space="0" w:color="auto"/>
              <w:right w:val="single" w:sz="6" w:space="0" w:color="auto"/>
            </w:tcBorders>
            <w:shd w:val="clear" w:color="auto" w:fill="DDF1F3"/>
            <w:vAlign w:val="center"/>
            <w:hideMark/>
          </w:tcPr>
          <w:p w14:paraId="5ACB2D1F" w14:textId="77777777" w:rsidR="007146C1" w:rsidRPr="00E25E23" w:rsidRDefault="007146C1" w:rsidP="00753A65">
            <w:pPr>
              <w:spacing w:after="0" w:line="240" w:lineRule="auto"/>
              <w:textAlignment w:val="baseline"/>
              <w:rPr>
                <w:rFonts w:ascii="Times New Roman" w:eastAsia="Times New Roman" w:hAnsi="Times New Roman" w:cs="Times New Roman"/>
              </w:rPr>
            </w:pPr>
            <w:r w:rsidRPr="00E25E23">
              <w:rPr>
                <w:rFonts w:ascii="Arial" w:eastAsia="Times New Roman" w:hAnsi="Arial"/>
                <w:color w:val="000000"/>
              </w:rPr>
              <w:t>Tonbridge &amp; Malling  </w:t>
            </w:r>
          </w:p>
        </w:tc>
        <w:tc>
          <w:tcPr>
            <w:tcW w:w="825" w:type="dxa"/>
            <w:tcBorders>
              <w:top w:val="single" w:sz="6" w:space="0" w:color="auto"/>
              <w:left w:val="nil"/>
              <w:bottom w:val="single" w:sz="6" w:space="0" w:color="auto"/>
              <w:right w:val="single" w:sz="6" w:space="0" w:color="auto"/>
            </w:tcBorders>
            <w:shd w:val="clear" w:color="auto" w:fill="DDF1F3"/>
            <w:hideMark/>
          </w:tcPr>
          <w:p w14:paraId="3F8ED9C0" w14:textId="7DACEA0E"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62.8 </w:t>
            </w:r>
          </w:p>
        </w:tc>
        <w:tc>
          <w:tcPr>
            <w:tcW w:w="825" w:type="dxa"/>
            <w:tcBorders>
              <w:top w:val="single" w:sz="6" w:space="0" w:color="auto"/>
              <w:left w:val="single" w:sz="6" w:space="0" w:color="auto"/>
              <w:bottom w:val="single" w:sz="6" w:space="0" w:color="auto"/>
              <w:right w:val="single" w:sz="6" w:space="0" w:color="auto"/>
            </w:tcBorders>
            <w:shd w:val="clear" w:color="auto" w:fill="DDF1F3"/>
            <w:hideMark/>
          </w:tcPr>
          <w:p w14:paraId="66446C45" w14:textId="6D9C1332"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59.7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69FA84E1" w14:textId="17994599"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62.2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AC8A892" w14:textId="6E0FCFBA"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64.7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0EF7B40C" w14:textId="6FA107E8"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64.4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FC2DD04" w14:textId="0FB93A82"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60.7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01A5C630" w14:textId="50063E01"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58.5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FB0C9D9" w14:textId="1A858FB9"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60.1 </w:t>
            </w:r>
          </w:p>
        </w:tc>
      </w:tr>
      <w:tr w:rsidR="007146C1" w:rsidRPr="00E25E23" w14:paraId="02DF5244" w14:textId="77777777">
        <w:trPr>
          <w:trHeight w:val="270"/>
        </w:trPr>
        <w:tc>
          <w:tcPr>
            <w:tcW w:w="2370" w:type="dxa"/>
            <w:tcBorders>
              <w:top w:val="nil"/>
              <w:left w:val="single" w:sz="6" w:space="0" w:color="auto"/>
              <w:bottom w:val="single" w:sz="6" w:space="0" w:color="auto"/>
              <w:right w:val="single" w:sz="6" w:space="0" w:color="auto"/>
            </w:tcBorders>
            <w:shd w:val="clear" w:color="auto" w:fill="DDF1F3"/>
            <w:vAlign w:val="center"/>
            <w:hideMark/>
          </w:tcPr>
          <w:p w14:paraId="42AEE74B" w14:textId="77777777" w:rsidR="007146C1" w:rsidRPr="00E25E23" w:rsidRDefault="007146C1" w:rsidP="00753A65">
            <w:pPr>
              <w:spacing w:after="0" w:line="240" w:lineRule="auto"/>
              <w:textAlignment w:val="baseline"/>
              <w:rPr>
                <w:rFonts w:ascii="Times New Roman" w:eastAsia="Times New Roman" w:hAnsi="Times New Roman" w:cs="Times New Roman"/>
              </w:rPr>
            </w:pPr>
            <w:r w:rsidRPr="00E25E23">
              <w:rPr>
                <w:rFonts w:ascii="Arial" w:eastAsia="Times New Roman" w:hAnsi="Arial"/>
                <w:color w:val="000000"/>
              </w:rPr>
              <w:t>Tunbridge Wells  </w:t>
            </w:r>
          </w:p>
        </w:tc>
        <w:tc>
          <w:tcPr>
            <w:tcW w:w="825" w:type="dxa"/>
            <w:tcBorders>
              <w:top w:val="single" w:sz="6" w:space="0" w:color="auto"/>
              <w:left w:val="nil"/>
              <w:bottom w:val="single" w:sz="6" w:space="0" w:color="auto"/>
              <w:right w:val="single" w:sz="6" w:space="0" w:color="auto"/>
            </w:tcBorders>
            <w:shd w:val="clear" w:color="auto" w:fill="DDF1F3"/>
            <w:hideMark/>
          </w:tcPr>
          <w:p w14:paraId="4AEC0DD9" w14:textId="10E75A24"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57.6 </w:t>
            </w:r>
          </w:p>
        </w:tc>
        <w:tc>
          <w:tcPr>
            <w:tcW w:w="825" w:type="dxa"/>
            <w:tcBorders>
              <w:top w:val="single" w:sz="6" w:space="0" w:color="auto"/>
              <w:left w:val="single" w:sz="6" w:space="0" w:color="auto"/>
              <w:bottom w:val="single" w:sz="6" w:space="0" w:color="auto"/>
              <w:right w:val="single" w:sz="6" w:space="0" w:color="auto"/>
            </w:tcBorders>
            <w:shd w:val="clear" w:color="auto" w:fill="DDF1F3"/>
            <w:hideMark/>
          </w:tcPr>
          <w:p w14:paraId="5CDC235C" w14:textId="1679D7D2"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61.2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04455EFC" w14:textId="5B59445E"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58.0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7459A5DC" w14:textId="0AA0A304"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59.7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2E3CF198" w14:textId="4F9A9443"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58.6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730D13AE" w14:textId="7836B6F0"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56.8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57B8F4A5" w14:textId="661504E7"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55.1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6D8E3049" w14:textId="4F6A0B87"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59.0 </w:t>
            </w:r>
          </w:p>
        </w:tc>
      </w:tr>
      <w:tr w:rsidR="007146C1" w:rsidRPr="00E25E23" w14:paraId="0103C015" w14:textId="77777777">
        <w:trPr>
          <w:trHeight w:val="270"/>
        </w:trPr>
        <w:tc>
          <w:tcPr>
            <w:tcW w:w="237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C63A3FD" w14:textId="77777777" w:rsidR="007146C1" w:rsidRPr="00E25E23" w:rsidRDefault="007146C1" w:rsidP="00753A65">
            <w:pPr>
              <w:spacing w:after="0" w:line="240" w:lineRule="auto"/>
              <w:textAlignment w:val="baseline"/>
              <w:rPr>
                <w:rFonts w:ascii="Times New Roman" w:eastAsia="Times New Roman" w:hAnsi="Times New Roman" w:cs="Times New Roman"/>
              </w:rPr>
            </w:pPr>
            <w:r w:rsidRPr="00E25E23">
              <w:rPr>
                <w:rFonts w:ascii="Arial" w:eastAsia="Times New Roman" w:hAnsi="Arial"/>
                <w:b/>
                <w:bCs/>
                <w:color w:val="000000"/>
              </w:rPr>
              <w:t>West Kent districts</w:t>
            </w:r>
            <w:r w:rsidRPr="00E25E23">
              <w:rPr>
                <w:rFonts w:ascii="Arial" w:eastAsia="Times New Roman" w:hAnsi="Arial"/>
                <w:color w:val="000000"/>
              </w:rPr>
              <w:t>  </w:t>
            </w:r>
          </w:p>
        </w:tc>
        <w:tc>
          <w:tcPr>
            <w:tcW w:w="825" w:type="dxa"/>
            <w:tcBorders>
              <w:top w:val="single" w:sz="6" w:space="0" w:color="auto"/>
              <w:left w:val="nil"/>
              <w:bottom w:val="single" w:sz="6" w:space="0" w:color="auto"/>
              <w:right w:val="single" w:sz="6" w:space="0" w:color="auto"/>
            </w:tcBorders>
            <w:shd w:val="clear" w:color="auto" w:fill="DDF1F3"/>
            <w:hideMark/>
          </w:tcPr>
          <w:p w14:paraId="2596FDFA" w14:textId="32490C51"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63.0 </w:t>
            </w:r>
          </w:p>
        </w:tc>
        <w:tc>
          <w:tcPr>
            <w:tcW w:w="825" w:type="dxa"/>
            <w:tcBorders>
              <w:top w:val="single" w:sz="6" w:space="0" w:color="auto"/>
              <w:left w:val="single" w:sz="6" w:space="0" w:color="auto"/>
              <w:bottom w:val="single" w:sz="6" w:space="0" w:color="auto"/>
              <w:right w:val="single" w:sz="6" w:space="0" w:color="auto"/>
            </w:tcBorders>
            <w:shd w:val="clear" w:color="auto" w:fill="DDF1F3"/>
            <w:hideMark/>
          </w:tcPr>
          <w:p w14:paraId="2C9A1ADE" w14:textId="376A43D6"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63.4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2F056F38" w14:textId="02B93C5E"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63.1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7E889680" w14:textId="174D8A8A"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63.7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5902A090" w14:textId="14C87FF1"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64.3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54D69C16" w14:textId="6AE106AE"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60.5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82EE7C9" w14:textId="55CA4203"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58.2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A7EE428" w14:textId="4B535038"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63.1 </w:t>
            </w:r>
          </w:p>
        </w:tc>
      </w:tr>
      <w:tr w:rsidR="007146C1" w:rsidRPr="00E25E23" w14:paraId="102236CD" w14:textId="77777777">
        <w:trPr>
          <w:trHeight w:val="270"/>
        </w:trPr>
        <w:tc>
          <w:tcPr>
            <w:tcW w:w="237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7EC882D" w14:textId="77777777" w:rsidR="007146C1" w:rsidRPr="00E25E23" w:rsidRDefault="007146C1" w:rsidP="00753A65">
            <w:pPr>
              <w:spacing w:after="0" w:line="240" w:lineRule="auto"/>
              <w:textAlignment w:val="baseline"/>
              <w:rPr>
                <w:rFonts w:ascii="Times New Roman" w:eastAsia="Times New Roman" w:hAnsi="Times New Roman" w:cs="Times New Roman"/>
              </w:rPr>
            </w:pPr>
            <w:r w:rsidRPr="00E25E23">
              <w:rPr>
                <w:rFonts w:ascii="Arial" w:eastAsia="Times New Roman" w:hAnsi="Arial"/>
                <w:b/>
                <w:bCs/>
                <w:color w:val="000000"/>
              </w:rPr>
              <w:t>Kent</w:t>
            </w:r>
            <w:r w:rsidRPr="00E25E23">
              <w:rPr>
                <w:rFonts w:ascii="Arial" w:eastAsia="Times New Roman" w:hAnsi="Arial"/>
                <w:color w:val="000000"/>
              </w:rPr>
              <w:t>  </w:t>
            </w:r>
          </w:p>
        </w:tc>
        <w:tc>
          <w:tcPr>
            <w:tcW w:w="825" w:type="dxa"/>
            <w:tcBorders>
              <w:top w:val="single" w:sz="6" w:space="0" w:color="auto"/>
              <w:left w:val="nil"/>
              <w:bottom w:val="single" w:sz="6" w:space="0" w:color="auto"/>
              <w:right w:val="single" w:sz="6" w:space="0" w:color="auto"/>
            </w:tcBorders>
            <w:shd w:val="clear" w:color="auto" w:fill="DDF1F3"/>
            <w:hideMark/>
          </w:tcPr>
          <w:p w14:paraId="1830CFB6" w14:textId="56395A18"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62.4 </w:t>
            </w:r>
          </w:p>
        </w:tc>
        <w:tc>
          <w:tcPr>
            <w:tcW w:w="825" w:type="dxa"/>
            <w:tcBorders>
              <w:top w:val="single" w:sz="6" w:space="0" w:color="auto"/>
              <w:left w:val="single" w:sz="6" w:space="0" w:color="auto"/>
              <w:bottom w:val="single" w:sz="6" w:space="0" w:color="auto"/>
              <w:right w:val="single" w:sz="6" w:space="0" w:color="auto"/>
            </w:tcBorders>
            <w:shd w:val="clear" w:color="auto" w:fill="DDF1F3"/>
            <w:hideMark/>
          </w:tcPr>
          <w:p w14:paraId="239D4249" w14:textId="71423E2E"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62.4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6304BF73" w14:textId="15586765"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62.5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8318790" w14:textId="7B834AC1"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63.0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2F2A8D4F" w14:textId="76D7CFBC"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61.4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0E7BDC0E" w14:textId="504968CA"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59.4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40B5BC15" w14:textId="2B45F336"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57.1 </w:t>
            </w:r>
          </w:p>
        </w:tc>
        <w:tc>
          <w:tcPr>
            <w:tcW w:w="840" w:type="dxa"/>
            <w:tcBorders>
              <w:top w:val="single" w:sz="6" w:space="0" w:color="auto"/>
              <w:left w:val="single" w:sz="6" w:space="0" w:color="auto"/>
              <w:bottom w:val="single" w:sz="6" w:space="0" w:color="auto"/>
              <w:right w:val="single" w:sz="6" w:space="0" w:color="auto"/>
            </w:tcBorders>
            <w:shd w:val="clear" w:color="auto" w:fill="DDF1F3"/>
            <w:hideMark/>
          </w:tcPr>
          <w:p w14:paraId="16FD57E9" w14:textId="359032B0" w:rsidR="007146C1" w:rsidRPr="00E25E23" w:rsidRDefault="007146C1" w:rsidP="00D51333">
            <w:pPr>
              <w:spacing w:after="0" w:line="240" w:lineRule="auto"/>
              <w:jc w:val="center"/>
              <w:textAlignment w:val="baseline"/>
              <w:rPr>
                <w:rFonts w:ascii="Times New Roman" w:eastAsia="Times New Roman" w:hAnsi="Times New Roman" w:cs="Times New Roman"/>
              </w:rPr>
            </w:pPr>
            <w:r w:rsidRPr="00E25E23">
              <w:rPr>
                <w:rFonts w:ascii="Arial" w:eastAsia="Times New Roman" w:hAnsi="Arial"/>
              </w:rPr>
              <w:t>59.6 </w:t>
            </w:r>
          </w:p>
        </w:tc>
      </w:tr>
    </w:tbl>
    <w:p w14:paraId="05C7DAEC" w14:textId="5FC4651F" w:rsidR="007146C1" w:rsidRPr="00EA56D9" w:rsidRDefault="007146C1" w:rsidP="00753A65">
      <w:pPr>
        <w:spacing w:after="0"/>
        <w:textAlignment w:val="baseline"/>
        <w:rPr>
          <w:rFonts w:ascii="Calibri" w:eastAsia="Times New Roman" w:hAnsi="Calibri" w:cs="Calibri"/>
          <w:color w:val="000000" w:themeColor="text1"/>
        </w:rPr>
      </w:pPr>
      <w:r w:rsidRPr="00E25E23">
        <w:rPr>
          <w:rFonts w:ascii="Calibri" w:eastAsia="Times New Roman" w:hAnsi="Calibri" w:cs="Calibri"/>
          <w:color w:val="000000"/>
          <w:shd w:val="clear" w:color="auto" w:fill="FFFFFF"/>
        </w:rPr>
        <w:t>Fertility rates are around 23% higher in the most deprived quintile (most deprived 20% of the population) of West Kent than the least deprived quintile (least deprived 20%). Fertility is reducing faster in the more deprived, reducing from 75.8 births per 1,000 women in 2016-18 to 67.2 in 2019-21 (Figure 2</w:t>
      </w:r>
      <w:r w:rsidR="00243B5B">
        <w:rPr>
          <w:rFonts w:ascii="Calibri" w:eastAsia="Times New Roman" w:hAnsi="Calibri" w:cs="Calibri"/>
          <w:color w:val="000000"/>
          <w:shd w:val="clear" w:color="auto" w:fill="FFFFFF"/>
        </w:rPr>
        <w:t>4</w:t>
      </w:r>
      <w:r w:rsidRPr="00E25E23">
        <w:rPr>
          <w:rFonts w:ascii="Calibri" w:eastAsia="Times New Roman" w:hAnsi="Calibri" w:cs="Calibri"/>
          <w:color w:val="000000"/>
          <w:shd w:val="clear" w:color="auto" w:fill="FFFFFF"/>
        </w:rPr>
        <w:t>)</w:t>
      </w:r>
      <w:r w:rsidR="00EA56D9">
        <w:rPr>
          <w:rFonts w:ascii="Calibri" w:eastAsia="Times New Roman" w:hAnsi="Calibri" w:cs="Calibri"/>
          <w:color w:val="000000"/>
          <w:shd w:val="clear" w:color="auto" w:fill="FFFFFF"/>
        </w:rPr>
        <w:t>.</w:t>
      </w:r>
    </w:p>
    <w:p w14:paraId="5F265591" w14:textId="322B0B4A" w:rsidR="007146C1" w:rsidRPr="00EA56D9" w:rsidRDefault="007146C1" w:rsidP="00753A65">
      <w:pPr>
        <w:spacing w:after="0" w:line="240" w:lineRule="auto"/>
        <w:textAlignment w:val="baseline"/>
        <w:rPr>
          <w:b/>
          <w:bCs/>
        </w:rPr>
      </w:pPr>
      <w:r w:rsidRPr="00EA56D9">
        <w:rPr>
          <w:b/>
          <w:bCs/>
        </w:rPr>
        <w:t>Figure 2</w:t>
      </w:r>
      <w:r w:rsidR="00243B5B">
        <w:rPr>
          <w:b/>
          <w:bCs/>
        </w:rPr>
        <w:t>4</w:t>
      </w:r>
      <w:r w:rsidRPr="00EA56D9">
        <w:rPr>
          <w:b/>
          <w:bCs/>
        </w:rPr>
        <w:t xml:space="preserve"> General Fertility Rate by deprivation  </w:t>
      </w:r>
    </w:p>
    <w:p w14:paraId="5CAD809A" w14:textId="77777777" w:rsidR="007146C1" w:rsidRPr="00E25E23" w:rsidRDefault="007146C1" w:rsidP="00753A65">
      <w:pPr>
        <w:spacing w:after="0" w:line="240" w:lineRule="auto"/>
        <w:textAlignment w:val="baseline"/>
        <w:rPr>
          <w:rFonts w:ascii="Segoe UI" w:eastAsia="Times New Roman" w:hAnsi="Segoe UI" w:cs="Segoe UI"/>
          <w:sz w:val="18"/>
          <w:szCs w:val="18"/>
        </w:rPr>
      </w:pPr>
      <w:r>
        <w:rPr>
          <w:noProof/>
        </w:rPr>
        <w:drawing>
          <wp:inline distT="0" distB="0" distL="0" distR="0" wp14:anchorId="132F38C9" wp14:editId="01E40415">
            <wp:extent cx="5731510" cy="4608196"/>
            <wp:effectExtent l="0" t="0" r="2540" b="0"/>
            <wp:docPr id="752297155" name="Picture 752297155" descr="A line chart showing the general fertility rate by deprivation of total live births per 1000 women aged 15 to 44 from 2013-15 to 2019-21. In all cases the fertility rates gradually declined. West Kents most deprived population was comparable to Kents most deprived whereas West Kents least deprived had a higher fertility rate than K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7155" name="Picture 752297155" descr="A line chart showing the general fertility rate by deprivation of total live births per 1000 women aged 15 to 44 from 2013-15 to 2019-21. In all cases the fertility rates gradually declined. West Kents most deprived population was comparable to Kents most deprived whereas West Kents least deprived had a higher fertility rate than Kent.">
                      <a:extLst>
                        <a:ext uri="{C183D7F6-B498-43B3-948B-1728B52AA6E4}">
                          <adec:decorative xmlns:adec="http://schemas.microsoft.com/office/drawing/2017/decorative" val="0"/>
                        </a:ext>
                      </a:extLst>
                    </pic:cNvPr>
                    <pic:cNvPicPr/>
                  </pic:nvPicPr>
                  <pic:blipFill>
                    <a:blip r:embed="rId67">
                      <a:extLst>
                        <a:ext uri="{28A0092B-C50C-407E-A947-70E740481C1C}">
                          <a14:useLocalDpi xmlns:a14="http://schemas.microsoft.com/office/drawing/2010/main" val="0"/>
                        </a:ext>
                      </a:extLst>
                    </a:blip>
                    <a:stretch>
                      <a:fillRect/>
                    </a:stretch>
                  </pic:blipFill>
                  <pic:spPr>
                    <a:xfrm>
                      <a:off x="0" y="0"/>
                      <a:ext cx="5731510" cy="4608196"/>
                    </a:xfrm>
                    <a:prstGeom prst="rect">
                      <a:avLst/>
                    </a:prstGeom>
                  </pic:spPr>
                </pic:pic>
              </a:graphicData>
            </a:graphic>
          </wp:inline>
        </w:drawing>
      </w:r>
      <w:r w:rsidRPr="305ECFD1">
        <w:rPr>
          <w:rFonts w:ascii="Calibri" w:eastAsia="Times New Roman" w:hAnsi="Calibri" w:cs="Calibri"/>
          <w:sz w:val="28"/>
          <w:szCs w:val="28"/>
        </w:rPr>
        <w:t> </w:t>
      </w:r>
    </w:p>
    <w:p w14:paraId="072B877D" w14:textId="77777777" w:rsidR="007146C1" w:rsidRDefault="007146C1" w:rsidP="00753A65">
      <w:pPr>
        <w:pStyle w:val="Heading2"/>
      </w:pPr>
      <w:bookmarkStart w:id="48" w:name="_Toc128133812"/>
      <w:r w:rsidRPr="15853314">
        <w:lastRenderedPageBreak/>
        <w:t>GP workforce data</w:t>
      </w:r>
      <w:bookmarkEnd w:id="48"/>
    </w:p>
    <w:p w14:paraId="2BF97D56" w14:textId="399C1AE3" w:rsidR="007146C1" w:rsidRDefault="007146C1" w:rsidP="00753A65">
      <w:r w:rsidRPr="15853314">
        <w:t xml:space="preserve">Focusing upon deprivation and PCNs there appears to be a gradual shift to more locum use. Maidstone Central and ABC PCNs have a smaller cohort of permanent GPs and Maidstone South appears to have equal numbers of permanent and locum GPs. West Kent HCP has managed to increase the number of total full time equivalent GPs per 100,000 patients during the </w:t>
      </w:r>
      <w:r w:rsidR="00AF2106" w:rsidRPr="15853314">
        <w:t>four-year</w:t>
      </w:r>
      <w:r w:rsidRPr="15853314">
        <w:t xml:space="preserve"> period September 2018 to August 2022 (Figures 2</w:t>
      </w:r>
      <w:r w:rsidR="00243B5B">
        <w:t>5</w:t>
      </w:r>
      <w:r w:rsidRPr="15853314">
        <w:t xml:space="preserve"> to 3</w:t>
      </w:r>
      <w:r w:rsidR="00243B5B">
        <w:t>0</w:t>
      </w:r>
      <w:r w:rsidRPr="15853314">
        <w:t>).</w:t>
      </w:r>
    </w:p>
    <w:p w14:paraId="1D4A0531" w14:textId="140FE6DD" w:rsidR="007146C1" w:rsidRPr="00EA56D9" w:rsidRDefault="007146C1" w:rsidP="00753A65">
      <w:pPr>
        <w:spacing w:after="0" w:line="240" w:lineRule="auto"/>
        <w:textAlignment w:val="baseline"/>
        <w:rPr>
          <w:b/>
          <w:bCs/>
        </w:rPr>
      </w:pPr>
      <w:r w:rsidRPr="00EA56D9">
        <w:rPr>
          <w:b/>
          <w:bCs/>
        </w:rPr>
        <w:t>Figure 2</w:t>
      </w:r>
      <w:r w:rsidR="00243B5B">
        <w:rPr>
          <w:b/>
          <w:bCs/>
        </w:rPr>
        <w:t>5</w:t>
      </w:r>
      <w:r w:rsidR="00EA56D9" w:rsidRPr="00EA56D9">
        <w:rPr>
          <w:b/>
          <w:bCs/>
        </w:rPr>
        <w:t xml:space="preserve"> Full time equivalent GPs, West Kent 2022</w:t>
      </w:r>
    </w:p>
    <w:p w14:paraId="70A20CE7" w14:textId="55E26A60" w:rsidR="006B4082" w:rsidRDefault="007146C1" w:rsidP="007146C1">
      <w:r>
        <w:rPr>
          <w:noProof/>
        </w:rPr>
        <w:drawing>
          <wp:inline distT="0" distB="0" distL="0" distR="0" wp14:anchorId="0CBD53DA" wp14:editId="3C32998F">
            <wp:extent cx="5191125" cy="3936585"/>
            <wp:effectExtent l="0" t="0" r="0" b="6985"/>
            <wp:docPr id="1863956484" name="Picture 1412120215" descr="Chart showing the rate of full time equivalent GPs in West Kent PCNs for both total GPs and permanent GPs. Tonbridge PCN has the highest rate of total GPs (67 per 100,000) and Maidstone South has the lowest rate (29.5 per 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15"/>
                    <pic:cNvPicPr/>
                  </pic:nvPicPr>
                  <pic:blipFill>
                    <a:blip r:embed="rId68">
                      <a:extLst>
                        <a:ext uri="{28A0092B-C50C-407E-A947-70E740481C1C}">
                          <a14:useLocalDpi xmlns:a14="http://schemas.microsoft.com/office/drawing/2010/main" val="0"/>
                        </a:ext>
                      </a:extLst>
                    </a:blip>
                    <a:stretch>
                      <a:fillRect/>
                    </a:stretch>
                  </pic:blipFill>
                  <pic:spPr>
                    <a:xfrm>
                      <a:off x="0" y="0"/>
                      <a:ext cx="5205418" cy="3947424"/>
                    </a:xfrm>
                    <a:prstGeom prst="rect">
                      <a:avLst/>
                    </a:prstGeom>
                  </pic:spPr>
                </pic:pic>
              </a:graphicData>
            </a:graphic>
          </wp:inline>
        </w:drawing>
      </w:r>
    </w:p>
    <w:p w14:paraId="525C689D" w14:textId="77777777" w:rsidR="006F7436" w:rsidRDefault="006F7436">
      <w:pPr>
        <w:spacing w:before="0" w:after="200"/>
        <w:rPr>
          <w:b/>
          <w:bCs/>
        </w:rPr>
      </w:pPr>
      <w:r>
        <w:rPr>
          <w:b/>
          <w:bCs/>
        </w:rPr>
        <w:br w:type="page"/>
      </w:r>
    </w:p>
    <w:p w14:paraId="4B155E5C" w14:textId="7C39D990" w:rsidR="007146C1" w:rsidRDefault="007146C1" w:rsidP="007146C1">
      <w:r w:rsidRPr="00EA56D9">
        <w:rPr>
          <w:b/>
          <w:bCs/>
        </w:rPr>
        <w:lastRenderedPageBreak/>
        <w:t>Figure 2</w:t>
      </w:r>
      <w:r w:rsidR="00243B5B">
        <w:rPr>
          <w:b/>
          <w:bCs/>
        </w:rPr>
        <w:t>6</w:t>
      </w:r>
      <w:r w:rsidR="00EA56D9" w:rsidRPr="00EA56D9">
        <w:rPr>
          <w:b/>
          <w:bCs/>
        </w:rPr>
        <w:t xml:space="preserve"> Full time equivalent GPs, </w:t>
      </w:r>
      <w:r w:rsidR="00EA56D9">
        <w:rPr>
          <w:b/>
          <w:bCs/>
        </w:rPr>
        <w:t>Kent &amp; Medway</w:t>
      </w:r>
      <w:r w:rsidR="00EA56D9" w:rsidRPr="00EA56D9">
        <w:rPr>
          <w:b/>
          <w:bCs/>
        </w:rPr>
        <w:t xml:space="preserve"> 2022</w:t>
      </w:r>
    </w:p>
    <w:p w14:paraId="2184842E" w14:textId="12E912A4" w:rsidR="006B4082" w:rsidRDefault="007146C1" w:rsidP="007146C1">
      <w:r>
        <w:rPr>
          <w:noProof/>
        </w:rPr>
        <w:drawing>
          <wp:inline distT="0" distB="0" distL="0" distR="0" wp14:anchorId="695516BC" wp14:editId="0BE37EB0">
            <wp:extent cx="5553075" cy="4055283"/>
            <wp:effectExtent l="0" t="0" r="0" b="2540"/>
            <wp:docPr id="166152563" name="Picture 1412120216" descr="Bar chart showing full time equivalent GPs in Kent and Medway HCPs, August 2022 for both total GPs and permanent GPs. In West Kent HCP there were 49.8 GPs per 100,000 patients and 39.9 permanent GPs per 100,000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16"/>
                    <pic:cNvPicPr/>
                  </pic:nvPicPr>
                  <pic:blipFill>
                    <a:blip r:embed="rId69">
                      <a:extLst>
                        <a:ext uri="{28A0092B-C50C-407E-A947-70E740481C1C}">
                          <a14:useLocalDpi xmlns:a14="http://schemas.microsoft.com/office/drawing/2010/main" val="0"/>
                        </a:ext>
                      </a:extLst>
                    </a:blip>
                    <a:stretch>
                      <a:fillRect/>
                    </a:stretch>
                  </pic:blipFill>
                  <pic:spPr>
                    <a:xfrm>
                      <a:off x="0" y="0"/>
                      <a:ext cx="5555823" cy="4057290"/>
                    </a:xfrm>
                    <a:prstGeom prst="rect">
                      <a:avLst/>
                    </a:prstGeom>
                  </pic:spPr>
                </pic:pic>
              </a:graphicData>
            </a:graphic>
          </wp:inline>
        </w:drawing>
      </w:r>
    </w:p>
    <w:p w14:paraId="467E85DA" w14:textId="4FE2DA52" w:rsidR="007146C1" w:rsidRDefault="007146C1" w:rsidP="007146C1">
      <w:r w:rsidRPr="00EA56D9">
        <w:rPr>
          <w:b/>
          <w:bCs/>
        </w:rPr>
        <w:t>Figure 2</w:t>
      </w:r>
      <w:r w:rsidR="00243B5B">
        <w:rPr>
          <w:b/>
          <w:bCs/>
        </w:rPr>
        <w:t>7</w:t>
      </w:r>
      <w:r w:rsidR="00EA56D9" w:rsidRPr="00EA56D9">
        <w:rPr>
          <w:b/>
          <w:bCs/>
        </w:rPr>
        <w:t xml:space="preserve"> Full time equivalent GPs, </w:t>
      </w:r>
      <w:r w:rsidR="00EA56D9">
        <w:rPr>
          <w:b/>
          <w:bCs/>
        </w:rPr>
        <w:t>Kent &amp; Medway</w:t>
      </w:r>
      <w:r w:rsidR="00EA56D9" w:rsidRPr="00EA56D9">
        <w:rPr>
          <w:b/>
          <w:bCs/>
        </w:rPr>
        <w:t xml:space="preserve"> </w:t>
      </w:r>
      <w:r w:rsidR="00EA56D9">
        <w:rPr>
          <w:b/>
          <w:bCs/>
        </w:rPr>
        <w:t>2018-22</w:t>
      </w:r>
    </w:p>
    <w:p w14:paraId="7EE1E684" w14:textId="77777777" w:rsidR="007146C1" w:rsidRDefault="007146C1" w:rsidP="007146C1">
      <w:r>
        <w:rPr>
          <w:noProof/>
        </w:rPr>
        <w:drawing>
          <wp:inline distT="0" distB="0" distL="0" distR="0" wp14:anchorId="007352AC" wp14:editId="2ADFEF9F">
            <wp:extent cx="5610225" cy="3865656"/>
            <wp:effectExtent l="0" t="0" r="0" b="1905"/>
            <wp:docPr id="1993748807" name="Picture 1412120217" descr="Total full time equivalent GPs in Kent and Medway HCPs, trend 2018 to 2022. In West Kent in August 2022 the rate was 49.8 per 100,000 compared to 46.9 in Septembe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17"/>
                    <pic:cNvPicPr/>
                  </pic:nvPicPr>
                  <pic:blipFill>
                    <a:blip r:embed="rId70">
                      <a:extLst>
                        <a:ext uri="{28A0092B-C50C-407E-A947-70E740481C1C}">
                          <a14:useLocalDpi xmlns:a14="http://schemas.microsoft.com/office/drawing/2010/main" val="0"/>
                        </a:ext>
                      </a:extLst>
                    </a:blip>
                    <a:stretch>
                      <a:fillRect/>
                    </a:stretch>
                  </pic:blipFill>
                  <pic:spPr>
                    <a:xfrm>
                      <a:off x="0" y="0"/>
                      <a:ext cx="5620815" cy="3872953"/>
                    </a:xfrm>
                    <a:prstGeom prst="rect">
                      <a:avLst/>
                    </a:prstGeom>
                  </pic:spPr>
                </pic:pic>
              </a:graphicData>
            </a:graphic>
          </wp:inline>
        </w:drawing>
      </w:r>
    </w:p>
    <w:p w14:paraId="3B554C7E" w14:textId="0AE937BF" w:rsidR="007146C1" w:rsidRPr="00EA56D9" w:rsidRDefault="007146C1" w:rsidP="007146C1">
      <w:pPr>
        <w:rPr>
          <w:b/>
          <w:bCs/>
        </w:rPr>
      </w:pPr>
      <w:r w:rsidRPr="00EA56D9">
        <w:rPr>
          <w:b/>
          <w:bCs/>
        </w:rPr>
        <w:lastRenderedPageBreak/>
        <w:t>Figure 2</w:t>
      </w:r>
      <w:r w:rsidR="00243B5B">
        <w:rPr>
          <w:b/>
          <w:bCs/>
        </w:rPr>
        <w:t>8</w:t>
      </w:r>
      <w:r w:rsidR="00EA56D9" w:rsidRPr="00EA56D9">
        <w:rPr>
          <w:b/>
          <w:bCs/>
        </w:rPr>
        <w:t xml:space="preserve"> Permanent full time equivalent GPs, 2018-22</w:t>
      </w:r>
    </w:p>
    <w:p w14:paraId="52643F09" w14:textId="77777777" w:rsidR="007146C1" w:rsidRDefault="007146C1" w:rsidP="007146C1">
      <w:r>
        <w:rPr>
          <w:noProof/>
        </w:rPr>
        <w:drawing>
          <wp:inline distT="0" distB="0" distL="0" distR="0" wp14:anchorId="5BC6A26F" wp14:editId="6E526E83">
            <wp:extent cx="5724524" cy="4009812"/>
            <wp:effectExtent l="0" t="0" r="3175" b="8890"/>
            <wp:docPr id="752297177" name="Picture 1412120218" descr="Chart showing the trend of Permanent full time equivalent GPs by HCP. Rate per 100,000 registered population, 2018 to 2022. In the latest time point, August 2022, West Kent had 39.9 FTE permanent GPs per 100,000 patients, compared to 41.4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120218"/>
                    <pic:cNvPicPr/>
                  </pic:nvPicPr>
                  <pic:blipFill>
                    <a:blip r:embed="rId71">
                      <a:extLst>
                        <a:ext uri="{28A0092B-C50C-407E-A947-70E740481C1C}">
                          <a14:useLocalDpi xmlns:a14="http://schemas.microsoft.com/office/drawing/2010/main" val="0"/>
                        </a:ext>
                      </a:extLst>
                    </a:blip>
                    <a:stretch>
                      <a:fillRect/>
                    </a:stretch>
                  </pic:blipFill>
                  <pic:spPr>
                    <a:xfrm>
                      <a:off x="0" y="0"/>
                      <a:ext cx="5724524" cy="4009812"/>
                    </a:xfrm>
                    <a:prstGeom prst="rect">
                      <a:avLst/>
                    </a:prstGeom>
                  </pic:spPr>
                </pic:pic>
              </a:graphicData>
            </a:graphic>
          </wp:inline>
        </w:drawing>
      </w:r>
    </w:p>
    <w:p w14:paraId="40379402" w14:textId="31C1C9CD" w:rsidR="007146C1" w:rsidRDefault="007146C1" w:rsidP="00853E96">
      <w:pPr>
        <w:pStyle w:val="xmsonormal"/>
        <w:spacing w:line="276" w:lineRule="auto"/>
      </w:pPr>
      <w:r>
        <w:rPr>
          <w:sz w:val="24"/>
          <w:szCs w:val="24"/>
        </w:rPr>
        <w:t xml:space="preserve">It is worth noting that in terms of the GP workforce data, the non-permanent staff showed on some of the graphs might be unreliable as some trainees (as well as temporary locums) will not be included. It is suggested that it is better to use the permanent staff metrics. </w:t>
      </w:r>
      <w:hyperlink r:id="rId72" w:anchor="interpreting-figures" w:history="1">
        <w:r w:rsidRPr="00853E96">
          <w:rPr>
            <w:rStyle w:val="Hyperlink"/>
            <w:sz w:val="24"/>
            <w:szCs w:val="24"/>
          </w:rPr>
          <w:t xml:space="preserve">Guidance on interpretation of the used data can be found </w:t>
        </w:r>
        <w:r w:rsidR="00853E96" w:rsidRPr="00853E96">
          <w:rPr>
            <w:rStyle w:val="Hyperlink"/>
            <w:sz w:val="24"/>
            <w:szCs w:val="24"/>
          </w:rPr>
          <w:t>here</w:t>
        </w:r>
      </w:hyperlink>
      <w:r w:rsidR="00853E96">
        <w:rPr>
          <w:sz w:val="24"/>
          <w:szCs w:val="24"/>
        </w:rPr>
        <w:t>.</w:t>
      </w:r>
    </w:p>
    <w:p w14:paraId="1DCEA1A7" w14:textId="77777777" w:rsidR="00FD7A9F" w:rsidRDefault="00FD7A9F" w:rsidP="00853E96">
      <w:pPr>
        <w:pStyle w:val="Heading1"/>
      </w:pPr>
      <w:bookmarkStart w:id="49" w:name="_Toc128133813"/>
      <w:r w:rsidRPr="5E4DB3C2">
        <w:t>Heath Inequalities</w:t>
      </w:r>
      <w:bookmarkEnd w:id="49"/>
    </w:p>
    <w:p w14:paraId="1B1C35B9" w14:textId="6904298E" w:rsidR="00FD7A9F" w:rsidRDefault="00FD7A9F" w:rsidP="00853E96">
      <w:pPr>
        <w:pStyle w:val="Heading2"/>
      </w:pPr>
      <w:bookmarkStart w:id="50" w:name="_Toc128133814"/>
      <w:r w:rsidRPr="5E4DB3C2">
        <w:t>Impact of COVID</w:t>
      </w:r>
      <w:bookmarkEnd w:id="50"/>
    </w:p>
    <w:p w14:paraId="2445BA93" w14:textId="77777777" w:rsidR="00FD7A9F" w:rsidRDefault="00FD7A9F" w:rsidP="00853E96">
      <w:r>
        <w:t>A COVID Impact Assessment for Kent was undertaken earlier this year looking at 23 indicators Inequality indicators across 4 domains:</w:t>
      </w:r>
    </w:p>
    <w:p w14:paraId="22134E01" w14:textId="77777777" w:rsidR="00FD7A9F" w:rsidRPr="00853E96" w:rsidRDefault="00FD7A9F" w:rsidP="00853E96">
      <w:pPr>
        <w:pStyle w:val="ListParagraph"/>
        <w:numPr>
          <w:ilvl w:val="0"/>
          <w:numId w:val="8"/>
        </w:numPr>
        <w:rPr>
          <w:sz w:val="24"/>
          <w:szCs w:val="24"/>
        </w:rPr>
      </w:pPr>
      <w:r w:rsidRPr="00853E96">
        <w:rPr>
          <w:sz w:val="24"/>
          <w:szCs w:val="24"/>
        </w:rPr>
        <w:t>Wider determinants</w:t>
      </w:r>
    </w:p>
    <w:p w14:paraId="59A44378" w14:textId="77777777" w:rsidR="00FD7A9F" w:rsidRPr="00853E96" w:rsidRDefault="00FD7A9F" w:rsidP="00853E96">
      <w:pPr>
        <w:pStyle w:val="ListParagraph"/>
        <w:numPr>
          <w:ilvl w:val="0"/>
          <w:numId w:val="8"/>
        </w:numPr>
        <w:rPr>
          <w:sz w:val="24"/>
          <w:szCs w:val="24"/>
        </w:rPr>
      </w:pPr>
      <w:r w:rsidRPr="00853E96">
        <w:rPr>
          <w:sz w:val="24"/>
          <w:szCs w:val="24"/>
        </w:rPr>
        <w:t>Risk factors</w:t>
      </w:r>
    </w:p>
    <w:p w14:paraId="0DBD3AE6" w14:textId="77777777" w:rsidR="00FD7A9F" w:rsidRPr="00853E96" w:rsidRDefault="00FD7A9F" w:rsidP="00853E96">
      <w:pPr>
        <w:pStyle w:val="ListParagraph"/>
        <w:numPr>
          <w:ilvl w:val="0"/>
          <w:numId w:val="8"/>
        </w:numPr>
        <w:rPr>
          <w:sz w:val="24"/>
          <w:szCs w:val="24"/>
        </w:rPr>
      </w:pPr>
      <w:r w:rsidRPr="00853E96">
        <w:rPr>
          <w:sz w:val="24"/>
          <w:szCs w:val="24"/>
        </w:rPr>
        <w:t>Interaction with health and care services</w:t>
      </w:r>
    </w:p>
    <w:p w14:paraId="2F89370A" w14:textId="354005B4" w:rsidR="00FD7A9F" w:rsidRPr="00853E96" w:rsidRDefault="00FD7A9F" w:rsidP="00853E96">
      <w:pPr>
        <w:pStyle w:val="ListParagraph"/>
        <w:numPr>
          <w:ilvl w:val="0"/>
          <w:numId w:val="8"/>
        </w:numPr>
        <w:rPr>
          <w:sz w:val="24"/>
          <w:szCs w:val="24"/>
        </w:rPr>
      </w:pPr>
      <w:r w:rsidRPr="00853E96">
        <w:rPr>
          <w:sz w:val="24"/>
          <w:szCs w:val="24"/>
        </w:rPr>
        <w:t>Mortality</w:t>
      </w:r>
    </w:p>
    <w:p w14:paraId="3E1137ED" w14:textId="77777777" w:rsidR="00FD7A9F" w:rsidRDefault="00FD7A9F" w:rsidP="00853E96">
      <w:r>
        <w:t xml:space="preserve">In general, overall trends have worsened and health inequalities have persisted. Access to services such as cancer treatment, urgent cancer referrals and NHS health checks were all badly impacted as well as the disruption to school attendance and learning. Blood pressure has increased among those receiving an NHS Health check. Smoking prevalence however remains unchanged. Higher risk drinking has increased. The proportion of children aged 4-5 </w:t>
      </w:r>
      <w:r>
        <w:lastRenderedPageBreak/>
        <w:t xml:space="preserve">measured as either overweight or obese has increased and there is </w:t>
      </w:r>
      <w:bookmarkStart w:id="51" w:name="_Int_bhtzfCW4"/>
      <w:r>
        <w:t>a very clear</w:t>
      </w:r>
      <w:bookmarkEnd w:id="51"/>
      <w:r>
        <w:t xml:space="preserve"> association with deprivation. The number of suicides increased in 2020 but the change is not statistically significant. The claimant count and free school meal eligibility have increased and exhibit greater variation between the lower super output areas and schools, respectively. Hospital admissions for assaults dropped in the 2020/21 year but increased back to pre-pandemic levels in 2021/22. Pupil absence highest in those receiving free school meals and Irish Traveller and Gypsy Roma ethnic groups. The full report will be available on the </w:t>
      </w:r>
      <w:bookmarkStart w:id="52" w:name="_Int_ZHnTepsh"/>
      <w:r>
        <w:t>KPHO</w:t>
      </w:r>
      <w:bookmarkEnd w:id="52"/>
      <w:r>
        <w:t xml:space="preserve"> website </w:t>
      </w:r>
      <w:bookmarkStart w:id="53" w:name="_Int_OdGmkIWG"/>
      <w:r>
        <w:t>in due course</w:t>
      </w:r>
      <w:bookmarkEnd w:id="53"/>
      <w:r>
        <w:t>.</w:t>
      </w:r>
    </w:p>
    <w:p w14:paraId="359B48E7" w14:textId="6074A18E" w:rsidR="00FD7A9F" w:rsidRDefault="00FD7A9F" w:rsidP="00853E96">
      <w:pPr>
        <w:pStyle w:val="Heading2"/>
      </w:pPr>
      <w:bookmarkStart w:id="54" w:name="_Toc128133815"/>
      <w:r w:rsidRPr="5E4DB3C2">
        <w:t>Cost of Living – ex</w:t>
      </w:r>
      <w:r w:rsidR="00AC25E8">
        <w:t>amined</w:t>
      </w:r>
      <w:r w:rsidRPr="5E4DB3C2">
        <w:t xml:space="preserve"> in </w:t>
      </w:r>
      <w:r w:rsidR="00AC25E8">
        <w:t xml:space="preserve">a </w:t>
      </w:r>
      <w:r w:rsidRPr="5E4DB3C2">
        <w:t>later section</w:t>
      </w:r>
      <w:r w:rsidR="00AC25E8">
        <w:t>.</w:t>
      </w:r>
      <w:bookmarkEnd w:id="54"/>
    </w:p>
    <w:p w14:paraId="21489C8A" w14:textId="77777777" w:rsidR="00FD7A9F" w:rsidRPr="00EA56D9" w:rsidRDefault="009C6DE5" w:rsidP="00853E96">
      <w:pPr>
        <w:pStyle w:val="Heading3"/>
      </w:pPr>
      <w:hyperlink r:id="rId73">
        <w:bookmarkStart w:id="55" w:name="_Toc128133816"/>
        <w:r w:rsidR="00FD7A9F" w:rsidRPr="00EA56D9">
          <w:rPr>
            <w:rStyle w:val="Hyperlink"/>
            <w:bCs/>
            <w:color w:val="auto"/>
            <w:sz w:val="28"/>
            <w:szCs w:val="28"/>
            <w:u w:val="none"/>
          </w:rPr>
          <w:t>Trend comparison of 40 health indicators by district council</w:t>
        </w:r>
        <w:bookmarkEnd w:id="55"/>
      </w:hyperlink>
    </w:p>
    <w:p w14:paraId="79AA0CB5" w14:textId="77777777" w:rsidR="00FD7A9F" w:rsidRPr="00853E96" w:rsidRDefault="00FD7A9F" w:rsidP="00853E96">
      <w:pPr>
        <w:rPr>
          <w:b/>
          <w:bCs/>
        </w:rPr>
      </w:pPr>
      <w:r w:rsidRPr="00853E96">
        <w:rPr>
          <w:b/>
          <w:bCs/>
        </w:rPr>
        <w:t>Maidstone</w:t>
      </w:r>
    </w:p>
    <w:p w14:paraId="0BB66CE6" w14:textId="77777777" w:rsidR="00FD7A9F" w:rsidRPr="00853E96" w:rsidRDefault="00FD7A9F" w:rsidP="00853E96">
      <w:pPr>
        <w:pStyle w:val="ListParagraph"/>
        <w:numPr>
          <w:ilvl w:val="0"/>
          <w:numId w:val="7"/>
        </w:numPr>
        <w:rPr>
          <w:sz w:val="24"/>
          <w:szCs w:val="24"/>
        </w:rPr>
      </w:pPr>
      <w:r w:rsidRPr="00853E96">
        <w:rPr>
          <w:sz w:val="24"/>
          <w:szCs w:val="24"/>
        </w:rPr>
        <w:t>Emergency Hospital Admission rates for intentional self-harm and violence (including sexual violence) continue to be significantly higher than the England average over the last 6 to 8 years.</w:t>
      </w:r>
    </w:p>
    <w:p w14:paraId="707C71D1" w14:textId="2FAE7986" w:rsidR="00FD7A9F" w:rsidRPr="00853E96" w:rsidRDefault="00FD7A9F" w:rsidP="00853E96">
      <w:pPr>
        <w:pStyle w:val="ListParagraph"/>
        <w:numPr>
          <w:ilvl w:val="0"/>
          <w:numId w:val="7"/>
        </w:numPr>
        <w:rPr>
          <w:sz w:val="24"/>
          <w:szCs w:val="24"/>
        </w:rPr>
      </w:pPr>
      <w:r w:rsidRPr="00853E96">
        <w:rPr>
          <w:sz w:val="24"/>
          <w:szCs w:val="24"/>
        </w:rPr>
        <w:t>Other recent significant increases include admissions for alcohol related admissions and smoking prevalence at the time of delivery</w:t>
      </w:r>
      <w:r w:rsidR="00853E96">
        <w:rPr>
          <w:sz w:val="24"/>
          <w:szCs w:val="24"/>
        </w:rPr>
        <w:t>.</w:t>
      </w:r>
    </w:p>
    <w:p w14:paraId="71275CF4" w14:textId="77777777" w:rsidR="00FD7A9F" w:rsidRPr="00853E96" w:rsidRDefault="00FD7A9F" w:rsidP="00853E96">
      <w:pPr>
        <w:rPr>
          <w:b/>
          <w:bCs/>
        </w:rPr>
      </w:pPr>
      <w:r w:rsidRPr="00853E96">
        <w:rPr>
          <w:b/>
          <w:bCs/>
        </w:rPr>
        <w:t>Sevenoaks</w:t>
      </w:r>
    </w:p>
    <w:p w14:paraId="0E25EA90" w14:textId="7DF04769" w:rsidR="00FD7A9F" w:rsidRPr="00853E96" w:rsidRDefault="00FD7A9F" w:rsidP="00853E96">
      <w:pPr>
        <w:pStyle w:val="ListParagraph"/>
        <w:numPr>
          <w:ilvl w:val="0"/>
          <w:numId w:val="6"/>
        </w:numPr>
        <w:rPr>
          <w:sz w:val="24"/>
          <w:szCs w:val="24"/>
        </w:rPr>
      </w:pPr>
      <w:r w:rsidRPr="00853E96">
        <w:rPr>
          <w:sz w:val="24"/>
          <w:szCs w:val="24"/>
        </w:rPr>
        <w:t xml:space="preserve">Case ascertainment for </w:t>
      </w:r>
      <w:r w:rsidR="00265EDE">
        <w:rPr>
          <w:sz w:val="24"/>
          <w:szCs w:val="24"/>
        </w:rPr>
        <w:t>d</w:t>
      </w:r>
      <w:r w:rsidRPr="00853E96">
        <w:rPr>
          <w:sz w:val="24"/>
          <w:szCs w:val="24"/>
        </w:rPr>
        <w:t>iabetes diagnosis has been significantly lower than the England average.</w:t>
      </w:r>
    </w:p>
    <w:p w14:paraId="5FA45BC5" w14:textId="369E8B1E" w:rsidR="00FD7A9F" w:rsidRPr="00853E96" w:rsidRDefault="00FD7A9F" w:rsidP="00853E96">
      <w:pPr>
        <w:pStyle w:val="ListParagraph"/>
        <w:numPr>
          <w:ilvl w:val="0"/>
          <w:numId w:val="6"/>
        </w:numPr>
        <w:rPr>
          <w:sz w:val="24"/>
          <w:szCs w:val="24"/>
        </w:rPr>
      </w:pPr>
      <w:r w:rsidRPr="00853E96">
        <w:rPr>
          <w:sz w:val="24"/>
          <w:szCs w:val="24"/>
        </w:rPr>
        <w:t xml:space="preserve">Smoking </w:t>
      </w:r>
      <w:r w:rsidR="00265EDE">
        <w:rPr>
          <w:sz w:val="24"/>
          <w:szCs w:val="24"/>
        </w:rPr>
        <w:t>s</w:t>
      </w:r>
      <w:r w:rsidRPr="00853E96">
        <w:rPr>
          <w:sz w:val="24"/>
          <w:szCs w:val="24"/>
        </w:rPr>
        <w:t>tatus at time of delivery has increased in 2020/21 to 13.5%</w:t>
      </w:r>
      <w:r w:rsidR="00142C51">
        <w:rPr>
          <w:sz w:val="24"/>
          <w:szCs w:val="24"/>
        </w:rPr>
        <w:t>,</w:t>
      </w:r>
      <w:r w:rsidRPr="00853E96">
        <w:rPr>
          <w:sz w:val="24"/>
          <w:szCs w:val="24"/>
        </w:rPr>
        <w:t xml:space="preserve"> significantly higher than 9.6% for England.</w:t>
      </w:r>
    </w:p>
    <w:p w14:paraId="3F617D04" w14:textId="77777777" w:rsidR="00FD7A9F" w:rsidRPr="00853E96" w:rsidRDefault="00FD7A9F" w:rsidP="00853E96">
      <w:pPr>
        <w:rPr>
          <w:b/>
          <w:bCs/>
        </w:rPr>
      </w:pPr>
      <w:r w:rsidRPr="00853E96">
        <w:rPr>
          <w:b/>
          <w:bCs/>
        </w:rPr>
        <w:t>Tonbridge &amp; Malling</w:t>
      </w:r>
    </w:p>
    <w:p w14:paraId="1A05E43D" w14:textId="77777777" w:rsidR="00FD7A9F" w:rsidRPr="00853E96" w:rsidRDefault="00FD7A9F" w:rsidP="00853E96">
      <w:pPr>
        <w:pStyle w:val="ListParagraph"/>
        <w:numPr>
          <w:ilvl w:val="0"/>
          <w:numId w:val="5"/>
        </w:numPr>
        <w:rPr>
          <w:sz w:val="24"/>
          <w:szCs w:val="24"/>
        </w:rPr>
      </w:pPr>
      <w:r w:rsidRPr="00853E96">
        <w:rPr>
          <w:sz w:val="24"/>
          <w:szCs w:val="24"/>
        </w:rPr>
        <w:t>Case ascertainment for Dementia diagnosis rate has been significantly lower over the last 5 years (49.5% in 2022) than the England average of 62%.</w:t>
      </w:r>
    </w:p>
    <w:p w14:paraId="6F11AD35" w14:textId="77777777" w:rsidR="00FD7A9F" w:rsidRPr="00853E96" w:rsidRDefault="00FD7A9F" w:rsidP="00853E96">
      <w:pPr>
        <w:pStyle w:val="ListParagraph"/>
        <w:numPr>
          <w:ilvl w:val="0"/>
          <w:numId w:val="5"/>
        </w:numPr>
        <w:rPr>
          <w:sz w:val="24"/>
          <w:szCs w:val="24"/>
        </w:rPr>
      </w:pPr>
      <w:r w:rsidRPr="00853E96">
        <w:rPr>
          <w:sz w:val="24"/>
          <w:szCs w:val="24"/>
        </w:rPr>
        <w:t>Emergency Hospital Admission rates for intentional self-harm and violence (including sexual violence) continue to be significantly higher than the England average over the last 6 to 8 years.</w:t>
      </w:r>
    </w:p>
    <w:p w14:paraId="142EBB2D" w14:textId="77777777" w:rsidR="00FD7A9F" w:rsidRPr="00853E96" w:rsidRDefault="00FD7A9F" w:rsidP="00853E96">
      <w:pPr>
        <w:rPr>
          <w:b/>
          <w:bCs/>
        </w:rPr>
      </w:pPr>
      <w:r w:rsidRPr="00853E96">
        <w:rPr>
          <w:b/>
          <w:bCs/>
        </w:rPr>
        <w:t xml:space="preserve">Tunbridge Wells: </w:t>
      </w:r>
    </w:p>
    <w:p w14:paraId="5FCF56A2" w14:textId="6EB35763" w:rsidR="00FD7A9F" w:rsidRPr="00853E96" w:rsidRDefault="00FD7A9F" w:rsidP="00853E96">
      <w:pPr>
        <w:pStyle w:val="ListParagraph"/>
        <w:numPr>
          <w:ilvl w:val="0"/>
          <w:numId w:val="4"/>
        </w:numPr>
        <w:rPr>
          <w:sz w:val="24"/>
          <w:szCs w:val="24"/>
        </w:rPr>
      </w:pPr>
      <w:r w:rsidRPr="00853E96">
        <w:rPr>
          <w:sz w:val="24"/>
          <w:szCs w:val="24"/>
        </w:rPr>
        <w:t xml:space="preserve">Case ascertainment for diabetes diagnosis has been significantly lower than the England </w:t>
      </w:r>
      <w:r w:rsidR="00E81E66" w:rsidRPr="00853E96">
        <w:rPr>
          <w:sz w:val="24"/>
          <w:szCs w:val="24"/>
        </w:rPr>
        <w:t>average.</w:t>
      </w:r>
    </w:p>
    <w:p w14:paraId="303B61EA" w14:textId="11B21579" w:rsidR="00FD7A9F" w:rsidRPr="00853E96" w:rsidRDefault="00FD7A9F" w:rsidP="00853E96">
      <w:pPr>
        <w:pStyle w:val="ListParagraph"/>
        <w:numPr>
          <w:ilvl w:val="0"/>
          <w:numId w:val="4"/>
        </w:numPr>
        <w:rPr>
          <w:sz w:val="24"/>
          <w:szCs w:val="24"/>
        </w:rPr>
      </w:pPr>
      <w:r w:rsidRPr="00853E96">
        <w:rPr>
          <w:sz w:val="24"/>
          <w:szCs w:val="24"/>
        </w:rPr>
        <w:t xml:space="preserve">Smoking </w:t>
      </w:r>
      <w:r w:rsidR="00142C51">
        <w:rPr>
          <w:sz w:val="24"/>
          <w:szCs w:val="24"/>
        </w:rPr>
        <w:t>s</w:t>
      </w:r>
      <w:r w:rsidRPr="00853E96">
        <w:rPr>
          <w:sz w:val="24"/>
          <w:szCs w:val="24"/>
        </w:rPr>
        <w:t>tatus at time of delivery has increased in 2020/21 to 13.4%</w:t>
      </w:r>
      <w:r w:rsidR="00142C51">
        <w:rPr>
          <w:sz w:val="24"/>
          <w:szCs w:val="24"/>
        </w:rPr>
        <w:t>,</w:t>
      </w:r>
      <w:r w:rsidRPr="00853E96">
        <w:rPr>
          <w:sz w:val="24"/>
          <w:szCs w:val="24"/>
        </w:rPr>
        <w:t xml:space="preserve"> significantly higher than 9.6% for England. </w:t>
      </w:r>
    </w:p>
    <w:p w14:paraId="71281869" w14:textId="7A7094A6" w:rsidR="00FD7A9F" w:rsidRPr="00853E96" w:rsidRDefault="00FD7A9F" w:rsidP="00853E96">
      <w:pPr>
        <w:pStyle w:val="ListParagraph"/>
        <w:numPr>
          <w:ilvl w:val="0"/>
          <w:numId w:val="4"/>
        </w:numPr>
        <w:rPr>
          <w:sz w:val="24"/>
          <w:szCs w:val="24"/>
        </w:rPr>
      </w:pPr>
      <w:r w:rsidRPr="00853E96">
        <w:rPr>
          <w:sz w:val="24"/>
          <w:szCs w:val="24"/>
        </w:rPr>
        <w:t xml:space="preserve">Excess winter deaths </w:t>
      </w:r>
      <w:bookmarkStart w:id="56" w:name="_Int_4M9MapfJ"/>
      <w:r w:rsidRPr="00853E96">
        <w:rPr>
          <w:sz w:val="24"/>
          <w:szCs w:val="24"/>
        </w:rPr>
        <w:t>has</w:t>
      </w:r>
      <w:bookmarkEnd w:id="56"/>
      <w:r w:rsidRPr="00853E96">
        <w:rPr>
          <w:sz w:val="24"/>
          <w:szCs w:val="24"/>
        </w:rPr>
        <w:t xml:space="preserve"> increased to 35.1% in 2019/20 compared to 17.4% for England </w:t>
      </w:r>
      <w:r w:rsidR="00E81E66" w:rsidRPr="00853E96">
        <w:rPr>
          <w:sz w:val="24"/>
          <w:szCs w:val="24"/>
        </w:rPr>
        <w:t>average.</w:t>
      </w:r>
    </w:p>
    <w:p w14:paraId="2A3D5C26" w14:textId="701E585D" w:rsidR="00FD7A9F" w:rsidRPr="00853E96" w:rsidRDefault="00FD7A9F" w:rsidP="00853E96">
      <w:pPr>
        <w:rPr>
          <w:b/>
          <w:bCs/>
        </w:rPr>
      </w:pPr>
      <w:r w:rsidRPr="00853E96">
        <w:rPr>
          <w:b/>
          <w:bCs/>
        </w:rPr>
        <w:t xml:space="preserve">Figure </w:t>
      </w:r>
      <w:r w:rsidR="00243B5B">
        <w:rPr>
          <w:b/>
          <w:bCs/>
        </w:rPr>
        <w:t>29</w:t>
      </w:r>
      <w:r w:rsidRPr="00853E96">
        <w:rPr>
          <w:b/>
          <w:bCs/>
        </w:rPr>
        <w:t xml:space="preserve"> Admission rates for Intentional Self Harm by ward </w:t>
      </w:r>
    </w:p>
    <w:p w14:paraId="0F04D5C8" w14:textId="77777777" w:rsidR="00FD7A9F" w:rsidRPr="00853E96" w:rsidRDefault="00FD7A9F" w:rsidP="00853E96">
      <w:r w:rsidRPr="00853E96">
        <w:rPr>
          <w:noProof/>
        </w:rPr>
        <w:lastRenderedPageBreak/>
        <w:drawing>
          <wp:inline distT="0" distB="0" distL="0" distR="0" wp14:anchorId="02805B34" wp14:editId="3529E8CD">
            <wp:extent cx="5094514" cy="3640455"/>
            <wp:effectExtent l="0" t="0" r="0" b="0"/>
            <wp:docPr id="22728687" name="Picture 1412120212" descr="Map of wards in Kent, shaded by how they compare with the England average for admission rates for intentional self harm. Bridge, Culverden, East, East Malling, Edenbridge North and East, Edenbridge South and West, Fant, Hadlow and East Peckham, Heath, High Street, Larkfield South, Leeds, Marden and Yalding, North, Park Wood, Seal and Weald, Shepway South, Sherwood, Snodland East and Ham Hill, Southborough North, and Trench, are the wards with the worst admission rates for self-harm compared to the England average. Approximately half the remaining wards are similar and half are better than Eg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8687" name="Picture 1412120212" descr="Map of wards in Kent, shaded by how they compare with the England average for admission rates for intentional self harm. Bridge, Culverden, East, East Malling, Edenbridge North and East, Edenbridge South and West, Fant, Hadlow and East Peckham, Heath, High Street, Larkfield South, Leeds, Marden and Yalding, North, Park Wood, Seal and Weald, Shepway South, Sherwood, Snodland East and Ham Hill, Southborough North, and Trench, are the wards with the worst admission rates for self-harm compared to the England average. Approximately half the remaining wards are similar and half are better than Egland. "/>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02288" cy="3646010"/>
                    </a:xfrm>
                    <a:prstGeom prst="rect">
                      <a:avLst/>
                    </a:prstGeom>
                  </pic:spPr>
                </pic:pic>
              </a:graphicData>
            </a:graphic>
          </wp:inline>
        </w:drawing>
      </w:r>
    </w:p>
    <w:p w14:paraId="06E05AE2" w14:textId="071AD60E" w:rsidR="00FD7A9F" w:rsidRPr="00853E96" w:rsidRDefault="00FD7A9F" w:rsidP="00853E96">
      <w:r w:rsidRPr="00853E96">
        <w:t xml:space="preserve">Figure </w:t>
      </w:r>
      <w:r w:rsidR="00243B5B">
        <w:t>29</w:t>
      </w:r>
      <w:r w:rsidRPr="00853E96">
        <w:t xml:space="preserve"> shows the following wards (shaded red) Bridge, </w:t>
      </w:r>
      <w:proofErr w:type="spellStart"/>
      <w:r w:rsidRPr="00853E96">
        <w:t>Culverden</w:t>
      </w:r>
      <w:proofErr w:type="spellEnd"/>
      <w:r w:rsidRPr="00853E96">
        <w:t xml:space="preserve">, East, East </w:t>
      </w:r>
      <w:proofErr w:type="spellStart"/>
      <w:r w:rsidRPr="00853E96">
        <w:t>Malling</w:t>
      </w:r>
      <w:proofErr w:type="spellEnd"/>
      <w:r w:rsidRPr="00853E96">
        <w:t xml:space="preserve">, Edenbridge North and East, Edenbridge South and West, Fant, Hadlow and East Peckham, Heath, High Street, Larkfield South, Leeds, Marden and Yalding, North, Park Wood, Seal and Weald, Shepway South, Sherwood, Snodland East and Ham Hill, Southborough North, and Trench, are the wards with the worst admission rates for self-harm compared to the England average. </w:t>
      </w:r>
    </w:p>
    <w:p w14:paraId="543B51A6" w14:textId="7F749352" w:rsidR="00D4354F" w:rsidRPr="00EA56D9" w:rsidRDefault="00FD7A9F" w:rsidP="00FD7A9F">
      <w:pPr>
        <w:jc w:val="both"/>
      </w:pPr>
      <w:r w:rsidRPr="00AD1DF7">
        <w:t>Figures 3</w:t>
      </w:r>
      <w:r w:rsidR="00243B5B">
        <w:t>0</w:t>
      </w:r>
      <w:r w:rsidRPr="00AD1DF7">
        <w:t xml:space="preserve"> and 3</w:t>
      </w:r>
      <w:r w:rsidR="00243B5B">
        <w:t>1</w:t>
      </w:r>
      <w:r w:rsidRPr="00AD1DF7">
        <w:t xml:space="preserve"> are examples showing variation in A&amp;E attendance and emergency hospital admission rates by PCN with Maidstone South and ABC showing worse rates than the others. However, QOF prevalence rates are lower than expected in 5 other PCNS</w:t>
      </w:r>
      <w:r w:rsidR="008A6DDD">
        <w:t xml:space="preserve"> (figure 3</w:t>
      </w:r>
      <w:r w:rsidR="0025632B">
        <w:t>2</w:t>
      </w:r>
      <w:r w:rsidR="008A6DDD">
        <w:t>).</w:t>
      </w:r>
    </w:p>
    <w:p w14:paraId="187661E5" w14:textId="77777777" w:rsidR="00A53A39" w:rsidRDefault="00A53A39">
      <w:pPr>
        <w:spacing w:before="0" w:after="200"/>
        <w:rPr>
          <w:b/>
          <w:bCs/>
        </w:rPr>
      </w:pPr>
      <w:r>
        <w:rPr>
          <w:b/>
          <w:bCs/>
        </w:rPr>
        <w:br w:type="page"/>
      </w:r>
    </w:p>
    <w:p w14:paraId="6E299C9E" w14:textId="48F92111" w:rsidR="00FD7A9F" w:rsidRDefault="00FD7A9F" w:rsidP="00853E96">
      <w:pPr>
        <w:rPr>
          <w:b/>
          <w:bCs/>
        </w:rPr>
      </w:pPr>
      <w:r w:rsidRPr="5E4DB3C2">
        <w:rPr>
          <w:b/>
          <w:bCs/>
        </w:rPr>
        <w:lastRenderedPageBreak/>
        <w:t>Figure 3</w:t>
      </w:r>
      <w:r w:rsidR="00243B5B">
        <w:rPr>
          <w:b/>
          <w:bCs/>
        </w:rPr>
        <w:t>0</w:t>
      </w:r>
      <w:r w:rsidR="00EA56D9">
        <w:rPr>
          <w:b/>
          <w:bCs/>
        </w:rPr>
        <w:t xml:space="preserve"> A&amp;E attendances in children aged 0-4 years, West Kent compared to England</w:t>
      </w:r>
      <w:r w:rsidR="002408F1">
        <w:rPr>
          <w:b/>
          <w:bCs/>
        </w:rPr>
        <w:t xml:space="preserve"> </w:t>
      </w:r>
      <w:r w:rsidR="002408F1" w:rsidRPr="00656DD5">
        <w:t>(Source: Medway Council)</w:t>
      </w:r>
    </w:p>
    <w:p w14:paraId="4D6A430C" w14:textId="77777777" w:rsidR="00FD7A9F" w:rsidRDefault="00FD7A9F" w:rsidP="00853E96">
      <w:r>
        <w:rPr>
          <w:noProof/>
        </w:rPr>
        <w:drawing>
          <wp:inline distT="0" distB="0" distL="0" distR="0" wp14:anchorId="193497FA" wp14:editId="7D3950DD">
            <wp:extent cx="2838450" cy="4042896"/>
            <wp:effectExtent l="0" t="0" r="0" b="0"/>
            <wp:docPr id="581617243" name="Picture 1429890804" descr="Diagram showing PCNs in West Kent and their A&amp;E attendances compared to England. Sevenoaks, ABC, Maidstone South, The Ridge and Malling perform worse than England. Tunbridge Wells, Tonbridge, Weald and Maidstone Central perform similarly to Eng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17243" name="Picture 1429890804" descr="Diagram showing PCNs in West Kent and their A&amp;E attendances compared to England. Sevenoaks, ABC, Maidstone South, The Ridge and Malling perform worse than England. Tunbridge Wells, Tonbridge, Weald and Maidstone Central perform similarly to England. "/>
                    <pic:cNvPicPr/>
                  </pic:nvPicPr>
                  <pic:blipFill>
                    <a:blip r:embed="rId75">
                      <a:extLst>
                        <a:ext uri="{28A0092B-C50C-407E-A947-70E740481C1C}">
                          <a14:useLocalDpi xmlns:a14="http://schemas.microsoft.com/office/drawing/2010/main" val="0"/>
                        </a:ext>
                      </a:extLst>
                    </a:blip>
                    <a:stretch>
                      <a:fillRect/>
                    </a:stretch>
                  </pic:blipFill>
                  <pic:spPr>
                    <a:xfrm>
                      <a:off x="0" y="0"/>
                      <a:ext cx="2841199" cy="4046811"/>
                    </a:xfrm>
                    <a:prstGeom prst="rect">
                      <a:avLst/>
                    </a:prstGeom>
                  </pic:spPr>
                </pic:pic>
              </a:graphicData>
            </a:graphic>
          </wp:inline>
        </w:drawing>
      </w:r>
    </w:p>
    <w:p w14:paraId="009B01B3" w14:textId="025F83D8" w:rsidR="00FD7A9F" w:rsidRDefault="00FD7A9F" w:rsidP="00853E96">
      <w:pPr>
        <w:rPr>
          <w:b/>
          <w:bCs/>
        </w:rPr>
      </w:pPr>
      <w:r w:rsidRPr="5E4DB3C2">
        <w:rPr>
          <w:b/>
          <w:bCs/>
        </w:rPr>
        <w:t xml:space="preserve">Figure </w:t>
      </w:r>
      <w:r>
        <w:rPr>
          <w:b/>
          <w:bCs/>
        </w:rPr>
        <w:t>3</w:t>
      </w:r>
      <w:r w:rsidR="00243B5B">
        <w:rPr>
          <w:b/>
          <w:bCs/>
        </w:rPr>
        <w:t>1</w:t>
      </w:r>
      <w:r w:rsidR="00F00597">
        <w:rPr>
          <w:b/>
          <w:bCs/>
        </w:rPr>
        <w:t xml:space="preserve"> Unplanned hospitalisation for chronic </w:t>
      </w:r>
      <w:r w:rsidR="00F00597" w:rsidRPr="00F00597">
        <w:rPr>
          <w:b/>
          <w:bCs/>
        </w:rPr>
        <w:t>ambulatory care sensitive conditions</w:t>
      </w:r>
      <w:r w:rsidR="00F00597">
        <w:rPr>
          <w:b/>
          <w:bCs/>
        </w:rPr>
        <w:t xml:space="preserve"> (ACSC)</w:t>
      </w:r>
      <w:r w:rsidR="00656DD5">
        <w:rPr>
          <w:b/>
          <w:bCs/>
        </w:rPr>
        <w:t xml:space="preserve"> </w:t>
      </w:r>
      <w:r w:rsidR="00656DD5" w:rsidRPr="00656DD5">
        <w:t>(Source: Medway Council)</w:t>
      </w:r>
    </w:p>
    <w:p w14:paraId="559CD770" w14:textId="77777777" w:rsidR="00FD7A9F" w:rsidRDefault="00FD7A9F" w:rsidP="00853E96">
      <w:r>
        <w:rPr>
          <w:noProof/>
        </w:rPr>
        <w:drawing>
          <wp:inline distT="0" distB="0" distL="0" distR="0" wp14:anchorId="3444D270" wp14:editId="045EFB62">
            <wp:extent cx="4882551" cy="3488990"/>
            <wp:effectExtent l="0" t="0" r="0" b="0"/>
            <wp:docPr id="253433558" name="Picture 1060512069" descr="Diagram showing PCNs in West Kent and their unplanned hospitalisations for chronic ACSCs compared to England. ABC and Maidstone South perform worse and Malling and Maidstone Central perform similarly to England. Sevenoaks, The Ridge, Tunbridge Wells, Tonbridge and Weald perform better than England. West Kent HCP has a rate of 581 per 100,000 people unplanned hospitalisations for chronic ACSC, which i better than England at 730 per 100,000. West Kent HCP performs better than Kent &amp; Medway's other HC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33558" name="Picture 1060512069" descr="Diagram showing PCNs in West Kent and their unplanned hospitalisations for chronic ACSCs compared to England. ABC and Maidstone South perform worse and Malling and Maidstone Central perform similarly to England. Sevenoaks, The Ridge, Tunbridge Wells, Tonbridge and Weald perform better than England. West Kent HCP has a rate of 581 per 100,000 people unplanned hospitalisations for chronic ACSC, which i better than England at 730 per 100,000. West Kent HCP performs better than Kent &amp; Medway's other HCPs."/>
                    <pic:cNvPicPr/>
                  </pic:nvPicPr>
                  <pic:blipFill>
                    <a:blip r:embed="rId76">
                      <a:extLst>
                        <a:ext uri="{28A0092B-C50C-407E-A947-70E740481C1C}">
                          <a14:useLocalDpi xmlns:a14="http://schemas.microsoft.com/office/drawing/2010/main" val="0"/>
                        </a:ext>
                      </a:extLst>
                    </a:blip>
                    <a:stretch>
                      <a:fillRect/>
                    </a:stretch>
                  </pic:blipFill>
                  <pic:spPr>
                    <a:xfrm>
                      <a:off x="0" y="0"/>
                      <a:ext cx="4888836" cy="3493481"/>
                    </a:xfrm>
                    <a:prstGeom prst="rect">
                      <a:avLst/>
                    </a:prstGeom>
                  </pic:spPr>
                </pic:pic>
              </a:graphicData>
            </a:graphic>
          </wp:inline>
        </w:drawing>
      </w:r>
    </w:p>
    <w:p w14:paraId="7D01D25B" w14:textId="468677B6" w:rsidR="00FD7A9F" w:rsidRDefault="00FD7A9F" w:rsidP="00853E96">
      <w:pPr>
        <w:rPr>
          <w:b/>
          <w:bCs/>
        </w:rPr>
      </w:pPr>
      <w:r w:rsidRPr="5E4DB3C2">
        <w:rPr>
          <w:b/>
          <w:bCs/>
        </w:rPr>
        <w:lastRenderedPageBreak/>
        <w:t>Figure 3</w:t>
      </w:r>
      <w:r w:rsidR="00243B5B">
        <w:rPr>
          <w:b/>
          <w:bCs/>
        </w:rPr>
        <w:t>2</w:t>
      </w:r>
      <w:r w:rsidR="00F00597">
        <w:rPr>
          <w:b/>
          <w:bCs/>
        </w:rPr>
        <w:t xml:space="preserve"> Serious mental illness prevalence </w:t>
      </w:r>
      <w:r w:rsidR="00656DD5" w:rsidRPr="00656DD5">
        <w:t>(Source: Medway Council)</w:t>
      </w:r>
    </w:p>
    <w:p w14:paraId="49EFDD3A" w14:textId="77777777" w:rsidR="00FD7A9F" w:rsidRDefault="00FD7A9F" w:rsidP="00853E96">
      <w:r>
        <w:rPr>
          <w:noProof/>
        </w:rPr>
        <w:drawing>
          <wp:inline distT="0" distB="0" distL="0" distR="0" wp14:anchorId="62824306" wp14:editId="5D8F4540">
            <wp:extent cx="4914900" cy="3522345"/>
            <wp:effectExtent l="0" t="0" r="0" b="1905"/>
            <wp:docPr id="1503486193" name="Picture 1861372562" descr="Diagram showing West Kent PCNs shaded by prevalence of serious mental illnesses. At 1.1% Tunbridge Wells and ABC have higher prevalence than England. West Kent HCP has average 0.8% compared to England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86193" name="Picture 1861372562" descr="Diagram showing West Kent PCNs shaded by prevalence of serious mental illnesses. At 1.1% Tunbridge Wells and ABC have higher prevalence than England. West Kent HCP has average 0.8% compared to England at 0.9%."/>
                    <pic:cNvPicPr/>
                  </pic:nvPicPr>
                  <pic:blipFill>
                    <a:blip r:embed="rId77">
                      <a:extLst>
                        <a:ext uri="{28A0092B-C50C-407E-A947-70E740481C1C}">
                          <a14:useLocalDpi xmlns:a14="http://schemas.microsoft.com/office/drawing/2010/main" val="0"/>
                        </a:ext>
                      </a:extLst>
                    </a:blip>
                    <a:stretch>
                      <a:fillRect/>
                    </a:stretch>
                  </pic:blipFill>
                  <pic:spPr>
                    <a:xfrm>
                      <a:off x="0" y="0"/>
                      <a:ext cx="4925851" cy="3530193"/>
                    </a:xfrm>
                    <a:prstGeom prst="rect">
                      <a:avLst/>
                    </a:prstGeom>
                  </pic:spPr>
                </pic:pic>
              </a:graphicData>
            </a:graphic>
          </wp:inline>
        </w:drawing>
      </w:r>
    </w:p>
    <w:p w14:paraId="5BBA765F" w14:textId="77777777" w:rsidR="00734989" w:rsidRDefault="00FD7A9F" w:rsidP="00715A6E">
      <w:pPr>
        <w:rPr>
          <w:rFonts w:ascii="Calibri" w:eastAsia="Calibri" w:hAnsi="Calibri" w:cs="Calibri"/>
          <w:color w:val="000000" w:themeColor="text1"/>
        </w:rPr>
      </w:pPr>
      <w:r w:rsidRPr="5E4DB3C2">
        <w:rPr>
          <w:rFonts w:ascii="Calibri" w:eastAsia="Calibri" w:hAnsi="Calibri" w:cs="Calibri"/>
          <w:color w:val="000000" w:themeColor="text1"/>
        </w:rPr>
        <w:t xml:space="preserve">The HEALTHSPAN 'gap' is the difference in median HEALTHSPAN (as a count of years) between people in the most deprived population decile locally, and people in the least deprived population decile locally, for those who leave the Healthy / Generally Well segment. As this outcome is a 'difference' measure, it does not have a denominator description. This measure is applied to all people who first leave the Healthy / Generally Well segment each month/year, in the least or most deprived population deciles locally. </w:t>
      </w:r>
    </w:p>
    <w:p w14:paraId="2A83A8C0" w14:textId="5D73C7AA" w:rsidR="00FD7A9F" w:rsidRDefault="00FD7A9F" w:rsidP="00715A6E">
      <w:pPr>
        <w:rPr>
          <w:rFonts w:ascii="Calibri" w:eastAsia="Calibri" w:hAnsi="Calibri" w:cs="Calibri"/>
          <w:color w:val="000000" w:themeColor="text1"/>
        </w:rPr>
      </w:pPr>
      <w:r w:rsidRPr="5E4DB3C2">
        <w:rPr>
          <w:rFonts w:ascii="Calibri" w:eastAsia="Calibri" w:hAnsi="Calibri" w:cs="Calibri"/>
          <w:color w:val="000000" w:themeColor="text1"/>
        </w:rPr>
        <w:t>The least and most deprived population deciles locally are calculated based on the spread of IMD scores across LSOAs. The trend in Figure 3</w:t>
      </w:r>
      <w:r w:rsidR="00243B5B">
        <w:rPr>
          <w:rFonts w:ascii="Calibri" w:eastAsia="Calibri" w:hAnsi="Calibri" w:cs="Calibri"/>
          <w:color w:val="000000" w:themeColor="text1"/>
        </w:rPr>
        <w:t>3</w:t>
      </w:r>
      <w:r w:rsidRPr="5E4DB3C2">
        <w:rPr>
          <w:rFonts w:ascii="Calibri" w:eastAsia="Calibri" w:hAnsi="Calibri" w:cs="Calibri"/>
          <w:color w:val="000000" w:themeColor="text1"/>
        </w:rPr>
        <w:t xml:space="preserve"> shows an increase in gap for over the last 3 years, from 8 to 12 years for West Kent</w:t>
      </w:r>
    </w:p>
    <w:p w14:paraId="00BE57C0" w14:textId="77777777" w:rsidR="00EF55C9" w:rsidRDefault="00EF55C9">
      <w:pPr>
        <w:spacing w:before="0" w:after="200"/>
        <w:rPr>
          <w:rFonts w:ascii="Calibri" w:eastAsia="Calibri" w:hAnsi="Calibri" w:cs="Calibri"/>
          <w:b/>
          <w:bCs/>
          <w:color w:val="000000" w:themeColor="text1"/>
        </w:rPr>
      </w:pPr>
      <w:r>
        <w:rPr>
          <w:rFonts w:ascii="Calibri" w:eastAsia="Calibri" w:hAnsi="Calibri" w:cs="Calibri"/>
          <w:b/>
          <w:bCs/>
          <w:color w:val="000000" w:themeColor="text1"/>
        </w:rPr>
        <w:br w:type="page"/>
      </w:r>
    </w:p>
    <w:p w14:paraId="17ED9469" w14:textId="5C609844" w:rsidR="00FD7A9F" w:rsidRDefault="00FD7A9F" w:rsidP="00715A6E">
      <w:pPr>
        <w:rPr>
          <w:rFonts w:ascii="Calibri" w:eastAsia="Calibri" w:hAnsi="Calibri" w:cs="Calibri"/>
          <w:b/>
          <w:bCs/>
          <w:color w:val="000000" w:themeColor="text1"/>
        </w:rPr>
      </w:pPr>
      <w:r w:rsidRPr="5E4DB3C2">
        <w:rPr>
          <w:rFonts w:ascii="Calibri" w:eastAsia="Calibri" w:hAnsi="Calibri" w:cs="Calibri"/>
          <w:b/>
          <w:bCs/>
          <w:color w:val="000000" w:themeColor="text1"/>
        </w:rPr>
        <w:lastRenderedPageBreak/>
        <w:t>Figure 3</w:t>
      </w:r>
      <w:r w:rsidR="00243B5B">
        <w:rPr>
          <w:rFonts w:ascii="Calibri" w:eastAsia="Calibri" w:hAnsi="Calibri" w:cs="Calibri"/>
          <w:b/>
          <w:bCs/>
          <w:color w:val="000000" w:themeColor="text1"/>
        </w:rPr>
        <w:t>3</w:t>
      </w:r>
      <w:r w:rsidRPr="5E4DB3C2">
        <w:rPr>
          <w:rFonts w:ascii="Calibri" w:eastAsia="Calibri" w:hAnsi="Calibri" w:cs="Calibri"/>
          <w:b/>
          <w:bCs/>
          <w:color w:val="000000" w:themeColor="text1"/>
        </w:rPr>
        <w:t xml:space="preserve"> Health Span gap for West Kent</w:t>
      </w:r>
      <w:r w:rsidR="00F00597">
        <w:rPr>
          <w:rFonts w:ascii="Calibri" w:eastAsia="Calibri" w:hAnsi="Calibri" w:cs="Calibri"/>
          <w:b/>
          <w:bCs/>
          <w:color w:val="000000" w:themeColor="text1"/>
        </w:rPr>
        <w:t xml:space="preserve">. </w:t>
      </w:r>
      <w:r w:rsidR="00F00597" w:rsidRPr="00715A6E">
        <w:rPr>
          <w:rFonts w:ascii="Calibri" w:eastAsia="Calibri" w:hAnsi="Calibri" w:cs="Calibri"/>
          <w:color w:val="000000" w:themeColor="text1"/>
        </w:rPr>
        <w:t>Source: OBH</w:t>
      </w:r>
    </w:p>
    <w:p w14:paraId="4A66B96C" w14:textId="1F5F07C9" w:rsidR="00FD7A9F" w:rsidRDefault="00FD7A9F" w:rsidP="00715A6E">
      <w:pPr>
        <w:rPr>
          <w:rFonts w:ascii="Calibri" w:eastAsia="Calibri" w:hAnsi="Calibri" w:cs="Calibri"/>
          <w:color w:val="000000" w:themeColor="text1"/>
        </w:rPr>
      </w:pPr>
      <w:r>
        <w:rPr>
          <w:noProof/>
        </w:rPr>
        <w:drawing>
          <wp:inline distT="0" distB="0" distL="0" distR="0" wp14:anchorId="7BCB1B28" wp14:editId="771827D7">
            <wp:extent cx="5945831" cy="2829464"/>
            <wp:effectExtent l="0" t="0" r="0" b="9525"/>
            <wp:docPr id="2035953742" name="Picture 2035953742" descr="Line graph showing the Health Span gap for West Kent. There is one line which varies between 8 and 12 years' difference between April 2018 and April 2022. There is a slight dip around early 2019 and then a rise around early 2021. The trend line shows a slight upward tr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53742" name="Picture 2035953742" descr="Line graph showing the Health Span gap for West Kent. There is one line which varies between 8 and 12 years' difference between April 2018 and April 2022. There is a slight dip around early 2019 and then a rise around early 2021. The trend line shows a slight upward trend. "/>
                    <pic:cNvPicPr/>
                  </pic:nvPicPr>
                  <pic:blipFill>
                    <a:blip r:embed="rId78">
                      <a:extLst>
                        <a:ext uri="{28A0092B-C50C-407E-A947-70E740481C1C}">
                          <a14:useLocalDpi xmlns:a14="http://schemas.microsoft.com/office/drawing/2010/main" val="0"/>
                        </a:ext>
                      </a:extLst>
                    </a:blip>
                    <a:stretch>
                      <a:fillRect/>
                    </a:stretch>
                  </pic:blipFill>
                  <pic:spPr>
                    <a:xfrm>
                      <a:off x="0" y="0"/>
                      <a:ext cx="5959457" cy="2835948"/>
                    </a:xfrm>
                    <a:prstGeom prst="rect">
                      <a:avLst/>
                    </a:prstGeom>
                  </pic:spPr>
                </pic:pic>
              </a:graphicData>
            </a:graphic>
          </wp:inline>
        </w:drawing>
      </w:r>
    </w:p>
    <w:p w14:paraId="505C6AD8" w14:textId="77777777" w:rsidR="00281EFD" w:rsidRDefault="00FD7A9F" w:rsidP="00715A6E">
      <w:pPr>
        <w:rPr>
          <w:rFonts w:ascii="Calibri" w:eastAsia="Calibri" w:hAnsi="Calibri" w:cs="Calibri"/>
          <w:color w:val="000000" w:themeColor="text1"/>
        </w:rPr>
      </w:pPr>
      <w:r w:rsidRPr="5E4DB3C2">
        <w:rPr>
          <w:rFonts w:ascii="Calibri" w:eastAsia="Calibri" w:hAnsi="Calibri" w:cs="Calibri"/>
          <w:color w:val="000000" w:themeColor="text1"/>
        </w:rPr>
        <w:t xml:space="preserve">People with serious mental illness on average tend to die earlier than the general population. There is a </w:t>
      </w:r>
      <w:bookmarkStart w:id="57" w:name="_Int_FRKcbey6"/>
      <w:r w:rsidRPr="5E4DB3C2">
        <w:rPr>
          <w:rFonts w:ascii="Calibri" w:eastAsia="Calibri" w:hAnsi="Calibri" w:cs="Calibri"/>
          <w:color w:val="000000" w:themeColor="text1"/>
        </w:rPr>
        <w:t>10-25 year</w:t>
      </w:r>
      <w:bookmarkEnd w:id="57"/>
      <w:r w:rsidRPr="5E4DB3C2">
        <w:rPr>
          <w:rFonts w:ascii="Calibri" w:eastAsia="Calibri" w:hAnsi="Calibri" w:cs="Calibri"/>
          <w:color w:val="000000" w:themeColor="text1"/>
        </w:rPr>
        <w:t xml:space="preserve"> life expectancy reduction in people with serious mental illness. People with SMI often experience not only poor mental health, but poor physical health too. For people with SMI, an estimated 2 out of every 3 deaths are from physical illnesses that could have potentially been prevented. </w:t>
      </w:r>
    </w:p>
    <w:p w14:paraId="61E445A4" w14:textId="70098137" w:rsidR="00FD7A9F" w:rsidRDefault="00FD7A9F" w:rsidP="00715A6E">
      <w:pPr>
        <w:rPr>
          <w:rFonts w:ascii="Calibri" w:eastAsia="Calibri" w:hAnsi="Calibri" w:cs="Calibri"/>
          <w:color w:val="000000" w:themeColor="text1"/>
        </w:rPr>
      </w:pPr>
      <w:r w:rsidRPr="5E4DB3C2">
        <w:rPr>
          <w:rFonts w:ascii="Calibri" w:eastAsia="Calibri" w:hAnsi="Calibri" w:cs="Calibri"/>
          <w:color w:val="000000" w:themeColor="text1"/>
        </w:rPr>
        <w:t>In all areas of England, adults with SMI are more likely to die prematurely before the age of 75 than those who do not. Based on 2016-2018 data for England the likelihood of an adult with SMI dying prematurely is 4.5 times greater than those who do not have SMI. Figure 3</w:t>
      </w:r>
      <w:r w:rsidR="00243B5B">
        <w:rPr>
          <w:rFonts w:ascii="Calibri" w:eastAsia="Calibri" w:hAnsi="Calibri" w:cs="Calibri"/>
          <w:color w:val="000000" w:themeColor="text1"/>
        </w:rPr>
        <w:t>4</w:t>
      </w:r>
      <w:r w:rsidRPr="5E4DB3C2">
        <w:rPr>
          <w:rFonts w:ascii="Calibri" w:eastAsia="Calibri" w:hAnsi="Calibri" w:cs="Calibri"/>
          <w:color w:val="000000" w:themeColor="text1"/>
        </w:rPr>
        <w:t xml:space="preserve"> shows the PYLL which is rate of life years lost (under 75 years) per 1</w:t>
      </w:r>
      <w:r w:rsidR="004F637B">
        <w:rPr>
          <w:rFonts w:ascii="Calibri" w:eastAsia="Calibri" w:hAnsi="Calibri" w:cs="Calibri"/>
          <w:color w:val="000000" w:themeColor="text1"/>
        </w:rPr>
        <w:t>,</w:t>
      </w:r>
      <w:r w:rsidRPr="5E4DB3C2">
        <w:rPr>
          <w:rFonts w:ascii="Calibri" w:eastAsia="Calibri" w:hAnsi="Calibri" w:cs="Calibri"/>
          <w:color w:val="000000" w:themeColor="text1"/>
        </w:rPr>
        <w:t xml:space="preserve">000 people with Serious Mental Illness over a rolling </w:t>
      </w:r>
      <w:r w:rsidR="00E727FF" w:rsidRPr="5E4DB3C2">
        <w:rPr>
          <w:rFonts w:ascii="Calibri" w:eastAsia="Calibri" w:hAnsi="Calibri" w:cs="Calibri"/>
          <w:color w:val="000000" w:themeColor="text1"/>
        </w:rPr>
        <w:t>12-month</w:t>
      </w:r>
      <w:r w:rsidRPr="5E4DB3C2">
        <w:rPr>
          <w:rFonts w:ascii="Calibri" w:eastAsia="Calibri" w:hAnsi="Calibri" w:cs="Calibri"/>
          <w:color w:val="000000" w:themeColor="text1"/>
        </w:rPr>
        <w:t xml:space="preserve"> period. </w:t>
      </w:r>
      <w:r w:rsidR="005F2638">
        <w:rPr>
          <w:rFonts w:ascii="Calibri" w:eastAsia="Calibri" w:hAnsi="Calibri" w:cs="Calibri"/>
          <w:color w:val="000000" w:themeColor="text1"/>
        </w:rPr>
        <w:t>The t</w:t>
      </w:r>
      <w:r w:rsidRPr="5E4DB3C2">
        <w:rPr>
          <w:rFonts w:ascii="Calibri" w:eastAsia="Calibri" w:hAnsi="Calibri" w:cs="Calibri"/>
          <w:color w:val="000000" w:themeColor="text1"/>
        </w:rPr>
        <w:t>rend shows a gradual increase over the last 4 years.</w:t>
      </w:r>
    </w:p>
    <w:p w14:paraId="0D508384" w14:textId="521D5E21" w:rsidR="00FD7A9F" w:rsidRPr="00715A6E" w:rsidRDefault="00FD7A9F" w:rsidP="00715A6E">
      <w:pPr>
        <w:rPr>
          <w:rFonts w:ascii="Calibri" w:eastAsia="Calibri" w:hAnsi="Calibri" w:cs="Calibri"/>
          <w:color w:val="000000" w:themeColor="text1"/>
        </w:rPr>
      </w:pPr>
      <w:r w:rsidRPr="5E4DB3C2">
        <w:rPr>
          <w:rFonts w:ascii="Calibri" w:eastAsia="Calibri" w:hAnsi="Calibri" w:cs="Calibri"/>
          <w:b/>
          <w:bCs/>
          <w:color w:val="000000" w:themeColor="text1"/>
        </w:rPr>
        <w:t>Figure 3</w:t>
      </w:r>
      <w:r w:rsidR="00243B5B">
        <w:rPr>
          <w:rFonts w:ascii="Calibri" w:eastAsia="Calibri" w:hAnsi="Calibri" w:cs="Calibri"/>
          <w:b/>
          <w:bCs/>
          <w:color w:val="000000" w:themeColor="text1"/>
        </w:rPr>
        <w:t>4</w:t>
      </w:r>
      <w:r w:rsidRPr="5E4DB3C2">
        <w:rPr>
          <w:rFonts w:ascii="Calibri" w:eastAsia="Calibri" w:hAnsi="Calibri" w:cs="Calibri"/>
          <w:b/>
          <w:bCs/>
          <w:color w:val="000000" w:themeColor="text1"/>
        </w:rPr>
        <w:t xml:space="preserve"> Measure of Potential Years of Life Lost (PYLL) in people with Serious Mental Illness (SMI) for West Kent</w:t>
      </w:r>
      <w:r w:rsidR="00F00597">
        <w:rPr>
          <w:rFonts w:ascii="Calibri" w:eastAsia="Calibri" w:hAnsi="Calibri" w:cs="Calibri"/>
          <w:b/>
          <w:bCs/>
          <w:color w:val="000000" w:themeColor="text1"/>
        </w:rPr>
        <w:t xml:space="preserve">. </w:t>
      </w:r>
      <w:r w:rsidR="00F00597" w:rsidRPr="00715A6E">
        <w:rPr>
          <w:rFonts w:ascii="Calibri" w:eastAsia="Calibri" w:hAnsi="Calibri" w:cs="Calibri"/>
          <w:color w:val="000000" w:themeColor="text1"/>
        </w:rPr>
        <w:t>Source OBH.</w:t>
      </w:r>
    </w:p>
    <w:p w14:paraId="64D217BF" w14:textId="77777777" w:rsidR="00FD7A9F" w:rsidRDefault="00FD7A9F" w:rsidP="00715A6E">
      <w:pPr>
        <w:rPr>
          <w:rFonts w:ascii="Calibri" w:eastAsia="Calibri" w:hAnsi="Calibri" w:cs="Calibri"/>
          <w:color w:val="000000" w:themeColor="text1"/>
        </w:rPr>
      </w:pPr>
      <w:r>
        <w:rPr>
          <w:noProof/>
        </w:rPr>
        <w:lastRenderedPageBreak/>
        <w:drawing>
          <wp:inline distT="0" distB="0" distL="0" distR="0" wp14:anchorId="0AD491F2" wp14:editId="00F8FF92">
            <wp:extent cx="5181600" cy="2560625"/>
            <wp:effectExtent l="0" t="0" r="0" b="0"/>
            <wp:docPr id="180161545" name="Picture 180161545" descr="Line graph showing the Measure of Potential Years of Life Lost (PYLL) in people with Serious Mental Illness (SMI) for West Kent. There is one line which varies between 260 and 120 years lost per 1000 people. It varies quite a lot between April 2017 and April 2022. The trend line shows a slight increase from 160 to 200 per 1000 over the 4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1545" name="Picture 180161545" descr="Line graph showing the Measure of Potential Years of Life Lost (PYLL) in people with Serious Mental Illness (SMI) for West Kent. There is one line which varies between 260 and 120 years lost per 1000 people. It varies quite a lot between April 2017 and April 2022. The trend line shows a slight increase from 160 to 200 per 1000 over the 4 years. "/>
                    <pic:cNvPicPr/>
                  </pic:nvPicPr>
                  <pic:blipFill>
                    <a:blip r:embed="rId79">
                      <a:extLst>
                        <a:ext uri="{28A0092B-C50C-407E-A947-70E740481C1C}">
                          <a14:useLocalDpi xmlns:a14="http://schemas.microsoft.com/office/drawing/2010/main" val="0"/>
                        </a:ext>
                      </a:extLst>
                    </a:blip>
                    <a:stretch>
                      <a:fillRect/>
                    </a:stretch>
                  </pic:blipFill>
                  <pic:spPr>
                    <a:xfrm>
                      <a:off x="0" y="0"/>
                      <a:ext cx="5191132" cy="2565336"/>
                    </a:xfrm>
                    <a:prstGeom prst="rect">
                      <a:avLst/>
                    </a:prstGeom>
                  </pic:spPr>
                </pic:pic>
              </a:graphicData>
            </a:graphic>
          </wp:inline>
        </w:drawing>
      </w:r>
    </w:p>
    <w:p w14:paraId="34D4FCA8" w14:textId="6057644B" w:rsidR="00591027" w:rsidRDefault="00FD7A9F" w:rsidP="00715A6E">
      <w:pPr>
        <w:rPr>
          <w:rFonts w:ascii="Calibri" w:eastAsia="Calibri" w:hAnsi="Calibri" w:cs="Calibri"/>
          <w:color w:val="000000" w:themeColor="text1"/>
        </w:rPr>
      </w:pPr>
      <w:r w:rsidRPr="5E4DB3C2">
        <w:rPr>
          <w:rFonts w:ascii="Calibri" w:eastAsia="Calibri" w:hAnsi="Calibri" w:cs="Calibri"/>
          <w:color w:val="000000" w:themeColor="text1"/>
        </w:rPr>
        <w:t xml:space="preserve">Average age at death is a measure of average life span rather than life expectancy. While life expectancy can be influenced by deaths at young ages, the age at death is solely influenced by adult mortality, and therefore more likely to be influenced by improvements in care for older populations. This outcome measures of age at death – rather than “counting” the number of occurrences – provides a much better view of the longevity of any cohort, although it gives no information regarding the quality of life experienced by these people, nor on the number of deaths that occurred. </w:t>
      </w:r>
    </w:p>
    <w:p w14:paraId="2F81C625" w14:textId="611722B5" w:rsidR="00FD7A9F" w:rsidRDefault="00FD7A9F" w:rsidP="00715A6E">
      <w:pPr>
        <w:rPr>
          <w:rFonts w:ascii="Calibri" w:eastAsia="Calibri" w:hAnsi="Calibri" w:cs="Calibri"/>
          <w:color w:val="000000" w:themeColor="text1"/>
        </w:rPr>
      </w:pPr>
      <w:r w:rsidRPr="5E4DB3C2">
        <w:rPr>
          <w:rFonts w:ascii="Calibri" w:eastAsia="Calibri" w:hAnsi="Calibri" w:cs="Calibri"/>
          <w:color w:val="000000" w:themeColor="text1"/>
        </w:rPr>
        <w:t xml:space="preserve">Figure </w:t>
      </w:r>
      <w:r w:rsidR="008A6DDD">
        <w:rPr>
          <w:rFonts w:ascii="Calibri" w:eastAsia="Calibri" w:hAnsi="Calibri" w:cs="Calibri"/>
          <w:color w:val="000000" w:themeColor="text1"/>
        </w:rPr>
        <w:t>3</w:t>
      </w:r>
      <w:r w:rsidR="00243B5B">
        <w:rPr>
          <w:rFonts w:ascii="Calibri" w:eastAsia="Calibri" w:hAnsi="Calibri" w:cs="Calibri"/>
          <w:color w:val="000000" w:themeColor="text1"/>
        </w:rPr>
        <w:t>5</w:t>
      </w:r>
      <w:r w:rsidR="008A6DDD">
        <w:rPr>
          <w:rFonts w:ascii="Calibri" w:eastAsia="Calibri" w:hAnsi="Calibri" w:cs="Calibri"/>
          <w:color w:val="000000" w:themeColor="text1"/>
        </w:rPr>
        <w:t xml:space="preserve"> </w:t>
      </w:r>
      <w:r w:rsidRPr="5E4DB3C2">
        <w:rPr>
          <w:rFonts w:ascii="Calibri" w:eastAsia="Calibri" w:hAnsi="Calibri" w:cs="Calibri"/>
          <w:color w:val="000000" w:themeColor="text1"/>
        </w:rPr>
        <w:t xml:space="preserve">below shows Malling PCN having consistently lower average age of death compared to the West Kent average, compared to other PCNs which appear to range </w:t>
      </w:r>
      <w:bookmarkStart w:id="58" w:name="_Int_liZ0BZ7a"/>
      <w:r w:rsidRPr="5E4DB3C2">
        <w:rPr>
          <w:rFonts w:ascii="Calibri" w:eastAsia="Calibri" w:hAnsi="Calibri" w:cs="Calibri"/>
          <w:color w:val="000000" w:themeColor="text1"/>
        </w:rPr>
        <w:t>not far from</w:t>
      </w:r>
      <w:bookmarkEnd w:id="58"/>
      <w:r w:rsidRPr="5E4DB3C2">
        <w:rPr>
          <w:rFonts w:ascii="Calibri" w:eastAsia="Calibri" w:hAnsi="Calibri" w:cs="Calibri"/>
          <w:color w:val="000000" w:themeColor="text1"/>
        </w:rPr>
        <w:t xml:space="preserve"> the West Kent average. Further investigation is required to explore if this difference is real or an artefact.</w:t>
      </w:r>
    </w:p>
    <w:p w14:paraId="73F20C4A" w14:textId="184F7873" w:rsidR="00766593" w:rsidRPr="00001761" w:rsidRDefault="00FD7A9F" w:rsidP="008A6DDD">
      <w:pPr>
        <w:rPr>
          <w:rFonts w:ascii="Calibri" w:eastAsia="Calibri" w:hAnsi="Calibri" w:cs="Calibri"/>
          <w:b/>
          <w:bCs/>
          <w:color w:val="000000" w:themeColor="text1"/>
        </w:rPr>
      </w:pPr>
      <w:r w:rsidRPr="00001761">
        <w:rPr>
          <w:rFonts w:ascii="Calibri" w:eastAsia="Calibri" w:hAnsi="Calibri" w:cs="Calibri"/>
          <w:b/>
          <w:bCs/>
          <w:color w:val="000000" w:themeColor="text1"/>
        </w:rPr>
        <w:t>Figure 3</w:t>
      </w:r>
      <w:r w:rsidR="00243B5B">
        <w:rPr>
          <w:rFonts w:ascii="Calibri" w:eastAsia="Calibri" w:hAnsi="Calibri" w:cs="Calibri"/>
          <w:b/>
          <w:bCs/>
          <w:color w:val="000000" w:themeColor="text1"/>
        </w:rPr>
        <w:t>5</w:t>
      </w:r>
      <w:r w:rsidRPr="00001761">
        <w:rPr>
          <w:rFonts w:ascii="Calibri" w:eastAsia="Calibri" w:hAnsi="Calibri" w:cs="Calibri"/>
          <w:b/>
          <w:bCs/>
          <w:color w:val="000000" w:themeColor="text1"/>
        </w:rPr>
        <w:t xml:space="preserve"> Average age of death for West Kent vs Malling PCN</w:t>
      </w:r>
      <w:r w:rsidR="008A6DDD" w:rsidRPr="00001761">
        <w:rPr>
          <w:rFonts w:ascii="Calibri" w:eastAsia="Calibri" w:hAnsi="Calibri" w:cs="Calibri"/>
          <w:b/>
          <w:bCs/>
          <w:color w:val="000000" w:themeColor="text1"/>
        </w:rPr>
        <w:t xml:space="preserve">. </w:t>
      </w:r>
      <w:r w:rsidR="00A82B2A" w:rsidRPr="00001761">
        <w:rPr>
          <w:rFonts w:ascii="Calibri" w:eastAsia="Times New Roman" w:hAnsi="Calibri" w:cs="Calibri"/>
        </w:rPr>
        <w:t>Source: OBH</w:t>
      </w:r>
    </w:p>
    <w:p w14:paraId="3569ED04" w14:textId="0C926DD2" w:rsidR="00766593" w:rsidRDefault="00B679B4" w:rsidP="008A6DDD">
      <w:pPr>
        <w:rPr>
          <w:rFonts w:ascii="Calibri" w:eastAsia="Calibri" w:hAnsi="Calibri" w:cs="Calibri"/>
          <w:b/>
          <w:bCs/>
          <w:color w:val="000000" w:themeColor="text1"/>
          <w:highlight w:val="yellow"/>
        </w:rPr>
      </w:pPr>
      <w:r>
        <w:rPr>
          <w:noProof/>
        </w:rPr>
        <w:drawing>
          <wp:inline distT="0" distB="0" distL="0" distR="0" wp14:anchorId="66CD710F" wp14:editId="3FD1183C">
            <wp:extent cx="5731510" cy="2941607"/>
            <wp:effectExtent l="0" t="0" r="2540" b="0"/>
            <wp:docPr id="32" name="Picture 32" descr="Line graph showing theAverage age of death for West Kent vs Malling PCN. Between April 2018 and April 2022 average age of death varies in both groups. Malling is consistently lower with average age around  76-78, and West Kent between 80 and 8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ine graph showing theAverage age of death for West Kent vs Malling PCN. Between April 2018 and April 2022 average age of death varies in both groups. Malling is consistently lower with average age around  76-78, and West Kent between 80 and 81. "/>
                    <pic:cNvPicPr/>
                  </pic:nvPicPr>
                  <pic:blipFill>
                    <a:blip r:embed="rId80"/>
                    <a:stretch>
                      <a:fillRect/>
                    </a:stretch>
                  </pic:blipFill>
                  <pic:spPr>
                    <a:xfrm>
                      <a:off x="0" y="0"/>
                      <a:ext cx="5735175" cy="2943488"/>
                    </a:xfrm>
                    <a:prstGeom prst="rect">
                      <a:avLst/>
                    </a:prstGeom>
                  </pic:spPr>
                </pic:pic>
              </a:graphicData>
            </a:graphic>
          </wp:inline>
        </w:drawing>
      </w:r>
    </w:p>
    <w:p w14:paraId="3D8A4016" w14:textId="77777777" w:rsidR="00C665D0" w:rsidRDefault="00C665D0" w:rsidP="00715A6E">
      <w:pPr>
        <w:pStyle w:val="Heading1"/>
      </w:pPr>
      <w:bookmarkStart w:id="59" w:name="_Toc128133817"/>
      <w:r w:rsidRPr="305ECFD1">
        <w:lastRenderedPageBreak/>
        <w:t>Behaviour Change</w:t>
      </w:r>
      <w:bookmarkEnd w:id="59"/>
    </w:p>
    <w:p w14:paraId="7BC957BE" w14:textId="77777777" w:rsidR="00C665D0" w:rsidRDefault="00C665D0" w:rsidP="00715A6E">
      <w:pPr>
        <w:pStyle w:val="Heading2"/>
      </w:pPr>
      <w:bookmarkStart w:id="60" w:name="_Toc128133818"/>
      <w:r w:rsidRPr="305ECFD1">
        <w:t>Smoking</w:t>
      </w:r>
      <w:bookmarkEnd w:id="60"/>
    </w:p>
    <w:p w14:paraId="0106ED1E" w14:textId="4DFC5630" w:rsidR="009F1A00" w:rsidRDefault="00C665D0" w:rsidP="00715A6E">
      <w:r w:rsidRPr="5E4DB3C2">
        <w:t>Smoking Prevalence in Kent is</w:t>
      </w:r>
      <w:r w:rsidR="00D75673">
        <w:t xml:space="preserve"> estimated to be</w:t>
      </w:r>
      <w:r w:rsidRPr="5E4DB3C2">
        <w:t xml:space="preserve"> 13.4%</w:t>
      </w:r>
      <w:r w:rsidR="00691F18">
        <w:t xml:space="preserve"> in 2020</w:t>
      </w:r>
      <w:r w:rsidRPr="5E4DB3C2">
        <w:t xml:space="preserve">, 1.3% above the national average (12.1. Although smoking rates have declined nationally and in Kent, smoking remains the main cause of preventable disease, attributable for a range of cancers and chronic health conditions such as lung cancer, chronic obstructive pulmonary disease (COPD), heart disease and stroke. Mortality rates due to smoking are 3 times higher in the most deprived areas than the affluent areas demonstrating that smoking is intrinsically linked to inequalities. </w:t>
      </w:r>
    </w:p>
    <w:p w14:paraId="7638065C" w14:textId="1D6684F2" w:rsidR="00C665D0" w:rsidRDefault="00C665D0" w:rsidP="00715A6E">
      <w:r w:rsidRPr="5E4DB3C2">
        <w:t xml:space="preserve">Effective tobacco control measures such as stop smoking services can reduce smoking prevalence in the population. The recent </w:t>
      </w:r>
      <w:hyperlink r:id="rId81">
        <w:r w:rsidRPr="5E4DB3C2">
          <w:rPr>
            <w:rStyle w:val="Hyperlink"/>
          </w:rPr>
          <w:t>Khan review</w:t>
        </w:r>
      </w:hyperlink>
      <w:r w:rsidRPr="5E4DB3C2">
        <w:t xml:space="preserve"> recommends further measures, particularly to prevent the take up of smoking among young people, which is intended to inform a new national tobacco control strategy later in 2022/23. </w:t>
      </w:r>
    </w:p>
    <w:p w14:paraId="5E58FED1" w14:textId="77777777" w:rsidR="00C665D0" w:rsidRDefault="00C665D0" w:rsidP="00715A6E">
      <w:r w:rsidRPr="5E4DB3C2">
        <w:rPr>
          <w:b/>
          <w:bCs/>
        </w:rPr>
        <w:t>Table 2 Smoking Prevalence estimates in the West Kent</w:t>
      </w:r>
      <w:r w:rsidRPr="5E4DB3C2">
        <w:t xml:space="preserve"> </w:t>
      </w:r>
      <w:r w:rsidRPr="5E4DB3C2">
        <w:rPr>
          <w:b/>
          <w:bCs/>
        </w:rPr>
        <w:t>area</w:t>
      </w:r>
    </w:p>
    <w:tbl>
      <w:tblPr>
        <w:tblW w:w="0" w:type="auto"/>
        <w:tblLook w:val="04A0" w:firstRow="1" w:lastRow="0" w:firstColumn="1" w:lastColumn="0" w:noHBand="0" w:noVBand="1"/>
      </w:tblPr>
      <w:tblGrid>
        <w:gridCol w:w="4621"/>
        <w:gridCol w:w="4621"/>
      </w:tblGrid>
      <w:tr w:rsidR="00C665D0" w14:paraId="73238F14" w14:textId="77777777" w:rsidTr="00485F0C">
        <w:tc>
          <w:tcPr>
            <w:tcW w:w="4621" w:type="dxa"/>
            <w:shd w:val="clear" w:color="auto" w:fill="2D7D82"/>
          </w:tcPr>
          <w:p w14:paraId="17347A76" w14:textId="77777777" w:rsidR="00C665D0" w:rsidRPr="00485F0C" w:rsidRDefault="00C665D0" w:rsidP="00715A6E">
            <w:pPr>
              <w:rPr>
                <w:b/>
                <w:bCs/>
                <w:color w:val="FFFFFF" w:themeColor="background1"/>
              </w:rPr>
            </w:pPr>
            <w:r w:rsidRPr="00485F0C">
              <w:rPr>
                <w:b/>
                <w:bCs/>
                <w:color w:val="FFFFFF" w:themeColor="background1"/>
              </w:rPr>
              <w:t>District</w:t>
            </w:r>
          </w:p>
        </w:tc>
        <w:tc>
          <w:tcPr>
            <w:tcW w:w="4621" w:type="dxa"/>
            <w:shd w:val="clear" w:color="auto" w:fill="2D7D82"/>
          </w:tcPr>
          <w:p w14:paraId="534AAEDF" w14:textId="77777777" w:rsidR="00C665D0" w:rsidRPr="00485F0C" w:rsidRDefault="00C665D0" w:rsidP="00715A6E">
            <w:pPr>
              <w:rPr>
                <w:b/>
                <w:bCs/>
                <w:color w:val="FFFFFF" w:themeColor="background1"/>
              </w:rPr>
            </w:pPr>
            <w:r w:rsidRPr="00485F0C">
              <w:rPr>
                <w:b/>
                <w:bCs/>
                <w:color w:val="FFFFFF" w:themeColor="background1"/>
              </w:rPr>
              <w:t>Estimated Prevalence</w:t>
            </w:r>
          </w:p>
        </w:tc>
      </w:tr>
      <w:tr w:rsidR="00C665D0" w14:paraId="4203889B" w14:textId="77777777" w:rsidTr="00485F0C">
        <w:tc>
          <w:tcPr>
            <w:tcW w:w="4621" w:type="dxa"/>
            <w:shd w:val="clear" w:color="auto" w:fill="DDF1F3"/>
          </w:tcPr>
          <w:p w14:paraId="3634EBF3" w14:textId="77777777" w:rsidR="00C665D0" w:rsidRDefault="00C665D0" w:rsidP="00715A6E">
            <w:r w:rsidRPr="305ECFD1">
              <w:t>Maidstone</w:t>
            </w:r>
          </w:p>
        </w:tc>
        <w:tc>
          <w:tcPr>
            <w:tcW w:w="4621" w:type="dxa"/>
            <w:shd w:val="clear" w:color="auto" w:fill="DDF1F3"/>
          </w:tcPr>
          <w:p w14:paraId="274CA285" w14:textId="77777777" w:rsidR="00C665D0" w:rsidRDefault="00C665D0" w:rsidP="00715A6E">
            <w:r w:rsidRPr="305ECFD1">
              <w:t>14.1%</w:t>
            </w:r>
          </w:p>
        </w:tc>
      </w:tr>
      <w:tr w:rsidR="00C665D0" w14:paraId="193FD13E" w14:textId="77777777" w:rsidTr="00485F0C">
        <w:tc>
          <w:tcPr>
            <w:tcW w:w="4621" w:type="dxa"/>
            <w:shd w:val="clear" w:color="auto" w:fill="DDF1F3"/>
          </w:tcPr>
          <w:p w14:paraId="1C9C764E" w14:textId="77777777" w:rsidR="00C665D0" w:rsidRDefault="00C665D0" w:rsidP="00715A6E">
            <w:r w:rsidRPr="305ECFD1">
              <w:t>Sevenoaks</w:t>
            </w:r>
          </w:p>
        </w:tc>
        <w:tc>
          <w:tcPr>
            <w:tcW w:w="4621" w:type="dxa"/>
            <w:shd w:val="clear" w:color="auto" w:fill="DDF1F3"/>
          </w:tcPr>
          <w:p w14:paraId="39735991" w14:textId="77777777" w:rsidR="00C665D0" w:rsidRDefault="00C665D0" w:rsidP="00715A6E">
            <w:r w:rsidRPr="305ECFD1">
              <w:t>11.3%</w:t>
            </w:r>
          </w:p>
        </w:tc>
      </w:tr>
      <w:tr w:rsidR="00C665D0" w14:paraId="3E12697B" w14:textId="77777777" w:rsidTr="00485F0C">
        <w:tc>
          <w:tcPr>
            <w:tcW w:w="4621" w:type="dxa"/>
            <w:shd w:val="clear" w:color="auto" w:fill="DDF1F3"/>
          </w:tcPr>
          <w:p w14:paraId="404AE887" w14:textId="77777777" w:rsidR="00C665D0" w:rsidRDefault="00C665D0" w:rsidP="00715A6E">
            <w:r w:rsidRPr="305ECFD1">
              <w:t>Tonbridge and Malling</w:t>
            </w:r>
          </w:p>
        </w:tc>
        <w:tc>
          <w:tcPr>
            <w:tcW w:w="4621" w:type="dxa"/>
            <w:shd w:val="clear" w:color="auto" w:fill="DDF1F3"/>
          </w:tcPr>
          <w:p w14:paraId="14C754F1" w14:textId="77777777" w:rsidR="00C665D0" w:rsidRDefault="00C665D0" w:rsidP="00715A6E">
            <w:r w:rsidRPr="305ECFD1">
              <w:t>10.3%</w:t>
            </w:r>
          </w:p>
        </w:tc>
      </w:tr>
      <w:tr w:rsidR="00C665D0" w14:paraId="4C1CE417" w14:textId="77777777" w:rsidTr="00485F0C">
        <w:tc>
          <w:tcPr>
            <w:tcW w:w="4621" w:type="dxa"/>
            <w:shd w:val="clear" w:color="auto" w:fill="DDF1F3"/>
          </w:tcPr>
          <w:p w14:paraId="63657BE8" w14:textId="77777777" w:rsidR="00C665D0" w:rsidRDefault="00C665D0" w:rsidP="00715A6E">
            <w:r w:rsidRPr="305ECFD1">
              <w:t>Tunbridge Wells</w:t>
            </w:r>
          </w:p>
        </w:tc>
        <w:tc>
          <w:tcPr>
            <w:tcW w:w="4621" w:type="dxa"/>
            <w:shd w:val="clear" w:color="auto" w:fill="DDF1F3"/>
          </w:tcPr>
          <w:p w14:paraId="474F6685" w14:textId="77777777" w:rsidR="00C665D0" w:rsidRDefault="00C665D0" w:rsidP="00715A6E">
            <w:r w:rsidRPr="305ECFD1">
              <w:t>11.3%</w:t>
            </w:r>
          </w:p>
        </w:tc>
      </w:tr>
    </w:tbl>
    <w:p w14:paraId="119529F2" w14:textId="637DDDEC" w:rsidR="00C665D0" w:rsidRDefault="00C665D0" w:rsidP="00715A6E">
      <w:r w:rsidRPr="5E4DB3C2">
        <w:t>Although smoking prevalence is higher than the Kent average in Maidstone, it is below average in the other 3 West Kent districts which typically have fewer smokers (Table 2). Figures 3</w:t>
      </w:r>
      <w:r w:rsidR="00243B5B">
        <w:t>6</w:t>
      </w:r>
      <w:r w:rsidRPr="5E4DB3C2">
        <w:t xml:space="preserve"> to </w:t>
      </w:r>
      <w:r w:rsidR="00243B5B">
        <w:t>38</w:t>
      </w:r>
      <w:r w:rsidRPr="5E4DB3C2">
        <w:t xml:space="preserve"> shows ABC, Maidstone Central and South Maidstone PCNs exhibiting higher percentage of current smokers</w:t>
      </w:r>
      <w:r w:rsidR="008A6DDD">
        <w:t>.</w:t>
      </w:r>
    </w:p>
    <w:p w14:paraId="2276F019" w14:textId="5AAD1200" w:rsidR="00C665D0" w:rsidRDefault="00C665D0" w:rsidP="00715A6E">
      <w:r w:rsidRPr="5E4DB3C2">
        <w:t xml:space="preserve">Smoking rates are higher among routine and manual workers and other deprived groups (Table 3). </w:t>
      </w:r>
      <w:bookmarkStart w:id="61" w:name="_Int_vOcetv0p"/>
      <w:r w:rsidRPr="5E4DB3C2">
        <w:t>Relatively affluent</w:t>
      </w:r>
      <w:bookmarkEnd w:id="61"/>
      <w:r w:rsidRPr="5E4DB3C2">
        <w:t xml:space="preserve"> districts may have high concentration of smokers in pockets of deprivation. Smoking estimates among routine and manual workers in West Kent range from 15.1% to 38.7% (2019 data).</w:t>
      </w:r>
    </w:p>
    <w:p w14:paraId="017E72ED" w14:textId="77777777" w:rsidR="009D74E9" w:rsidRDefault="009D74E9">
      <w:pPr>
        <w:spacing w:before="0" w:after="200"/>
        <w:rPr>
          <w:b/>
          <w:bCs/>
        </w:rPr>
      </w:pPr>
      <w:r>
        <w:rPr>
          <w:b/>
          <w:bCs/>
        </w:rPr>
        <w:br w:type="page"/>
      </w:r>
    </w:p>
    <w:p w14:paraId="47E5B7FD" w14:textId="7C55C549" w:rsidR="00C665D0" w:rsidRDefault="00C665D0" w:rsidP="00715A6E">
      <w:pPr>
        <w:rPr>
          <w:b/>
          <w:bCs/>
        </w:rPr>
      </w:pPr>
      <w:r w:rsidRPr="5E4DB3C2">
        <w:rPr>
          <w:b/>
          <w:bCs/>
        </w:rPr>
        <w:lastRenderedPageBreak/>
        <w:t>Table 3 Smoking Prevalence estimates for Routine &amp; Manual workers</w:t>
      </w:r>
    </w:p>
    <w:tbl>
      <w:tblPr>
        <w:tblW w:w="0" w:type="auto"/>
        <w:tblLook w:val="04A0" w:firstRow="1" w:lastRow="0" w:firstColumn="1" w:lastColumn="0" w:noHBand="0" w:noVBand="1"/>
      </w:tblPr>
      <w:tblGrid>
        <w:gridCol w:w="4621"/>
        <w:gridCol w:w="4621"/>
      </w:tblGrid>
      <w:tr w:rsidR="00C665D0" w14:paraId="03C7BA63" w14:textId="77777777" w:rsidTr="00687630">
        <w:tc>
          <w:tcPr>
            <w:tcW w:w="4621" w:type="dxa"/>
            <w:shd w:val="clear" w:color="auto" w:fill="2D7D82"/>
          </w:tcPr>
          <w:p w14:paraId="52D034A2" w14:textId="77777777" w:rsidR="00C665D0" w:rsidRPr="00687630" w:rsidRDefault="00C665D0" w:rsidP="00715A6E">
            <w:pPr>
              <w:rPr>
                <w:b/>
                <w:color w:val="FFFFFF" w:themeColor="background1"/>
              </w:rPr>
            </w:pPr>
            <w:r w:rsidRPr="00687630">
              <w:rPr>
                <w:b/>
                <w:color w:val="FFFFFF" w:themeColor="background1"/>
              </w:rPr>
              <w:t>District</w:t>
            </w:r>
          </w:p>
        </w:tc>
        <w:tc>
          <w:tcPr>
            <w:tcW w:w="4621" w:type="dxa"/>
            <w:shd w:val="clear" w:color="auto" w:fill="2D7D82"/>
          </w:tcPr>
          <w:p w14:paraId="18800EE2" w14:textId="77777777" w:rsidR="00C665D0" w:rsidRPr="00687630" w:rsidRDefault="00C665D0" w:rsidP="00715A6E">
            <w:pPr>
              <w:rPr>
                <w:b/>
                <w:color w:val="FFFFFF" w:themeColor="background1"/>
              </w:rPr>
            </w:pPr>
            <w:r w:rsidRPr="00687630">
              <w:rPr>
                <w:b/>
                <w:color w:val="FFFFFF" w:themeColor="background1"/>
              </w:rPr>
              <w:t>Estimated Prevalence (R&amp;M Workers)</w:t>
            </w:r>
          </w:p>
        </w:tc>
      </w:tr>
      <w:tr w:rsidR="00C665D0" w14:paraId="2ECDC463" w14:textId="77777777" w:rsidTr="00687630">
        <w:tc>
          <w:tcPr>
            <w:tcW w:w="4621" w:type="dxa"/>
            <w:shd w:val="clear" w:color="auto" w:fill="DDF1F3"/>
          </w:tcPr>
          <w:p w14:paraId="204629FB" w14:textId="77777777" w:rsidR="00C665D0" w:rsidRDefault="00C665D0" w:rsidP="00715A6E">
            <w:r w:rsidRPr="305ECFD1">
              <w:t>Maidstone</w:t>
            </w:r>
          </w:p>
        </w:tc>
        <w:tc>
          <w:tcPr>
            <w:tcW w:w="4621" w:type="dxa"/>
            <w:shd w:val="clear" w:color="auto" w:fill="DDF1F3"/>
          </w:tcPr>
          <w:p w14:paraId="3EC536A2" w14:textId="77777777" w:rsidR="00C665D0" w:rsidRDefault="00C665D0" w:rsidP="00715A6E">
            <w:r w:rsidRPr="305ECFD1">
              <w:t>22.8%</w:t>
            </w:r>
          </w:p>
        </w:tc>
      </w:tr>
      <w:tr w:rsidR="00C665D0" w14:paraId="6FB70C77" w14:textId="77777777" w:rsidTr="00687630">
        <w:tc>
          <w:tcPr>
            <w:tcW w:w="4621" w:type="dxa"/>
            <w:shd w:val="clear" w:color="auto" w:fill="DDF1F3"/>
          </w:tcPr>
          <w:p w14:paraId="26F3D425" w14:textId="77777777" w:rsidR="00C665D0" w:rsidRDefault="00C665D0" w:rsidP="00715A6E">
            <w:r w:rsidRPr="305ECFD1">
              <w:t>Sevenoaks</w:t>
            </w:r>
          </w:p>
        </w:tc>
        <w:tc>
          <w:tcPr>
            <w:tcW w:w="4621" w:type="dxa"/>
            <w:shd w:val="clear" w:color="auto" w:fill="DDF1F3"/>
          </w:tcPr>
          <w:p w14:paraId="731E6289" w14:textId="77777777" w:rsidR="00C665D0" w:rsidRDefault="00C665D0" w:rsidP="00715A6E">
            <w:r w:rsidRPr="305ECFD1">
              <w:t>15.1%</w:t>
            </w:r>
          </w:p>
        </w:tc>
      </w:tr>
      <w:tr w:rsidR="00C665D0" w14:paraId="10FB6325" w14:textId="77777777" w:rsidTr="00687630">
        <w:tc>
          <w:tcPr>
            <w:tcW w:w="4621" w:type="dxa"/>
            <w:shd w:val="clear" w:color="auto" w:fill="DDF1F3"/>
          </w:tcPr>
          <w:p w14:paraId="5C66243E" w14:textId="77777777" w:rsidR="00C665D0" w:rsidRDefault="00C665D0" w:rsidP="00715A6E">
            <w:r w:rsidRPr="305ECFD1">
              <w:t>Tonbridge and Malling</w:t>
            </w:r>
          </w:p>
        </w:tc>
        <w:tc>
          <w:tcPr>
            <w:tcW w:w="4621" w:type="dxa"/>
            <w:shd w:val="clear" w:color="auto" w:fill="DDF1F3"/>
          </w:tcPr>
          <w:p w14:paraId="558957D5" w14:textId="77777777" w:rsidR="00C665D0" w:rsidRDefault="00C665D0" w:rsidP="00715A6E">
            <w:r w:rsidRPr="305ECFD1">
              <w:t>15.2%</w:t>
            </w:r>
          </w:p>
        </w:tc>
      </w:tr>
      <w:tr w:rsidR="00C665D0" w14:paraId="7D0A1499" w14:textId="77777777" w:rsidTr="00687630">
        <w:tc>
          <w:tcPr>
            <w:tcW w:w="4621" w:type="dxa"/>
            <w:shd w:val="clear" w:color="auto" w:fill="DDF1F3"/>
          </w:tcPr>
          <w:p w14:paraId="171730FA" w14:textId="77777777" w:rsidR="00C665D0" w:rsidRDefault="00C665D0" w:rsidP="00715A6E">
            <w:r w:rsidRPr="305ECFD1">
              <w:t>Tunbridge Wells</w:t>
            </w:r>
          </w:p>
        </w:tc>
        <w:tc>
          <w:tcPr>
            <w:tcW w:w="4621" w:type="dxa"/>
            <w:shd w:val="clear" w:color="auto" w:fill="DDF1F3"/>
          </w:tcPr>
          <w:p w14:paraId="6FBE9293" w14:textId="77777777" w:rsidR="00C665D0" w:rsidRDefault="00C665D0" w:rsidP="00715A6E">
            <w:r w:rsidRPr="305ECFD1">
              <w:t>38.7%</w:t>
            </w:r>
          </w:p>
        </w:tc>
      </w:tr>
    </w:tbl>
    <w:p w14:paraId="3CBEE9DA" w14:textId="47221BD8" w:rsidR="009F5E84" w:rsidRDefault="00C665D0" w:rsidP="002B3142">
      <w:pPr>
        <w:rPr>
          <w:b/>
          <w:bCs/>
        </w:rPr>
      </w:pPr>
      <w:r>
        <w:t xml:space="preserve">There is also an emerging issue of young people taking up vaping.  Whilst a national issue, schools (including those in Kent) are becoming increasingly concerned about.  The number of </w:t>
      </w:r>
      <w:bookmarkStart w:id="62" w:name="_Int_5OAtrxPG"/>
      <w:r>
        <w:t>15 year olds</w:t>
      </w:r>
      <w:bookmarkEnd w:id="62"/>
      <w:r>
        <w:t xml:space="preserve"> and above that are regularly vaping has increased (4-10% among </w:t>
      </w:r>
      <w:bookmarkStart w:id="63" w:name="_Int_rECAtxni"/>
      <w:r>
        <w:t>15 year olds</w:t>
      </w:r>
      <w:bookmarkEnd w:id="63"/>
      <w:r>
        <w:t xml:space="preserve">) and the minimum age of sale for nicotine containing vapes is 18, so more public awareness is needed and regulation to prevent sales to under </w:t>
      </w:r>
      <w:bookmarkStart w:id="64" w:name="_Int_QiIwJk21"/>
      <w:r>
        <w:t>18 year olds</w:t>
      </w:r>
      <w:bookmarkEnd w:id="64"/>
      <w:r>
        <w:t>. Further targeted stop smoking support is needed for those in deprived communities, pregnant women who smoke and people with mental health conditions. </w:t>
      </w:r>
      <w:r w:rsidR="009F5E84">
        <w:rPr>
          <w:b/>
          <w:bCs/>
        </w:rPr>
        <w:br w:type="page"/>
      </w:r>
    </w:p>
    <w:p w14:paraId="5E177D7F" w14:textId="0D802B93" w:rsidR="00C665D0" w:rsidRDefault="00C665D0" w:rsidP="00715A6E">
      <w:pPr>
        <w:rPr>
          <w:b/>
          <w:bCs/>
        </w:rPr>
      </w:pPr>
      <w:r w:rsidRPr="5E4DB3C2">
        <w:rPr>
          <w:b/>
          <w:bCs/>
        </w:rPr>
        <w:lastRenderedPageBreak/>
        <w:t>Figure 3</w:t>
      </w:r>
      <w:r w:rsidR="00243B5B">
        <w:rPr>
          <w:b/>
          <w:bCs/>
        </w:rPr>
        <w:t xml:space="preserve">6 </w:t>
      </w:r>
      <w:r w:rsidR="009F5E84">
        <w:rPr>
          <w:b/>
          <w:bCs/>
        </w:rPr>
        <w:t>Percentage</w:t>
      </w:r>
      <w:r w:rsidRPr="5E4DB3C2">
        <w:rPr>
          <w:b/>
          <w:bCs/>
        </w:rPr>
        <w:t xml:space="preserve"> of current smokers amongst people who are </w:t>
      </w:r>
      <w:bookmarkStart w:id="65" w:name="_Int_RamNlUJw"/>
      <w:r w:rsidRPr="5E4DB3C2">
        <w:rPr>
          <w:b/>
          <w:bCs/>
        </w:rPr>
        <w:t>healthy / generally well</w:t>
      </w:r>
      <w:bookmarkEnd w:id="65"/>
      <w:r w:rsidRPr="5E4DB3C2">
        <w:rPr>
          <w:b/>
          <w:bCs/>
        </w:rPr>
        <w:t>, aged 18 and over for West Kent vs ABC PCN</w:t>
      </w:r>
      <w:r w:rsidR="009F5E84">
        <w:rPr>
          <w:b/>
          <w:bCs/>
        </w:rPr>
        <w:t xml:space="preserve">. </w:t>
      </w:r>
      <w:r w:rsidR="009F5E84" w:rsidRPr="009F5E84">
        <w:t>Source OBH</w:t>
      </w:r>
    </w:p>
    <w:p w14:paraId="43E8D0D6" w14:textId="662BD56E" w:rsidR="00C665D0" w:rsidRPr="009F5E84" w:rsidRDefault="00C665D0" w:rsidP="00715A6E">
      <w:pPr>
        <w:rPr>
          <w:rFonts w:ascii="Calibri" w:eastAsia="Calibri" w:hAnsi="Calibri" w:cs="Calibri"/>
          <w:color w:val="000000" w:themeColor="text1"/>
        </w:rPr>
      </w:pPr>
      <w:r>
        <w:rPr>
          <w:noProof/>
        </w:rPr>
        <w:drawing>
          <wp:inline distT="0" distB="0" distL="0" distR="0" wp14:anchorId="068347EB" wp14:editId="685F6242">
            <wp:extent cx="6007893" cy="3398808"/>
            <wp:effectExtent l="0" t="0" r="0" b="0"/>
            <wp:docPr id="1023162389" name="Picture 1023162389" descr="Line graph showing the Percentage of current smokers amongst people who are healthy in West Kent and ABC PCN. ABC sits around 17% and West Kent sits lower at around 15%.  Between 2017 and 2022 the percentage in West Kent falls sligh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62389" name="Picture 1023162389" descr="Line graph showing the Percentage of current smokers amongst people who are healthy in West Kent and ABC PCN. ABC sits around 17% and West Kent sits lower at around 15%.  Between 2017 and 2022 the percentage in West Kent falls slightly. "/>
                    <pic:cNvPicPr/>
                  </pic:nvPicPr>
                  <pic:blipFill>
                    <a:blip r:embed="rId82">
                      <a:extLst>
                        <a:ext uri="{28A0092B-C50C-407E-A947-70E740481C1C}">
                          <a14:useLocalDpi xmlns:a14="http://schemas.microsoft.com/office/drawing/2010/main" val="0"/>
                        </a:ext>
                      </a:extLst>
                    </a:blip>
                    <a:stretch>
                      <a:fillRect/>
                    </a:stretch>
                  </pic:blipFill>
                  <pic:spPr>
                    <a:xfrm>
                      <a:off x="0" y="0"/>
                      <a:ext cx="6013066" cy="3401734"/>
                    </a:xfrm>
                    <a:prstGeom prst="rect">
                      <a:avLst/>
                    </a:prstGeom>
                  </pic:spPr>
                </pic:pic>
              </a:graphicData>
            </a:graphic>
          </wp:inline>
        </w:drawing>
      </w:r>
    </w:p>
    <w:p w14:paraId="55A07C1B" w14:textId="6ABAD613" w:rsidR="00C665D0" w:rsidRPr="009F5E84" w:rsidRDefault="00C665D0" w:rsidP="00715A6E">
      <w:r w:rsidRPr="5E4DB3C2">
        <w:rPr>
          <w:rFonts w:ascii="Calibri" w:eastAsia="Calibri" w:hAnsi="Calibri" w:cs="Calibri"/>
          <w:b/>
          <w:bCs/>
          <w:color w:val="000000" w:themeColor="text1"/>
        </w:rPr>
        <w:t xml:space="preserve">Figure </w:t>
      </w:r>
      <w:r>
        <w:rPr>
          <w:rFonts w:ascii="Calibri" w:eastAsia="Calibri" w:hAnsi="Calibri" w:cs="Calibri"/>
          <w:b/>
          <w:bCs/>
          <w:color w:val="000000" w:themeColor="text1"/>
        </w:rPr>
        <w:t>3</w:t>
      </w:r>
      <w:r w:rsidR="00243B5B">
        <w:rPr>
          <w:rFonts w:ascii="Calibri" w:eastAsia="Calibri" w:hAnsi="Calibri" w:cs="Calibri"/>
          <w:b/>
          <w:bCs/>
          <w:color w:val="000000" w:themeColor="text1"/>
        </w:rPr>
        <w:t>7</w:t>
      </w:r>
      <w:r w:rsidRPr="5E4DB3C2">
        <w:rPr>
          <w:rFonts w:ascii="Calibri" w:eastAsia="Calibri" w:hAnsi="Calibri" w:cs="Calibri"/>
          <w:b/>
          <w:bCs/>
          <w:color w:val="000000" w:themeColor="text1"/>
        </w:rPr>
        <w:t xml:space="preserve"> </w:t>
      </w:r>
      <w:r w:rsidR="009F5E84">
        <w:rPr>
          <w:rFonts w:ascii="Calibri" w:eastAsia="Calibri" w:hAnsi="Calibri" w:cs="Calibri"/>
          <w:b/>
          <w:bCs/>
          <w:color w:val="000000" w:themeColor="text1"/>
        </w:rPr>
        <w:t>Percentage</w:t>
      </w:r>
      <w:r w:rsidRPr="5E4DB3C2">
        <w:rPr>
          <w:b/>
          <w:bCs/>
        </w:rPr>
        <w:t xml:space="preserve"> of current smokers amongst people who are </w:t>
      </w:r>
      <w:bookmarkStart w:id="66" w:name="_Int_C2hwrPY0"/>
      <w:r w:rsidRPr="5E4DB3C2">
        <w:rPr>
          <w:b/>
          <w:bCs/>
        </w:rPr>
        <w:t>healthy / generally well</w:t>
      </w:r>
      <w:bookmarkEnd w:id="66"/>
      <w:r w:rsidRPr="5E4DB3C2">
        <w:rPr>
          <w:b/>
          <w:bCs/>
        </w:rPr>
        <w:t>, aged 18 and over for West Kent vs Maidstone Central PCN</w:t>
      </w:r>
      <w:r w:rsidR="009F5E84">
        <w:rPr>
          <w:b/>
          <w:bCs/>
        </w:rPr>
        <w:t xml:space="preserve">. </w:t>
      </w:r>
      <w:r w:rsidR="009F5E84">
        <w:t>Source OBH</w:t>
      </w:r>
    </w:p>
    <w:p w14:paraId="51C13EEE" w14:textId="5BEE701B" w:rsidR="00C665D0" w:rsidRPr="009F5E84" w:rsidRDefault="00C665D0" w:rsidP="00715A6E">
      <w:pPr>
        <w:rPr>
          <w:rFonts w:ascii="Calibri" w:eastAsia="Calibri" w:hAnsi="Calibri" w:cs="Calibri"/>
          <w:color w:val="000000" w:themeColor="text1"/>
        </w:rPr>
      </w:pPr>
      <w:r>
        <w:rPr>
          <w:noProof/>
        </w:rPr>
        <w:drawing>
          <wp:inline distT="0" distB="0" distL="0" distR="0" wp14:anchorId="19451DB7" wp14:editId="2DCE133F">
            <wp:extent cx="6028459" cy="3450566"/>
            <wp:effectExtent l="0" t="0" r="0" b="0"/>
            <wp:docPr id="1662355058" name="Picture 1662355058" descr="Line graph showing the Percentage of current smokers amongst people who are healthy in West Kent and Maidstone Central PCN. Maidstone Central sits around 18% and West Kent sits lower at around 15%.  Between 2017 and 2022 the percentage in West Kent falls sligh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55058" name="Picture 1662355058" descr="Line graph showing the Percentage of current smokers amongst people who are healthy in West Kent and Maidstone Central PCN. Maidstone Central sits around 18% and West Kent sits lower at around 15%.  Between 2017 and 2022 the percentage in West Kent falls slightly. "/>
                    <pic:cNvPicPr/>
                  </pic:nvPicPr>
                  <pic:blipFill>
                    <a:blip r:embed="rId83">
                      <a:extLst>
                        <a:ext uri="{28A0092B-C50C-407E-A947-70E740481C1C}">
                          <a14:useLocalDpi xmlns:a14="http://schemas.microsoft.com/office/drawing/2010/main" val="0"/>
                        </a:ext>
                      </a:extLst>
                    </a:blip>
                    <a:stretch>
                      <a:fillRect/>
                    </a:stretch>
                  </pic:blipFill>
                  <pic:spPr>
                    <a:xfrm>
                      <a:off x="0" y="0"/>
                      <a:ext cx="6037283" cy="3455617"/>
                    </a:xfrm>
                    <a:prstGeom prst="rect">
                      <a:avLst/>
                    </a:prstGeom>
                  </pic:spPr>
                </pic:pic>
              </a:graphicData>
            </a:graphic>
          </wp:inline>
        </w:drawing>
      </w:r>
    </w:p>
    <w:p w14:paraId="36427853" w14:textId="77777777" w:rsidR="009F5E84" w:rsidRDefault="009F5E84">
      <w:pPr>
        <w:spacing w:before="0" w:after="200"/>
        <w:rPr>
          <w:b/>
          <w:bCs/>
        </w:rPr>
      </w:pPr>
      <w:r>
        <w:rPr>
          <w:b/>
          <w:bCs/>
        </w:rPr>
        <w:br w:type="page"/>
      </w:r>
    </w:p>
    <w:p w14:paraId="7D9809EC" w14:textId="2EB06FE4" w:rsidR="00C665D0" w:rsidRPr="005A7955" w:rsidRDefault="00C665D0" w:rsidP="00715A6E">
      <w:r w:rsidRPr="5E4DB3C2">
        <w:rPr>
          <w:b/>
          <w:bCs/>
        </w:rPr>
        <w:lastRenderedPageBreak/>
        <w:t xml:space="preserve">Figure </w:t>
      </w:r>
      <w:r>
        <w:rPr>
          <w:b/>
          <w:bCs/>
        </w:rPr>
        <w:t>3</w:t>
      </w:r>
      <w:r w:rsidR="00243B5B">
        <w:rPr>
          <w:b/>
          <w:bCs/>
        </w:rPr>
        <w:t>8</w:t>
      </w:r>
      <w:r w:rsidRPr="5E4DB3C2">
        <w:rPr>
          <w:b/>
          <w:bCs/>
        </w:rPr>
        <w:t xml:space="preserve"> </w:t>
      </w:r>
      <w:r w:rsidR="005A7955">
        <w:rPr>
          <w:b/>
          <w:bCs/>
        </w:rPr>
        <w:t>Percentage</w:t>
      </w:r>
      <w:r w:rsidRPr="5E4DB3C2">
        <w:rPr>
          <w:b/>
          <w:bCs/>
        </w:rPr>
        <w:t xml:space="preserve"> of current smokers amongst people who are </w:t>
      </w:r>
      <w:bookmarkStart w:id="67" w:name="_Int_F59M3kv7"/>
      <w:r w:rsidRPr="5E4DB3C2">
        <w:rPr>
          <w:b/>
          <w:bCs/>
        </w:rPr>
        <w:t>healthy / generally well</w:t>
      </w:r>
      <w:bookmarkEnd w:id="67"/>
      <w:r w:rsidRPr="5E4DB3C2">
        <w:rPr>
          <w:b/>
          <w:bCs/>
        </w:rPr>
        <w:t>, aged 18 and over for West Kent vs South Maidstone PCN</w:t>
      </w:r>
      <w:r w:rsidR="005A7955">
        <w:rPr>
          <w:b/>
          <w:bCs/>
        </w:rPr>
        <w:t xml:space="preserve">. </w:t>
      </w:r>
      <w:r w:rsidR="005A7955">
        <w:t>Source: OBH</w:t>
      </w:r>
    </w:p>
    <w:p w14:paraId="4CC19E4A" w14:textId="77777777" w:rsidR="001420D7" w:rsidRDefault="00C665D0" w:rsidP="00715A6E">
      <w:pPr>
        <w:rPr>
          <w:rFonts w:ascii="Calibri" w:eastAsia="Calibri" w:hAnsi="Calibri" w:cs="Calibri"/>
          <w:color w:val="000000" w:themeColor="text1"/>
        </w:rPr>
      </w:pPr>
      <w:r>
        <w:rPr>
          <w:noProof/>
        </w:rPr>
        <w:drawing>
          <wp:inline distT="0" distB="0" distL="0" distR="0" wp14:anchorId="6EE606D8" wp14:editId="52FEAAC3">
            <wp:extent cx="5724524" cy="3295650"/>
            <wp:effectExtent l="0" t="0" r="0" b="0"/>
            <wp:docPr id="1634387933" name="Picture 1634387933" descr="Line graph showing the Percentage of current smokers amongst people who are healthy in West Kent and Maidstone South PCN. Maidstone South sits around 17% and West Kent sits lower at around 15%.  Between 2017 and 2022 the percentage in West Kent falls sligh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87933" name="Picture 1634387933" descr="Line graph showing the Percentage of current smokers amongst people who are healthy in West Kent and Maidstone South PCN. Maidstone South sits around 17% and West Kent sits lower at around 15%.  Between 2017 and 2022 the percentage in West Kent falls slightly. "/>
                    <pic:cNvPicPr/>
                  </pic:nvPicPr>
                  <pic:blipFill>
                    <a:blip r:embed="rId84">
                      <a:extLst>
                        <a:ext uri="{28A0092B-C50C-407E-A947-70E740481C1C}">
                          <a14:useLocalDpi xmlns:a14="http://schemas.microsoft.com/office/drawing/2010/main" val="0"/>
                        </a:ext>
                      </a:extLst>
                    </a:blip>
                    <a:stretch>
                      <a:fillRect/>
                    </a:stretch>
                  </pic:blipFill>
                  <pic:spPr>
                    <a:xfrm>
                      <a:off x="0" y="0"/>
                      <a:ext cx="5724524" cy="3295650"/>
                    </a:xfrm>
                    <a:prstGeom prst="rect">
                      <a:avLst/>
                    </a:prstGeom>
                  </pic:spPr>
                </pic:pic>
              </a:graphicData>
            </a:graphic>
          </wp:inline>
        </w:drawing>
      </w:r>
    </w:p>
    <w:p w14:paraId="044B5078" w14:textId="77777777" w:rsidR="001420D7" w:rsidRDefault="001420D7">
      <w:pPr>
        <w:spacing w:before="0" w:after="200"/>
        <w:rPr>
          <w:rFonts w:ascii="Calibri" w:eastAsia="Calibri" w:hAnsi="Calibri" w:cs="Calibri"/>
          <w:color w:val="000000" w:themeColor="text1"/>
        </w:rPr>
      </w:pPr>
      <w:r>
        <w:rPr>
          <w:rFonts w:ascii="Calibri" w:eastAsia="Calibri" w:hAnsi="Calibri" w:cs="Calibri"/>
          <w:color w:val="000000" w:themeColor="text1"/>
        </w:rPr>
        <w:br w:type="page"/>
      </w:r>
    </w:p>
    <w:p w14:paraId="71510BF5" w14:textId="77777777" w:rsidR="00C665D0" w:rsidRDefault="00C665D0" w:rsidP="00715A6E">
      <w:pPr>
        <w:pStyle w:val="Heading2"/>
      </w:pPr>
      <w:bookmarkStart w:id="68" w:name="_Toc128133819"/>
      <w:r w:rsidRPr="5E4DB3C2">
        <w:lastRenderedPageBreak/>
        <w:t>Alcohol</w:t>
      </w:r>
      <w:bookmarkEnd w:id="68"/>
    </w:p>
    <w:p w14:paraId="2E5F3A04" w14:textId="4F6AC45F" w:rsidR="00715A6E" w:rsidRDefault="00C665D0" w:rsidP="00715A6E">
      <w:pPr>
        <w:spacing w:after="160"/>
        <w:rPr>
          <w:rFonts w:ascii="Calibri" w:eastAsia="Calibri" w:hAnsi="Calibri" w:cs="Calibri"/>
          <w:color w:val="000000" w:themeColor="text1"/>
        </w:rPr>
      </w:pPr>
      <w:r>
        <w:t xml:space="preserve">After smoking and obesity, alcohol is the third biggest potentially modifiable risk factor for mortality and morbidity in the </w:t>
      </w:r>
      <w:bookmarkStart w:id="69" w:name="_Int_ntMFzX9c"/>
      <w:r>
        <w:t>UK</w:t>
      </w:r>
      <w:bookmarkEnd w:id="69"/>
      <w:r>
        <w:t xml:space="preserve">. In 2019/20 there were an estimated 980,000 admissions where the primary reason for admission or a secondary diagnosis was attributable to alcohol. In the same year, approximately 5.7% of all hospital admissions were </w:t>
      </w:r>
      <w:r w:rsidR="00796AF9">
        <w:t>alcohol related</w:t>
      </w:r>
      <w:r>
        <w:t>.</w:t>
      </w:r>
      <w:r>
        <w:br/>
      </w:r>
      <w:r w:rsidRPr="15853314">
        <w:rPr>
          <w:rFonts w:ascii="Calibri" w:eastAsia="Calibri" w:hAnsi="Calibri" w:cs="Calibri"/>
          <w:color w:val="000000" w:themeColor="text1"/>
        </w:rPr>
        <w:t xml:space="preserve">The rate of alcohol specific admission in Maidstone and Tunbridge Wells is </w:t>
      </w:r>
      <w:bookmarkStart w:id="70" w:name="_Int_ERxbcopy"/>
      <w:r w:rsidRPr="15853314">
        <w:rPr>
          <w:rFonts w:ascii="Calibri" w:eastAsia="Calibri" w:hAnsi="Calibri" w:cs="Calibri"/>
          <w:color w:val="000000" w:themeColor="text1"/>
        </w:rPr>
        <w:t>similar to</w:t>
      </w:r>
      <w:bookmarkEnd w:id="70"/>
      <w:r w:rsidRPr="15853314">
        <w:rPr>
          <w:rFonts w:ascii="Calibri" w:eastAsia="Calibri" w:hAnsi="Calibri" w:cs="Calibri"/>
          <w:color w:val="000000" w:themeColor="text1"/>
        </w:rPr>
        <w:t xml:space="preserve"> the rate in Kent, but it is statistically significantly lower in Sevenoaks, and Tonbridge and Malling. In recent years, the hospital admissions due to alcohol specific conditions has not varied in West Kent districts. All are below the national rate which is also shown in the figure below.</w:t>
      </w:r>
    </w:p>
    <w:p w14:paraId="5F2EAB16" w14:textId="25E3951D" w:rsidR="00C665D0" w:rsidRPr="005A7955" w:rsidRDefault="00C665D0" w:rsidP="005A7955">
      <w:pPr>
        <w:rPr>
          <w:b/>
          <w:bCs/>
        </w:rPr>
      </w:pPr>
      <w:r w:rsidRPr="005A7955">
        <w:rPr>
          <w:b/>
          <w:bCs/>
        </w:rPr>
        <w:t xml:space="preserve">Figure </w:t>
      </w:r>
      <w:r w:rsidR="00243B5B">
        <w:rPr>
          <w:b/>
          <w:bCs/>
        </w:rPr>
        <w:t>39</w:t>
      </w:r>
      <w:r w:rsidR="005A7955" w:rsidRPr="005A7955">
        <w:rPr>
          <w:b/>
          <w:bCs/>
        </w:rPr>
        <w:t xml:space="preserve"> Alcohol-specific hospital admissions for West Kent districts, 2020/21. </w:t>
      </w:r>
    </w:p>
    <w:p w14:paraId="33969237" w14:textId="2FB99033" w:rsidR="00687630" w:rsidRDefault="00C665D0" w:rsidP="00715A6E">
      <w:r>
        <w:rPr>
          <w:noProof/>
        </w:rPr>
        <w:drawing>
          <wp:inline distT="0" distB="0" distL="0" distR="0" wp14:anchorId="149BBFE0" wp14:editId="200BDD24">
            <wp:extent cx="5467350" cy="3007042"/>
            <wp:effectExtent l="0" t="0" r="0" b="3175"/>
            <wp:docPr id="1437343954" name="Picture 1437343954" descr="Column chart showing alcohol-specific hospital admissions in West Kent districts in 2020/21. The rate of alcohol specific admission in Maidstone and Tunbridge Wells is similar to the rate in Kent, but it is statistically significantly lower in Sevenoaks, and Tonbridge and Mal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43954" name="Picture 1437343954" descr="Column chart showing alcohol-specific hospital admissions in West Kent districts in 2020/21. The rate of alcohol specific admission in Maidstone and Tunbridge Wells is similar to the rate in Kent, but it is statistically significantly lower in Sevenoaks, and Tonbridge and Malling. "/>
                    <pic:cNvPicPr/>
                  </pic:nvPicPr>
                  <pic:blipFill>
                    <a:blip r:embed="rId85">
                      <a:extLst>
                        <a:ext uri="{28A0092B-C50C-407E-A947-70E740481C1C}">
                          <a14:useLocalDpi xmlns:a14="http://schemas.microsoft.com/office/drawing/2010/main" val="0"/>
                        </a:ext>
                      </a:extLst>
                    </a:blip>
                    <a:stretch>
                      <a:fillRect/>
                    </a:stretch>
                  </pic:blipFill>
                  <pic:spPr>
                    <a:xfrm>
                      <a:off x="0" y="0"/>
                      <a:ext cx="5473600" cy="3010479"/>
                    </a:xfrm>
                    <a:prstGeom prst="rect">
                      <a:avLst/>
                    </a:prstGeom>
                  </pic:spPr>
                </pic:pic>
              </a:graphicData>
            </a:graphic>
          </wp:inline>
        </w:drawing>
      </w:r>
    </w:p>
    <w:p w14:paraId="39309A48" w14:textId="46E0109C" w:rsidR="00C665D0" w:rsidRDefault="00C665D0" w:rsidP="00715A6E">
      <w:pPr>
        <w:pStyle w:val="NoSpacing"/>
        <w:rPr>
          <w:rFonts w:ascii="Calibri Light" w:eastAsia="Calibri Light" w:hAnsi="Calibri Light" w:cs="Calibri Light"/>
          <w:b/>
          <w:bCs/>
          <w:color w:val="000000" w:themeColor="text1"/>
        </w:rPr>
      </w:pPr>
      <w:r w:rsidRPr="005A7955">
        <w:rPr>
          <w:b/>
          <w:bCs/>
        </w:rPr>
        <w:lastRenderedPageBreak/>
        <w:t>Figure 4</w:t>
      </w:r>
      <w:r w:rsidR="00243B5B">
        <w:rPr>
          <w:b/>
          <w:bCs/>
        </w:rPr>
        <w:t>0</w:t>
      </w:r>
      <w:r w:rsidR="005A7955" w:rsidRPr="005A7955">
        <w:rPr>
          <w:b/>
          <w:bCs/>
        </w:rPr>
        <w:t xml:space="preserve"> Alcohol-specific hospital admissions for West Kent districts,</w:t>
      </w:r>
      <w:r w:rsidR="005A7955">
        <w:rPr>
          <w:b/>
          <w:bCs/>
        </w:rPr>
        <w:t xml:space="preserve"> 2014/15 to</w:t>
      </w:r>
      <w:r w:rsidR="005A7955" w:rsidRPr="005A7955">
        <w:rPr>
          <w:b/>
          <w:bCs/>
        </w:rPr>
        <w:t xml:space="preserve"> 2020/21</w:t>
      </w:r>
      <w:r>
        <w:rPr>
          <w:noProof/>
        </w:rPr>
        <w:drawing>
          <wp:inline distT="0" distB="0" distL="0" distR="0" wp14:anchorId="0371929B" wp14:editId="622FF214">
            <wp:extent cx="5467350" cy="3070127"/>
            <wp:effectExtent l="0" t="0" r="0" b="0"/>
            <wp:docPr id="1704452133" name="Picture 1704452133" descr="Line chart showing Alcohol-specific hospital admissions for West Kent districts, 2014/15 to 2020/21. Maidstone and Tunbridge Wells is similar to the rate in Kent, but it is  lower in Sevenoaks, and Tonbridge and Ma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52133" name="Picture 1704452133" descr="Line chart showing Alcohol-specific hospital admissions for West Kent districts, 2014/15 to 2020/21. Maidstone and Tunbridge Wells is similar to the rate in Kent, but it is  lower in Sevenoaks, and Tonbridge and Malling"/>
                    <pic:cNvPicPr/>
                  </pic:nvPicPr>
                  <pic:blipFill>
                    <a:blip r:embed="rId86">
                      <a:extLst>
                        <a:ext uri="{28A0092B-C50C-407E-A947-70E740481C1C}">
                          <a14:useLocalDpi xmlns:a14="http://schemas.microsoft.com/office/drawing/2010/main" val="0"/>
                        </a:ext>
                      </a:extLst>
                    </a:blip>
                    <a:stretch>
                      <a:fillRect/>
                    </a:stretch>
                  </pic:blipFill>
                  <pic:spPr>
                    <a:xfrm>
                      <a:off x="0" y="0"/>
                      <a:ext cx="5472287" cy="3072899"/>
                    </a:xfrm>
                    <a:prstGeom prst="rect">
                      <a:avLst/>
                    </a:prstGeom>
                  </pic:spPr>
                </pic:pic>
              </a:graphicData>
            </a:graphic>
          </wp:inline>
        </w:drawing>
      </w:r>
    </w:p>
    <w:p w14:paraId="222CBC73" w14:textId="20C74497" w:rsidR="00C665D0" w:rsidRPr="005A7955" w:rsidRDefault="00C665D0" w:rsidP="005A7955">
      <w:pPr>
        <w:rPr>
          <w:rFonts w:ascii="Calibri" w:eastAsia="Calibri" w:hAnsi="Calibri" w:cs="Calibri"/>
        </w:rPr>
      </w:pPr>
      <w:r>
        <w:t xml:space="preserve"> </w:t>
      </w:r>
      <w:r>
        <w:br/>
      </w:r>
      <w:r w:rsidRPr="00704767">
        <w:t xml:space="preserve">Due to relative infrequency of accurate recording of alcohol intake in input datasets, this is currently composed of a measure of alcohol specific admissions, rather than excessive consumption directly. Although the two may be </w:t>
      </w:r>
      <w:bookmarkStart w:id="71" w:name="_Int_jnHhNH1A"/>
      <w:r w:rsidRPr="00704767">
        <w:t>relatively closely</w:t>
      </w:r>
      <w:bookmarkEnd w:id="71"/>
      <w:r w:rsidRPr="00704767">
        <w:t xml:space="preserve"> related, this measure will only identify care activity associated with the most serious excessive consumption.</w:t>
      </w:r>
      <w:r w:rsidRPr="00704767">
        <w:br/>
      </w:r>
      <w:r w:rsidRPr="00704767">
        <w:rPr>
          <w:rFonts w:ascii="Calibri" w:eastAsia="Calibri" w:hAnsi="Calibri" w:cs="Calibri"/>
          <w:color w:val="000000" w:themeColor="text1"/>
        </w:rPr>
        <w:t>The rate of alcohol related admission per 100,000 is lower in Kent (1</w:t>
      </w:r>
      <w:r w:rsidR="00E45BD4">
        <w:rPr>
          <w:rFonts w:ascii="Calibri" w:eastAsia="Calibri" w:hAnsi="Calibri" w:cs="Calibri"/>
          <w:color w:val="000000" w:themeColor="text1"/>
        </w:rPr>
        <w:t>,</w:t>
      </w:r>
      <w:r w:rsidRPr="00704767">
        <w:rPr>
          <w:rFonts w:ascii="Calibri" w:eastAsia="Calibri" w:hAnsi="Calibri" w:cs="Calibri"/>
          <w:color w:val="000000" w:themeColor="text1"/>
        </w:rPr>
        <w:t>270) compared to England (1</w:t>
      </w:r>
      <w:r w:rsidR="00E45BD4">
        <w:rPr>
          <w:rFonts w:ascii="Calibri" w:eastAsia="Calibri" w:hAnsi="Calibri" w:cs="Calibri"/>
          <w:color w:val="000000" w:themeColor="text1"/>
        </w:rPr>
        <w:t>,</w:t>
      </w:r>
      <w:r w:rsidRPr="00704767">
        <w:rPr>
          <w:rFonts w:ascii="Calibri" w:eastAsia="Calibri" w:hAnsi="Calibri" w:cs="Calibri"/>
          <w:color w:val="000000" w:themeColor="text1"/>
        </w:rPr>
        <w:t xml:space="preserve">500) (Table 4). This is an indicator of the burden on NHS of alcohol related admissions. The rate of alcohol related admission in Maidstone and Tonbridge and Malling is </w:t>
      </w:r>
      <w:bookmarkStart w:id="72" w:name="_Int_O9fP5EKr"/>
      <w:r w:rsidRPr="00704767">
        <w:rPr>
          <w:rFonts w:ascii="Calibri" w:eastAsia="Calibri" w:hAnsi="Calibri" w:cs="Calibri"/>
          <w:color w:val="000000" w:themeColor="text1"/>
        </w:rPr>
        <w:t>similar to</w:t>
      </w:r>
      <w:bookmarkEnd w:id="72"/>
      <w:r w:rsidRPr="00704767">
        <w:rPr>
          <w:rFonts w:ascii="Calibri" w:eastAsia="Calibri" w:hAnsi="Calibri" w:cs="Calibri"/>
          <w:color w:val="000000" w:themeColor="text1"/>
        </w:rPr>
        <w:t xml:space="preserve"> the rate in Kent, but it is statistically significantly lower in Sevenoaks and Tunbridge Wells. There </w:t>
      </w:r>
      <w:bookmarkStart w:id="73" w:name="_Int_OXywIG7A"/>
      <w:r w:rsidRPr="00704767">
        <w:rPr>
          <w:rFonts w:ascii="Calibri" w:eastAsia="Calibri" w:hAnsi="Calibri" w:cs="Calibri"/>
          <w:color w:val="000000" w:themeColor="text1"/>
        </w:rPr>
        <w:t>are</w:t>
      </w:r>
      <w:bookmarkEnd w:id="73"/>
      <w:r w:rsidRPr="00704767">
        <w:rPr>
          <w:rFonts w:ascii="Calibri" w:eastAsia="Calibri" w:hAnsi="Calibri" w:cs="Calibri"/>
          <w:color w:val="000000" w:themeColor="text1"/>
        </w:rPr>
        <w:t xml:space="preserve"> a significant raft of recommendations contained within the Kent Public Health Observatory </w:t>
      </w:r>
      <w:hyperlink r:id="rId87">
        <w:r w:rsidRPr="00704767">
          <w:rPr>
            <w:rStyle w:val="Hyperlink"/>
            <w:rFonts w:ascii="Calibri" w:eastAsia="Calibri" w:hAnsi="Calibri" w:cs="Calibri"/>
          </w:rPr>
          <w:t>Alcohol Needs Assessment 2021</w:t>
        </w:r>
      </w:hyperlink>
      <w:r w:rsidRPr="00704767">
        <w:rPr>
          <w:rFonts w:ascii="Calibri" w:eastAsia="Calibri" w:hAnsi="Calibri" w:cs="Calibri"/>
          <w:color w:val="000000" w:themeColor="text1"/>
        </w:rPr>
        <w:t xml:space="preserve"> page </w:t>
      </w:r>
      <w:r w:rsidRPr="00493E0F">
        <w:rPr>
          <w:rFonts w:ascii="Calibri" w:eastAsia="Calibri" w:hAnsi="Calibri" w:cs="Calibri"/>
          <w:color w:val="000000" w:themeColor="text1"/>
        </w:rPr>
        <w:t>92</w:t>
      </w:r>
      <w:r>
        <w:rPr>
          <w:rFonts w:ascii="Calibri" w:eastAsia="Calibri" w:hAnsi="Calibri" w:cs="Calibri"/>
          <w:color w:val="000000" w:themeColor="text1"/>
        </w:rPr>
        <w:t xml:space="preserve"> all of which are relevant to the whole of the Kent health economy.</w:t>
      </w:r>
    </w:p>
    <w:p w14:paraId="174A257D" w14:textId="77777777" w:rsidR="009D74E9" w:rsidRDefault="009D74E9" w:rsidP="005A7955">
      <w:pPr>
        <w:rPr>
          <w:rFonts w:eastAsia="Calibri Light"/>
          <w:b/>
          <w:bCs/>
        </w:rPr>
      </w:pPr>
    </w:p>
    <w:p w14:paraId="0B750393" w14:textId="4A436A19" w:rsidR="00C665D0" w:rsidRPr="005A7955" w:rsidRDefault="00C665D0" w:rsidP="005A7955">
      <w:pPr>
        <w:rPr>
          <w:rFonts w:eastAsia="Calibri Light"/>
          <w:b/>
          <w:bCs/>
        </w:rPr>
      </w:pPr>
      <w:r w:rsidRPr="005A7955">
        <w:rPr>
          <w:rFonts w:eastAsia="Calibri Light"/>
          <w:b/>
          <w:bCs/>
        </w:rPr>
        <w:t>Table 4: Alcohol-related hospital admissions by district (broad) directly standardised rate per 100,000 population (Persons)</w:t>
      </w:r>
    </w:p>
    <w:tbl>
      <w:tblPr>
        <w:tblW w:w="0" w:type="auto"/>
        <w:tblLayout w:type="fixed"/>
        <w:tblLook w:val="04A0" w:firstRow="1" w:lastRow="0" w:firstColumn="1" w:lastColumn="0" w:noHBand="0" w:noVBand="1"/>
      </w:tblPr>
      <w:tblGrid>
        <w:gridCol w:w="2355"/>
        <w:gridCol w:w="2175"/>
        <w:gridCol w:w="2175"/>
      </w:tblGrid>
      <w:tr w:rsidR="00C665D0" w14:paraId="536D33B4" w14:textId="77777777" w:rsidTr="009D74E9">
        <w:trPr>
          <w:trHeight w:val="615"/>
          <w:tblHeader/>
        </w:trPr>
        <w:tc>
          <w:tcPr>
            <w:tcW w:w="2355" w:type="dxa"/>
            <w:tcBorders>
              <w:top w:val="single" w:sz="6" w:space="0" w:color="auto"/>
              <w:left w:val="single" w:sz="6" w:space="0" w:color="auto"/>
              <w:bottom w:val="single" w:sz="6" w:space="0" w:color="auto"/>
              <w:right w:val="single" w:sz="6" w:space="0" w:color="auto"/>
            </w:tcBorders>
            <w:shd w:val="clear" w:color="auto" w:fill="2D7D82"/>
            <w:vAlign w:val="center"/>
          </w:tcPr>
          <w:p w14:paraId="2316DA46" w14:textId="77777777" w:rsidR="00C665D0" w:rsidRDefault="00C665D0">
            <w:pPr>
              <w:spacing w:after="0" w:line="240" w:lineRule="auto"/>
              <w:jc w:val="center"/>
              <w:rPr>
                <w:rFonts w:ascii="Calibri" w:eastAsia="Calibri" w:hAnsi="Calibri" w:cs="Calibri"/>
                <w:color w:val="FFFFFF" w:themeColor="background1"/>
              </w:rPr>
            </w:pPr>
            <w:r w:rsidRPr="305ECFD1">
              <w:rPr>
                <w:rFonts w:ascii="Calibri" w:eastAsia="Calibri" w:hAnsi="Calibri" w:cs="Calibri"/>
                <w:b/>
                <w:bCs/>
                <w:color w:val="FFFFFF" w:themeColor="background1"/>
              </w:rPr>
              <w:t>Location</w:t>
            </w:r>
          </w:p>
        </w:tc>
        <w:tc>
          <w:tcPr>
            <w:tcW w:w="2175" w:type="dxa"/>
            <w:tcBorders>
              <w:top w:val="single" w:sz="6" w:space="0" w:color="auto"/>
              <w:left w:val="single" w:sz="6" w:space="0" w:color="auto"/>
              <w:bottom w:val="single" w:sz="6" w:space="0" w:color="auto"/>
              <w:right w:val="single" w:sz="6" w:space="0" w:color="auto"/>
            </w:tcBorders>
            <w:shd w:val="clear" w:color="auto" w:fill="2D7D82"/>
            <w:vAlign w:val="center"/>
          </w:tcPr>
          <w:p w14:paraId="3EC067ED" w14:textId="77777777" w:rsidR="00C665D0" w:rsidRDefault="00C665D0">
            <w:pPr>
              <w:spacing w:after="0" w:line="240" w:lineRule="auto"/>
              <w:jc w:val="center"/>
              <w:rPr>
                <w:rFonts w:ascii="Calibri" w:eastAsia="Calibri" w:hAnsi="Calibri" w:cs="Calibri"/>
                <w:color w:val="FFFFFF" w:themeColor="background1"/>
              </w:rPr>
            </w:pPr>
            <w:r w:rsidRPr="305ECFD1">
              <w:rPr>
                <w:rFonts w:ascii="Calibri" w:eastAsia="Calibri" w:hAnsi="Calibri" w:cs="Calibri"/>
                <w:b/>
                <w:bCs/>
                <w:color w:val="FFFFFF" w:themeColor="background1"/>
              </w:rPr>
              <w:t>Rate per 100,000</w:t>
            </w:r>
          </w:p>
        </w:tc>
        <w:tc>
          <w:tcPr>
            <w:tcW w:w="2175" w:type="dxa"/>
            <w:tcBorders>
              <w:top w:val="single" w:sz="6" w:space="0" w:color="auto"/>
              <w:left w:val="single" w:sz="6" w:space="0" w:color="auto"/>
              <w:bottom w:val="single" w:sz="6" w:space="0" w:color="auto"/>
              <w:right w:val="single" w:sz="6" w:space="0" w:color="auto"/>
            </w:tcBorders>
            <w:shd w:val="clear" w:color="auto" w:fill="2D7D82"/>
            <w:vAlign w:val="center"/>
          </w:tcPr>
          <w:p w14:paraId="765FC749" w14:textId="77777777" w:rsidR="00C665D0" w:rsidRDefault="00C665D0">
            <w:pPr>
              <w:spacing w:after="0" w:line="240" w:lineRule="auto"/>
              <w:jc w:val="center"/>
              <w:rPr>
                <w:rFonts w:ascii="Calibri" w:eastAsia="Calibri" w:hAnsi="Calibri" w:cs="Calibri"/>
                <w:color w:val="FFFFFF" w:themeColor="background1"/>
              </w:rPr>
            </w:pPr>
            <w:r w:rsidRPr="305ECFD1">
              <w:rPr>
                <w:rFonts w:ascii="Calibri" w:eastAsia="Calibri" w:hAnsi="Calibri" w:cs="Calibri"/>
                <w:b/>
                <w:bCs/>
                <w:color w:val="FFFFFF" w:themeColor="background1"/>
              </w:rPr>
              <w:t>95% confidence interval</w:t>
            </w:r>
          </w:p>
        </w:tc>
      </w:tr>
      <w:tr w:rsidR="00C665D0" w14:paraId="15EF7B41" w14:textId="77777777">
        <w:trPr>
          <w:trHeight w:val="285"/>
        </w:trPr>
        <w:tc>
          <w:tcPr>
            <w:tcW w:w="2355" w:type="dxa"/>
            <w:tcBorders>
              <w:top w:val="single" w:sz="6" w:space="0" w:color="auto"/>
              <w:left w:val="single" w:sz="6" w:space="0" w:color="auto"/>
              <w:bottom w:val="single" w:sz="6" w:space="0" w:color="auto"/>
              <w:right w:val="single" w:sz="6" w:space="0" w:color="auto"/>
            </w:tcBorders>
            <w:shd w:val="clear" w:color="auto" w:fill="DDF1F3"/>
            <w:vAlign w:val="center"/>
          </w:tcPr>
          <w:p w14:paraId="1F6567B8" w14:textId="77777777" w:rsidR="00C665D0" w:rsidRDefault="00C665D0">
            <w:pPr>
              <w:spacing w:after="0" w:line="240" w:lineRule="auto"/>
              <w:rPr>
                <w:rFonts w:ascii="Calibri" w:eastAsia="Calibri" w:hAnsi="Calibri" w:cs="Calibri"/>
                <w:color w:val="000000" w:themeColor="text1"/>
              </w:rPr>
            </w:pPr>
            <w:r w:rsidRPr="305ECFD1">
              <w:rPr>
                <w:rFonts w:ascii="Calibri" w:eastAsia="Calibri" w:hAnsi="Calibri" w:cs="Calibri"/>
                <w:color w:val="000000" w:themeColor="text1"/>
              </w:rPr>
              <w:t>England</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1048C3D4" w14:textId="2A2230E6"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1,500</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528D6884" w14:textId="5BFB68B6"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w:t>
            </w:r>
            <w:r w:rsidR="00932EBF">
              <w:rPr>
                <w:rFonts w:ascii="Calibri" w:eastAsia="Calibri" w:hAnsi="Calibri" w:cs="Calibri"/>
                <w:color w:val="000000" w:themeColor="text1"/>
              </w:rPr>
              <w:t>,</w:t>
            </w:r>
            <w:r w:rsidRPr="305ECFD1">
              <w:rPr>
                <w:rFonts w:ascii="Calibri" w:eastAsia="Calibri" w:hAnsi="Calibri" w:cs="Calibri"/>
                <w:color w:val="000000" w:themeColor="text1"/>
              </w:rPr>
              <w:t>497- 1</w:t>
            </w:r>
            <w:r w:rsidR="00932EBF">
              <w:rPr>
                <w:rFonts w:ascii="Calibri" w:eastAsia="Calibri" w:hAnsi="Calibri" w:cs="Calibri"/>
                <w:color w:val="000000" w:themeColor="text1"/>
              </w:rPr>
              <w:t>,</w:t>
            </w:r>
            <w:r w:rsidRPr="305ECFD1">
              <w:rPr>
                <w:rFonts w:ascii="Calibri" w:eastAsia="Calibri" w:hAnsi="Calibri" w:cs="Calibri"/>
                <w:color w:val="000000" w:themeColor="text1"/>
              </w:rPr>
              <w:t>505</w:t>
            </w:r>
          </w:p>
        </w:tc>
      </w:tr>
      <w:tr w:rsidR="00C665D0" w14:paraId="0B9E5F68" w14:textId="77777777">
        <w:trPr>
          <w:trHeight w:val="285"/>
        </w:trPr>
        <w:tc>
          <w:tcPr>
            <w:tcW w:w="2355" w:type="dxa"/>
            <w:tcBorders>
              <w:top w:val="single" w:sz="6" w:space="0" w:color="auto"/>
              <w:left w:val="single" w:sz="6" w:space="0" w:color="auto"/>
              <w:bottom w:val="single" w:sz="6" w:space="0" w:color="auto"/>
              <w:right w:val="single" w:sz="6" w:space="0" w:color="auto"/>
            </w:tcBorders>
            <w:shd w:val="clear" w:color="auto" w:fill="DDF1F3"/>
            <w:vAlign w:val="center"/>
          </w:tcPr>
          <w:p w14:paraId="1F58244A" w14:textId="77777777" w:rsidR="00C665D0" w:rsidRDefault="00C665D0">
            <w:pPr>
              <w:spacing w:after="0" w:line="240" w:lineRule="auto"/>
              <w:rPr>
                <w:rFonts w:ascii="Calibri" w:eastAsia="Calibri" w:hAnsi="Calibri" w:cs="Calibri"/>
                <w:color w:val="000000" w:themeColor="text1"/>
              </w:rPr>
            </w:pPr>
            <w:r w:rsidRPr="305ECFD1">
              <w:rPr>
                <w:rFonts w:ascii="Calibri" w:eastAsia="Calibri" w:hAnsi="Calibri" w:cs="Calibri"/>
                <w:color w:val="000000" w:themeColor="text1"/>
              </w:rPr>
              <w:t>Southeast Region</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1374DCCA" w14:textId="15D5014F"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1,341</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0546E3D0" w14:textId="1841B6C8"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w:t>
            </w:r>
            <w:r w:rsidR="00932EBF">
              <w:rPr>
                <w:rFonts w:ascii="Calibri" w:eastAsia="Calibri" w:hAnsi="Calibri" w:cs="Calibri"/>
                <w:color w:val="000000" w:themeColor="text1"/>
              </w:rPr>
              <w:t>,</w:t>
            </w:r>
            <w:r w:rsidRPr="305ECFD1">
              <w:rPr>
                <w:rFonts w:ascii="Calibri" w:eastAsia="Calibri" w:hAnsi="Calibri" w:cs="Calibri"/>
                <w:color w:val="000000" w:themeColor="text1"/>
              </w:rPr>
              <w:t>333- 1</w:t>
            </w:r>
            <w:r w:rsidR="00932EBF">
              <w:rPr>
                <w:rFonts w:ascii="Calibri" w:eastAsia="Calibri" w:hAnsi="Calibri" w:cs="Calibri"/>
                <w:color w:val="000000" w:themeColor="text1"/>
              </w:rPr>
              <w:t>,</w:t>
            </w:r>
            <w:r w:rsidRPr="305ECFD1">
              <w:rPr>
                <w:rFonts w:ascii="Calibri" w:eastAsia="Calibri" w:hAnsi="Calibri" w:cs="Calibri"/>
                <w:color w:val="000000" w:themeColor="text1"/>
              </w:rPr>
              <w:t>348</w:t>
            </w:r>
          </w:p>
        </w:tc>
      </w:tr>
      <w:tr w:rsidR="00C665D0" w14:paraId="43FFBBFD" w14:textId="77777777">
        <w:trPr>
          <w:trHeight w:val="285"/>
        </w:trPr>
        <w:tc>
          <w:tcPr>
            <w:tcW w:w="2355" w:type="dxa"/>
            <w:tcBorders>
              <w:top w:val="single" w:sz="6" w:space="0" w:color="auto"/>
              <w:left w:val="single" w:sz="6" w:space="0" w:color="auto"/>
              <w:bottom w:val="single" w:sz="6" w:space="0" w:color="auto"/>
              <w:right w:val="single" w:sz="6" w:space="0" w:color="auto"/>
            </w:tcBorders>
            <w:shd w:val="clear" w:color="auto" w:fill="DDF1F3"/>
            <w:vAlign w:val="center"/>
          </w:tcPr>
          <w:p w14:paraId="55BEDF23" w14:textId="77777777" w:rsidR="00C665D0" w:rsidRDefault="00C665D0">
            <w:pPr>
              <w:spacing w:after="0" w:line="240" w:lineRule="auto"/>
              <w:rPr>
                <w:rFonts w:ascii="Calibri" w:eastAsia="Calibri" w:hAnsi="Calibri" w:cs="Calibri"/>
                <w:color w:val="000000" w:themeColor="text1"/>
              </w:rPr>
            </w:pPr>
            <w:r w:rsidRPr="305ECFD1">
              <w:rPr>
                <w:rFonts w:ascii="Calibri" w:eastAsia="Calibri" w:hAnsi="Calibri" w:cs="Calibri"/>
                <w:color w:val="000000" w:themeColor="text1"/>
              </w:rPr>
              <w:t>Kent</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16833110" w14:textId="28854338"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1,270</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41FDE324" w14:textId="6F77A283"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w:t>
            </w:r>
            <w:r w:rsidR="00932EBF">
              <w:rPr>
                <w:rFonts w:ascii="Calibri" w:eastAsia="Calibri" w:hAnsi="Calibri" w:cs="Calibri"/>
                <w:color w:val="000000" w:themeColor="text1"/>
              </w:rPr>
              <w:t>,</w:t>
            </w:r>
            <w:r w:rsidRPr="305ECFD1">
              <w:rPr>
                <w:rFonts w:ascii="Calibri" w:eastAsia="Calibri" w:hAnsi="Calibri" w:cs="Calibri"/>
                <w:color w:val="000000" w:themeColor="text1"/>
              </w:rPr>
              <w:t>253- 1</w:t>
            </w:r>
            <w:r w:rsidR="00932EBF">
              <w:rPr>
                <w:rFonts w:ascii="Calibri" w:eastAsia="Calibri" w:hAnsi="Calibri" w:cs="Calibri"/>
                <w:color w:val="000000" w:themeColor="text1"/>
              </w:rPr>
              <w:t>,</w:t>
            </w:r>
            <w:r w:rsidRPr="305ECFD1">
              <w:rPr>
                <w:rFonts w:ascii="Calibri" w:eastAsia="Calibri" w:hAnsi="Calibri" w:cs="Calibri"/>
                <w:color w:val="000000" w:themeColor="text1"/>
              </w:rPr>
              <w:t>288</w:t>
            </w:r>
          </w:p>
        </w:tc>
      </w:tr>
      <w:tr w:rsidR="00C665D0" w14:paraId="5A0D8571" w14:textId="77777777">
        <w:trPr>
          <w:trHeight w:val="285"/>
        </w:trPr>
        <w:tc>
          <w:tcPr>
            <w:tcW w:w="2355" w:type="dxa"/>
            <w:tcBorders>
              <w:top w:val="single" w:sz="6" w:space="0" w:color="auto"/>
              <w:left w:val="single" w:sz="6" w:space="0" w:color="auto"/>
              <w:bottom w:val="single" w:sz="6" w:space="0" w:color="auto"/>
              <w:right w:val="single" w:sz="6" w:space="0" w:color="auto"/>
            </w:tcBorders>
            <w:shd w:val="clear" w:color="auto" w:fill="DDF1F3"/>
            <w:vAlign w:val="center"/>
          </w:tcPr>
          <w:p w14:paraId="44DB9F91" w14:textId="77777777" w:rsidR="00C665D0" w:rsidRDefault="00C665D0">
            <w:pPr>
              <w:spacing w:after="0" w:line="240" w:lineRule="auto"/>
              <w:rPr>
                <w:rFonts w:ascii="Calibri" w:eastAsia="Calibri" w:hAnsi="Calibri" w:cs="Calibri"/>
                <w:color w:val="000000" w:themeColor="text1"/>
              </w:rPr>
            </w:pPr>
            <w:r w:rsidRPr="305ECFD1">
              <w:rPr>
                <w:rFonts w:ascii="Calibri" w:eastAsia="Calibri" w:hAnsi="Calibri" w:cs="Calibri"/>
                <w:color w:val="000000" w:themeColor="text1"/>
              </w:rPr>
              <w:t>Maidstone</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38856288" w14:textId="31F1072A"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1,306</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7021C19D" w14:textId="0E99D981"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w:t>
            </w:r>
            <w:r w:rsidR="00932EBF">
              <w:rPr>
                <w:rFonts w:ascii="Calibri" w:eastAsia="Calibri" w:hAnsi="Calibri" w:cs="Calibri"/>
                <w:color w:val="000000" w:themeColor="text1"/>
              </w:rPr>
              <w:t>,</w:t>
            </w:r>
            <w:r w:rsidRPr="305ECFD1">
              <w:rPr>
                <w:rFonts w:ascii="Calibri" w:eastAsia="Calibri" w:hAnsi="Calibri" w:cs="Calibri"/>
                <w:color w:val="000000" w:themeColor="text1"/>
              </w:rPr>
              <w:t>252- 1</w:t>
            </w:r>
            <w:r w:rsidR="00932EBF">
              <w:rPr>
                <w:rFonts w:ascii="Calibri" w:eastAsia="Calibri" w:hAnsi="Calibri" w:cs="Calibri"/>
                <w:color w:val="000000" w:themeColor="text1"/>
              </w:rPr>
              <w:t>,</w:t>
            </w:r>
            <w:r w:rsidRPr="305ECFD1">
              <w:rPr>
                <w:rFonts w:ascii="Calibri" w:eastAsia="Calibri" w:hAnsi="Calibri" w:cs="Calibri"/>
                <w:color w:val="000000" w:themeColor="text1"/>
              </w:rPr>
              <w:t>362</w:t>
            </w:r>
          </w:p>
        </w:tc>
      </w:tr>
      <w:tr w:rsidR="00C665D0" w14:paraId="5C722AD7" w14:textId="77777777">
        <w:trPr>
          <w:trHeight w:val="300"/>
        </w:trPr>
        <w:tc>
          <w:tcPr>
            <w:tcW w:w="2355" w:type="dxa"/>
            <w:tcBorders>
              <w:top w:val="single" w:sz="6" w:space="0" w:color="auto"/>
              <w:left w:val="single" w:sz="6" w:space="0" w:color="auto"/>
              <w:bottom w:val="single" w:sz="6" w:space="0" w:color="auto"/>
              <w:right w:val="single" w:sz="6" w:space="0" w:color="auto"/>
            </w:tcBorders>
            <w:shd w:val="clear" w:color="auto" w:fill="DDF1F3"/>
            <w:vAlign w:val="center"/>
          </w:tcPr>
          <w:p w14:paraId="53C51EFC" w14:textId="77777777" w:rsidR="00C665D0" w:rsidRDefault="00C665D0">
            <w:pPr>
              <w:spacing w:after="0" w:line="240" w:lineRule="auto"/>
              <w:rPr>
                <w:rFonts w:ascii="Calibri" w:eastAsia="Calibri" w:hAnsi="Calibri" w:cs="Calibri"/>
                <w:color w:val="000000" w:themeColor="text1"/>
              </w:rPr>
            </w:pPr>
            <w:r w:rsidRPr="305ECFD1">
              <w:rPr>
                <w:rFonts w:ascii="Calibri" w:eastAsia="Calibri" w:hAnsi="Calibri" w:cs="Calibri"/>
                <w:color w:val="000000" w:themeColor="text1"/>
              </w:rPr>
              <w:t>Sevenoaks</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4C4288B5" w14:textId="7A39A85E"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1,164</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2F835575" w14:textId="5E082252"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w:t>
            </w:r>
            <w:r w:rsidR="00932EBF">
              <w:rPr>
                <w:rFonts w:ascii="Calibri" w:eastAsia="Calibri" w:hAnsi="Calibri" w:cs="Calibri"/>
                <w:color w:val="000000" w:themeColor="text1"/>
              </w:rPr>
              <w:t>,</w:t>
            </w:r>
            <w:r w:rsidRPr="305ECFD1">
              <w:rPr>
                <w:rFonts w:ascii="Calibri" w:eastAsia="Calibri" w:hAnsi="Calibri" w:cs="Calibri"/>
                <w:color w:val="000000" w:themeColor="text1"/>
              </w:rPr>
              <w:t xml:space="preserve">105 </w:t>
            </w:r>
            <w:r w:rsidR="00932EBF">
              <w:rPr>
                <w:rFonts w:ascii="Calibri" w:eastAsia="Calibri" w:hAnsi="Calibri" w:cs="Calibri"/>
                <w:color w:val="000000" w:themeColor="text1"/>
              </w:rPr>
              <w:t>–</w:t>
            </w:r>
            <w:r w:rsidRPr="305ECFD1">
              <w:rPr>
                <w:rFonts w:ascii="Calibri" w:eastAsia="Calibri" w:hAnsi="Calibri" w:cs="Calibri"/>
                <w:color w:val="000000" w:themeColor="text1"/>
              </w:rPr>
              <w:t xml:space="preserve"> 1</w:t>
            </w:r>
            <w:r w:rsidR="00932EBF">
              <w:rPr>
                <w:rFonts w:ascii="Calibri" w:eastAsia="Calibri" w:hAnsi="Calibri" w:cs="Calibri"/>
                <w:color w:val="000000" w:themeColor="text1"/>
              </w:rPr>
              <w:t>,</w:t>
            </w:r>
            <w:r w:rsidRPr="305ECFD1">
              <w:rPr>
                <w:rFonts w:ascii="Calibri" w:eastAsia="Calibri" w:hAnsi="Calibri" w:cs="Calibri"/>
                <w:color w:val="000000" w:themeColor="text1"/>
              </w:rPr>
              <w:t>226</w:t>
            </w:r>
          </w:p>
        </w:tc>
      </w:tr>
      <w:tr w:rsidR="00C665D0" w14:paraId="724297E1" w14:textId="77777777">
        <w:trPr>
          <w:trHeight w:val="300"/>
        </w:trPr>
        <w:tc>
          <w:tcPr>
            <w:tcW w:w="2355" w:type="dxa"/>
            <w:tcBorders>
              <w:top w:val="single" w:sz="6" w:space="0" w:color="auto"/>
              <w:left w:val="single" w:sz="6" w:space="0" w:color="auto"/>
              <w:bottom w:val="single" w:sz="6" w:space="0" w:color="auto"/>
              <w:right w:val="single" w:sz="6" w:space="0" w:color="auto"/>
            </w:tcBorders>
            <w:shd w:val="clear" w:color="auto" w:fill="DDF1F3"/>
            <w:vAlign w:val="center"/>
          </w:tcPr>
          <w:p w14:paraId="22E262EF" w14:textId="77777777" w:rsidR="00C665D0" w:rsidRDefault="00C665D0">
            <w:pPr>
              <w:spacing w:after="0" w:line="240" w:lineRule="auto"/>
              <w:rPr>
                <w:rFonts w:ascii="Calibri" w:eastAsia="Calibri" w:hAnsi="Calibri" w:cs="Calibri"/>
                <w:color w:val="000000" w:themeColor="text1"/>
              </w:rPr>
            </w:pPr>
            <w:r w:rsidRPr="305ECFD1">
              <w:rPr>
                <w:rFonts w:ascii="Calibri" w:eastAsia="Calibri" w:hAnsi="Calibri" w:cs="Calibri"/>
                <w:color w:val="000000" w:themeColor="text1"/>
              </w:rPr>
              <w:lastRenderedPageBreak/>
              <w:t xml:space="preserve">Tonbridge and Malling </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61FA22B8" w14:textId="6271354C"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1,257</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5412DA03" w14:textId="42652AA2"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w:t>
            </w:r>
            <w:r w:rsidR="00932EBF">
              <w:rPr>
                <w:rFonts w:ascii="Calibri" w:eastAsia="Calibri" w:hAnsi="Calibri" w:cs="Calibri"/>
                <w:color w:val="000000" w:themeColor="text1"/>
              </w:rPr>
              <w:t>,</w:t>
            </w:r>
            <w:r w:rsidRPr="305ECFD1">
              <w:rPr>
                <w:rFonts w:ascii="Calibri" w:eastAsia="Calibri" w:hAnsi="Calibri" w:cs="Calibri"/>
                <w:color w:val="000000" w:themeColor="text1"/>
              </w:rPr>
              <w:t>197- 1</w:t>
            </w:r>
            <w:r w:rsidR="00932EBF">
              <w:rPr>
                <w:rFonts w:ascii="Calibri" w:eastAsia="Calibri" w:hAnsi="Calibri" w:cs="Calibri"/>
                <w:color w:val="000000" w:themeColor="text1"/>
              </w:rPr>
              <w:t>,</w:t>
            </w:r>
            <w:r w:rsidRPr="305ECFD1">
              <w:rPr>
                <w:rFonts w:ascii="Calibri" w:eastAsia="Calibri" w:hAnsi="Calibri" w:cs="Calibri"/>
                <w:color w:val="000000" w:themeColor="text1"/>
              </w:rPr>
              <w:t>319</w:t>
            </w:r>
          </w:p>
        </w:tc>
      </w:tr>
      <w:tr w:rsidR="00C665D0" w14:paraId="5BF120B7" w14:textId="77777777">
        <w:trPr>
          <w:trHeight w:val="300"/>
        </w:trPr>
        <w:tc>
          <w:tcPr>
            <w:tcW w:w="2355" w:type="dxa"/>
            <w:tcBorders>
              <w:top w:val="single" w:sz="6" w:space="0" w:color="auto"/>
              <w:left w:val="single" w:sz="6" w:space="0" w:color="auto"/>
              <w:bottom w:val="single" w:sz="6" w:space="0" w:color="auto"/>
              <w:right w:val="single" w:sz="6" w:space="0" w:color="auto"/>
            </w:tcBorders>
            <w:shd w:val="clear" w:color="auto" w:fill="DDF1F3"/>
            <w:vAlign w:val="center"/>
          </w:tcPr>
          <w:p w14:paraId="7FC97710" w14:textId="77777777" w:rsidR="00C665D0" w:rsidRDefault="00C665D0">
            <w:pPr>
              <w:spacing w:after="0" w:line="240" w:lineRule="auto"/>
              <w:rPr>
                <w:rFonts w:ascii="Calibri" w:eastAsia="Calibri" w:hAnsi="Calibri" w:cs="Calibri"/>
                <w:color w:val="000000" w:themeColor="text1"/>
              </w:rPr>
            </w:pPr>
            <w:r w:rsidRPr="305ECFD1">
              <w:rPr>
                <w:rFonts w:ascii="Calibri" w:eastAsia="Calibri" w:hAnsi="Calibri" w:cs="Calibri"/>
                <w:color w:val="000000" w:themeColor="text1"/>
              </w:rPr>
              <w:t>Tunbridge Wells</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6EE9A967" w14:textId="48FA30AC"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1,178</w:t>
            </w:r>
          </w:p>
        </w:tc>
        <w:tc>
          <w:tcPr>
            <w:tcW w:w="2175" w:type="dxa"/>
            <w:tcBorders>
              <w:top w:val="single" w:sz="6" w:space="0" w:color="auto"/>
              <w:left w:val="single" w:sz="6" w:space="0" w:color="auto"/>
              <w:bottom w:val="single" w:sz="6" w:space="0" w:color="auto"/>
              <w:right w:val="single" w:sz="6" w:space="0" w:color="auto"/>
            </w:tcBorders>
            <w:shd w:val="clear" w:color="auto" w:fill="DDF1F3"/>
            <w:vAlign w:val="center"/>
          </w:tcPr>
          <w:p w14:paraId="1514D9B8" w14:textId="09599E96" w:rsidR="00C665D0" w:rsidRDefault="00C665D0">
            <w:pPr>
              <w:spacing w:after="0" w:line="240" w:lineRule="auto"/>
              <w:jc w:val="center"/>
              <w:rPr>
                <w:rFonts w:ascii="Calibri" w:eastAsia="Calibri" w:hAnsi="Calibri" w:cs="Calibri"/>
                <w:color w:val="000000" w:themeColor="text1"/>
              </w:rPr>
            </w:pPr>
            <w:r w:rsidRPr="305ECFD1">
              <w:rPr>
                <w:rFonts w:ascii="Calibri" w:eastAsia="Calibri" w:hAnsi="Calibri" w:cs="Calibri"/>
                <w:color w:val="000000" w:themeColor="text1"/>
              </w:rPr>
              <w:t>1</w:t>
            </w:r>
            <w:r w:rsidR="00932EBF">
              <w:rPr>
                <w:rFonts w:ascii="Calibri" w:eastAsia="Calibri" w:hAnsi="Calibri" w:cs="Calibri"/>
                <w:color w:val="000000" w:themeColor="text1"/>
              </w:rPr>
              <w:t>,</w:t>
            </w:r>
            <w:r w:rsidRPr="305ECFD1">
              <w:rPr>
                <w:rFonts w:ascii="Calibri" w:eastAsia="Calibri" w:hAnsi="Calibri" w:cs="Calibri"/>
                <w:color w:val="000000" w:themeColor="text1"/>
              </w:rPr>
              <w:t>117- 1</w:t>
            </w:r>
            <w:r w:rsidR="00932EBF">
              <w:rPr>
                <w:rFonts w:ascii="Calibri" w:eastAsia="Calibri" w:hAnsi="Calibri" w:cs="Calibri"/>
                <w:color w:val="000000" w:themeColor="text1"/>
              </w:rPr>
              <w:t>,</w:t>
            </w:r>
            <w:r w:rsidRPr="305ECFD1">
              <w:rPr>
                <w:rFonts w:ascii="Calibri" w:eastAsia="Calibri" w:hAnsi="Calibri" w:cs="Calibri"/>
                <w:color w:val="000000" w:themeColor="text1"/>
              </w:rPr>
              <w:t>242</w:t>
            </w:r>
          </w:p>
        </w:tc>
      </w:tr>
    </w:tbl>
    <w:p w14:paraId="4C80E126" w14:textId="77777777" w:rsidR="00C665D0" w:rsidRDefault="00C665D0" w:rsidP="00C665D0">
      <w:pPr>
        <w:spacing w:after="160" w:line="259" w:lineRule="auto"/>
        <w:rPr>
          <w:rFonts w:ascii="Calibri" w:eastAsia="Calibri" w:hAnsi="Calibri" w:cs="Calibri"/>
          <w:color w:val="000000" w:themeColor="text1"/>
        </w:rPr>
      </w:pPr>
    </w:p>
    <w:p w14:paraId="074A5263" w14:textId="77777777" w:rsidR="00C665D0" w:rsidRPr="00F00597" w:rsidRDefault="00C665D0" w:rsidP="00F00597">
      <w:pPr>
        <w:pStyle w:val="Heading2"/>
      </w:pPr>
      <w:bookmarkStart w:id="74" w:name="_Toc128133820"/>
      <w:r w:rsidRPr="00F00597">
        <w:t>Adult Obesity</w:t>
      </w:r>
      <w:bookmarkEnd w:id="74"/>
    </w:p>
    <w:p w14:paraId="494762CD" w14:textId="2C48EC66" w:rsidR="00C665D0" w:rsidRDefault="00C665D0" w:rsidP="00C665D0">
      <w:pPr>
        <w:jc w:val="both"/>
      </w:pPr>
      <w:r w:rsidRPr="5E4DB3C2">
        <w:rPr>
          <w:rFonts w:ascii="Calibri" w:eastAsia="Calibri" w:hAnsi="Calibri" w:cs="Calibri"/>
        </w:rPr>
        <w:t xml:space="preserve">The latest figures from the Active Lives Survey, 2020/21 suggest that 26% of adults in Kent are obese. </w:t>
      </w:r>
      <w:r w:rsidR="002E2A0B">
        <w:rPr>
          <w:rFonts w:ascii="Calibri" w:eastAsia="Calibri" w:hAnsi="Calibri" w:cs="Calibri"/>
        </w:rPr>
        <w:t>Figure 4</w:t>
      </w:r>
      <w:r w:rsidR="00FA57C8">
        <w:rPr>
          <w:rFonts w:ascii="Calibri" w:eastAsia="Calibri" w:hAnsi="Calibri" w:cs="Calibri"/>
        </w:rPr>
        <w:t>1</w:t>
      </w:r>
      <w:r w:rsidR="002E2A0B">
        <w:rPr>
          <w:rFonts w:ascii="Calibri" w:eastAsia="Calibri" w:hAnsi="Calibri" w:cs="Calibri"/>
        </w:rPr>
        <w:t xml:space="preserve"> below shows</w:t>
      </w:r>
      <w:r w:rsidRPr="5E4DB3C2">
        <w:rPr>
          <w:rFonts w:ascii="Calibri" w:eastAsia="Calibri" w:hAnsi="Calibri" w:cs="Calibri"/>
        </w:rPr>
        <w:t xml:space="preserve"> obesity levels are slightly lower in</w:t>
      </w:r>
      <w:r w:rsidR="00AC4EC9">
        <w:rPr>
          <w:rFonts w:ascii="Calibri" w:eastAsia="Calibri" w:hAnsi="Calibri" w:cs="Calibri"/>
        </w:rPr>
        <w:t xml:space="preserve"> the four</w:t>
      </w:r>
      <w:r w:rsidRPr="5E4DB3C2">
        <w:rPr>
          <w:rFonts w:ascii="Calibri" w:eastAsia="Calibri" w:hAnsi="Calibri" w:cs="Calibri"/>
        </w:rPr>
        <w:t xml:space="preserve"> West Kent </w:t>
      </w:r>
      <w:r w:rsidR="00AC4EC9">
        <w:rPr>
          <w:rFonts w:ascii="Calibri" w:eastAsia="Calibri" w:hAnsi="Calibri" w:cs="Calibri"/>
        </w:rPr>
        <w:t xml:space="preserve">districts </w:t>
      </w:r>
      <w:r w:rsidRPr="5E4DB3C2">
        <w:rPr>
          <w:rFonts w:ascii="Calibri" w:eastAsia="Calibri" w:hAnsi="Calibri" w:cs="Calibri"/>
        </w:rPr>
        <w:t>than the Kent average. The survey also indicates that the percentage of overweight or obese adults in West Kent (58.4%) is less than in Kent (63.2%).</w:t>
      </w:r>
    </w:p>
    <w:p w14:paraId="52A62D36" w14:textId="58BEFF7A" w:rsidR="00C665D0" w:rsidRPr="005A7955" w:rsidRDefault="00C665D0" w:rsidP="00753A65">
      <w:pPr>
        <w:rPr>
          <w:rFonts w:eastAsia="Calibri"/>
          <w:b/>
          <w:bCs/>
        </w:rPr>
      </w:pPr>
      <w:r w:rsidRPr="005A7955">
        <w:rPr>
          <w:rFonts w:eastAsia="Calibri"/>
          <w:b/>
          <w:bCs/>
        </w:rPr>
        <w:t>Figure 4</w:t>
      </w:r>
      <w:r w:rsidR="00243B5B">
        <w:rPr>
          <w:rFonts w:eastAsia="Calibri"/>
          <w:b/>
          <w:bCs/>
        </w:rPr>
        <w:t>1</w:t>
      </w:r>
      <w:r w:rsidRPr="005A7955">
        <w:rPr>
          <w:rFonts w:eastAsia="Calibri"/>
          <w:b/>
          <w:bCs/>
        </w:rPr>
        <w:t xml:space="preserve"> Percentage of adults classed as obese by </w:t>
      </w:r>
      <w:r w:rsidR="00796AF9" w:rsidRPr="005A7955">
        <w:rPr>
          <w:rFonts w:eastAsia="Calibri"/>
          <w:b/>
          <w:bCs/>
        </w:rPr>
        <w:t>district.</w:t>
      </w:r>
    </w:p>
    <w:p w14:paraId="4C21492F" w14:textId="0A179B16" w:rsidR="004B3D2D" w:rsidRDefault="00C665D0" w:rsidP="00C665D0">
      <w:r>
        <w:rPr>
          <w:noProof/>
        </w:rPr>
        <w:drawing>
          <wp:inline distT="0" distB="0" distL="0" distR="0" wp14:anchorId="46CED207" wp14:editId="295CCF58">
            <wp:extent cx="5138069" cy="2932981"/>
            <wp:effectExtent l="0" t="0" r="5715" b="1270"/>
            <wp:docPr id="786649520" name="Picture 786649520" descr="Column chart showing percentage of adults classed as obese in Maidstone district (20.4%), Sevenoaks district (22.6%), Tonbridge and Malling district (23.4%) and Tunbridge Wells district (22.5%). The Kent benchmark is 2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49520" name="Picture 786649520" descr="Column chart showing percentage of adults classed as obese in Maidstone district (20.4%), Sevenoaks district (22.6%), Tonbridge and Malling district (23.4%) and Tunbridge Wells district (22.5%). The Kent benchmark is 26%. "/>
                    <pic:cNvPicPr/>
                  </pic:nvPicPr>
                  <pic:blipFill>
                    <a:blip r:embed="rId88">
                      <a:extLst>
                        <a:ext uri="{28A0092B-C50C-407E-A947-70E740481C1C}">
                          <a14:useLocalDpi xmlns:a14="http://schemas.microsoft.com/office/drawing/2010/main" val="0"/>
                        </a:ext>
                      </a:extLst>
                    </a:blip>
                    <a:stretch>
                      <a:fillRect/>
                    </a:stretch>
                  </pic:blipFill>
                  <pic:spPr>
                    <a:xfrm>
                      <a:off x="0" y="0"/>
                      <a:ext cx="5150720" cy="2940202"/>
                    </a:xfrm>
                    <a:prstGeom prst="rect">
                      <a:avLst/>
                    </a:prstGeom>
                  </pic:spPr>
                </pic:pic>
              </a:graphicData>
            </a:graphic>
          </wp:inline>
        </w:drawing>
      </w:r>
    </w:p>
    <w:p w14:paraId="46A56313" w14:textId="77777777" w:rsidR="004B3D2D" w:rsidRDefault="004B3D2D">
      <w:pPr>
        <w:spacing w:before="0" w:after="200"/>
      </w:pPr>
      <w:r>
        <w:br w:type="page"/>
      </w:r>
    </w:p>
    <w:p w14:paraId="34015E60" w14:textId="08620825" w:rsidR="00C665D0" w:rsidRPr="005A7955" w:rsidRDefault="00C665D0" w:rsidP="00753A65">
      <w:pPr>
        <w:rPr>
          <w:rFonts w:eastAsia="Calibri"/>
          <w:b/>
          <w:bCs/>
        </w:rPr>
      </w:pPr>
      <w:r w:rsidRPr="005A7955">
        <w:rPr>
          <w:rFonts w:eastAsia="Calibri"/>
          <w:b/>
          <w:bCs/>
        </w:rPr>
        <w:lastRenderedPageBreak/>
        <w:t>Figure 4</w:t>
      </w:r>
      <w:r w:rsidR="00243B5B">
        <w:rPr>
          <w:rFonts w:eastAsia="Calibri"/>
          <w:b/>
          <w:bCs/>
        </w:rPr>
        <w:t>2</w:t>
      </w:r>
      <w:r w:rsidRPr="005A7955">
        <w:rPr>
          <w:rFonts w:eastAsia="Calibri"/>
          <w:b/>
          <w:bCs/>
        </w:rPr>
        <w:t xml:space="preserve"> Percentage of adults classed as obese in West Kent and Kent</w:t>
      </w:r>
      <w:r w:rsidR="005A7955" w:rsidRPr="005A7955">
        <w:rPr>
          <w:rFonts w:eastAsia="Calibri"/>
          <w:b/>
          <w:bCs/>
        </w:rPr>
        <w:t>, 2015/16 to 2020/21</w:t>
      </w:r>
    </w:p>
    <w:p w14:paraId="7EC9D87E" w14:textId="2E895239" w:rsidR="00687630" w:rsidRDefault="00C665D0" w:rsidP="00C665D0">
      <w:r>
        <w:rPr>
          <w:noProof/>
        </w:rPr>
        <w:drawing>
          <wp:inline distT="0" distB="0" distL="0" distR="0" wp14:anchorId="782BC096" wp14:editId="516D5A9E">
            <wp:extent cx="5460521" cy="3082919"/>
            <wp:effectExtent l="0" t="0" r="6985" b="3810"/>
            <wp:docPr id="1258904692" name="Picture 1258904692" descr="Line graph showing percentage of adults classified as obese in West Kent from 2015/16 to 2020/21. West Kent consistently has lower rates than Kent, sitting at around 20% and 25%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04692" name="Picture 1258904692" descr="Line graph showing percentage of adults classified as obese in West Kent from 2015/16 to 2020/21. West Kent consistently has lower rates than Kent, sitting at around 20% and 25% respectively. "/>
                    <pic:cNvPicPr/>
                  </pic:nvPicPr>
                  <pic:blipFill>
                    <a:blip r:embed="rId89">
                      <a:extLst>
                        <a:ext uri="{28A0092B-C50C-407E-A947-70E740481C1C}">
                          <a14:useLocalDpi xmlns:a14="http://schemas.microsoft.com/office/drawing/2010/main" val="0"/>
                        </a:ext>
                      </a:extLst>
                    </a:blip>
                    <a:stretch>
                      <a:fillRect/>
                    </a:stretch>
                  </pic:blipFill>
                  <pic:spPr>
                    <a:xfrm>
                      <a:off x="0" y="0"/>
                      <a:ext cx="5490243" cy="3099699"/>
                    </a:xfrm>
                    <a:prstGeom prst="rect">
                      <a:avLst/>
                    </a:prstGeom>
                  </pic:spPr>
                </pic:pic>
              </a:graphicData>
            </a:graphic>
          </wp:inline>
        </w:drawing>
      </w:r>
    </w:p>
    <w:p w14:paraId="775CC46F" w14:textId="308805A2" w:rsidR="00C665D0" w:rsidRPr="005A7955" w:rsidRDefault="00C665D0" w:rsidP="00753A65">
      <w:pPr>
        <w:rPr>
          <w:rFonts w:eastAsia="Calibri"/>
          <w:b/>
          <w:bCs/>
        </w:rPr>
      </w:pPr>
      <w:r w:rsidRPr="005A7955">
        <w:rPr>
          <w:rFonts w:eastAsia="Calibri"/>
          <w:b/>
          <w:bCs/>
        </w:rPr>
        <w:t>Table 5 Percentage of adults classified as obese in West Kent districts, West Kent, and Kent from 2015</w:t>
      </w:r>
      <w:r w:rsidR="00435668">
        <w:rPr>
          <w:rFonts w:eastAsia="Calibri"/>
          <w:b/>
          <w:bCs/>
        </w:rPr>
        <w:t>/16</w:t>
      </w:r>
      <w:r w:rsidRPr="005A7955">
        <w:rPr>
          <w:rFonts w:eastAsia="Calibri"/>
          <w:b/>
          <w:bCs/>
        </w:rPr>
        <w:t xml:space="preserve"> to 202</w:t>
      </w:r>
      <w:r w:rsidR="00435668">
        <w:rPr>
          <w:rFonts w:eastAsia="Calibri"/>
          <w:b/>
          <w:bCs/>
        </w:rPr>
        <w:t>0/21</w:t>
      </w:r>
    </w:p>
    <w:tbl>
      <w:tblPr>
        <w:tblW w:w="0" w:type="auto"/>
        <w:tblInd w:w="75" w:type="dxa"/>
        <w:tblLayout w:type="fixed"/>
        <w:tblLook w:val="06A0" w:firstRow="1" w:lastRow="0" w:firstColumn="1" w:lastColumn="0" w:noHBand="1" w:noVBand="1"/>
      </w:tblPr>
      <w:tblGrid>
        <w:gridCol w:w="2370"/>
        <w:gridCol w:w="1035"/>
        <w:gridCol w:w="1035"/>
        <w:gridCol w:w="1035"/>
        <w:gridCol w:w="1035"/>
        <w:gridCol w:w="1035"/>
        <w:gridCol w:w="1035"/>
      </w:tblGrid>
      <w:tr w:rsidR="00C665D0" w14:paraId="12F6CF2E" w14:textId="77777777" w:rsidTr="000139B2">
        <w:trPr>
          <w:trHeight w:val="285"/>
        </w:trPr>
        <w:tc>
          <w:tcPr>
            <w:tcW w:w="2370" w:type="dxa"/>
            <w:tcBorders>
              <w:top w:val="single" w:sz="12" w:space="0" w:color="auto"/>
              <w:left w:val="single" w:sz="12" w:space="0" w:color="auto"/>
              <w:bottom w:val="single" w:sz="8" w:space="0" w:color="auto"/>
              <w:right w:val="single" w:sz="8" w:space="0" w:color="auto"/>
            </w:tcBorders>
            <w:shd w:val="clear" w:color="auto" w:fill="2D7D82"/>
          </w:tcPr>
          <w:p w14:paraId="3CE8DDF2" w14:textId="77777777" w:rsidR="00C665D0" w:rsidRDefault="00C665D0">
            <w:r w:rsidRPr="5E4DB3C2">
              <w:rPr>
                <w:rFonts w:ascii="Calibri" w:eastAsia="Calibri" w:hAnsi="Calibri" w:cs="Calibri"/>
                <w:b/>
                <w:bCs/>
                <w:color w:val="FFFFFF" w:themeColor="background1"/>
              </w:rPr>
              <w:t>Area</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4C975E10" w14:textId="77777777" w:rsidR="00C665D0" w:rsidRPr="000139B2" w:rsidRDefault="00C665D0">
            <w:pPr>
              <w:jc w:val="center"/>
              <w:rPr>
                <w:sz w:val="22"/>
                <w:szCs w:val="22"/>
              </w:rPr>
            </w:pPr>
            <w:r w:rsidRPr="000139B2">
              <w:rPr>
                <w:rFonts w:ascii="Calibri" w:eastAsia="Calibri" w:hAnsi="Calibri" w:cs="Calibri"/>
                <w:b/>
                <w:bCs/>
                <w:color w:val="FFFFFF" w:themeColor="background1"/>
                <w:sz w:val="22"/>
                <w:szCs w:val="22"/>
              </w:rPr>
              <w:t>2015/16</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66005AC9" w14:textId="77777777" w:rsidR="00C665D0" w:rsidRPr="000139B2" w:rsidRDefault="00C665D0">
            <w:pPr>
              <w:jc w:val="center"/>
              <w:rPr>
                <w:sz w:val="22"/>
                <w:szCs w:val="22"/>
              </w:rPr>
            </w:pPr>
            <w:r w:rsidRPr="000139B2">
              <w:rPr>
                <w:rFonts w:ascii="Calibri" w:eastAsia="Calibri" w:hAnsi="Calibri" w:cs="Calibri"/>
                <w:b/>
                <w:bCs/>
                <w:color w:val="FFFFFF" w:themeColor="background1"/>
                <w:sz w:val="22"/>
                <w:szCs w:val="22"/>
              </w:rPr>
              <w:t>2016/17</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36A7BC18" w14:textId="77777777" w:rsidR="00C665D0" w:rsidRPr="000139B2" w:rsidRDefault="00C665D0">
            <w:pPr>
              <w:jc w:val="center"/>
              <w:rPr>
                <w:sz w:val="22"/>
                <w:szCs w:val="22"/>
              </w:rPr>
            </w:pPr>
            <w:r w:rsidRPr="000139B2">
              <w:rPr>
                <w:rFonts w:ascii="Calibri" w:eastAsia="Calibri" w:hAnsi="Calibri" w:cs="Calibri"/>
                <w:b/>
                <w:bCs/>
                <w:color w:val="FFFFFF" w:themeColor="background1"/>
                <w:sz w:val="22"/>
                <w:szCs w:val="22"/>
              </w:rPr>
              <w:t>2017/18</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5BE7ADD9" w14:textId="77777777" w:rsidR="00C665D0" w:rsidRPr="000139B2" w:rsidRDefault="00C665D0">
            <w:pPr>
              <w:jc w:val="center"/>
              <w:rPr>
                <w:sz w:val="22"/>
                <w:szCs w:val="22"/>
              </w:rPr>
            </w:pPr>
            <w:r w:rsidRPr="000139B2">
              <w:rPr>
                <w:rFonts w:ascii="Calibri" w:eastAsia="Calibri" w:hAnsi="Calibri" w:cs="Calibri"/>
                <w:b/>
                <w:bCs/>
                <w:color w:val="FFFFFF" w:themeColor="background1"/>
                <w:sz w:val="22"/>
                <w:szCs w:val="22"/>
              </w:rPr>
              <w:t>2018/19</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62054275" w14:textId="77777777" w:rsidR="00C665D0" w:rsidRPr="000139B2" w:rsidRDefault="00C665D0">
            <w:pPr>
              <w:jc w:val="center"/>
              <w:rPr>
                <w:sz w:val="22"/>
                <w:szCs w:val="22"/>
              </w:rPr>
            </w:pPr>
            <w:r w:rsidRPr="000139B2">
              <w:rPr>
                <w:rFonts w:ascii="Calibri" w:eastAsia="Calibri" w:hAnsi="Calibri" w:cs="Calibri"/>
                <w:b/>
                <w:bCs/>
                <w:color w:val="FFFFFF" w:themeColor="background1"/>
                <w:sz w:val="22"/>
                <w:szCs w:val="22"/>
              </w:rPr>
              <w:t>2019/20</w:t>
            </w:r>
          </w:p>
        </w:tc>
        <w:tc>
          <w:tcPr>
            <w:tcW w:w="1035" w:type="dxa"/>
            <w:tcBorders>
              <w:top w:val="single" w:sz="12" w:space="0" w:color="auto"/>
              <w:left w:val="single" w:sz="8" w:space="0" w:color="auto"/>
              <w:bottom w:val="single" w:sz="8" w:space="0" w:color="auto"/>
              <w:right w:val="single" w:sz="12" w:space="0" w:color="auto"/>
            </w:tcBorders>
            <w:shd w:val="clear" w:color="auto" w:fill="2D7D82"/>
          </w:tcPr>
          <w:p w14:paraId="7ED38088" w14:textId="77777777" w:rsidR="00C665D0" w:rsidRPr="000139B2" w:rsidRDefault="00C665D0">
            <w:pPr>
              <w:jc w:val="center"/>
              <w:rPr>
                <w:sz w:val="22"/>
                <w:szCs w:val="22"/>
              </w:rPr>
            </w:pPr>
            <w:r w:rsidRPr="000139B2">
              <w:rPr>
                <w:rFonts w:ascii="Calibri" w:eastAsia="Calibri" w:hAnsi="Calibri" w:cs="Calibri"/>
                <w:b/>
                <w:bCs/>
                <w:color w:val="FFFFFF" w:themeColor="background1"/>
                <w:sz w:val="22"/>
                <w:szCs w:val="22"/>
              </w:rPr>
              <w:t>2020/21</w:t>
            </w:r>
          </w:p>
        </w:tc>
      </w:tr>
      <w:tr w:rsidR="00C665D0" w14:paraId="5EB12230" w14:textId="77777777" w:rsidTr="000139B2">
        <w:trPr>
          <w:trHeight w:val="285"/>
        </w:trPr>
        <w:tc>
          <w:tcPr>
            <w:tcW w:w="2370" w:type="dxa"/>
            <w:tcBorders>
              <w:top w:val="single" w:sz="8" w:space="0" w:color="auto"/>
              <w:left w:val="single" w:sz="12" w:space="0" w:color="auto"/>
              <w:bottom w:val="single" w:sz="8" w:space="0" w:color="auto"/>
              <w:right w:val="single" w:sz="8" w:space="0" w:color="auto"/>
            </w:tcBorders>
            <w:shd w:val="clear" w:color="auto" w:fill="DDF1F3"/>
          </w:tcPr>
          <w:p w14:paraId="2176CF3C" w14:textId="77777777" w:rsidR="00C665D0" w:rsidRDefault="00C665D0">
            <w:r w:rsidRPr="5E4DB3C2">
              <w:rPr>
                <w:rFonts w:ascii="Calibri" w:eastAsia="Calibri" w:hAnsi="Calibri" w:cs="Calibri"/>
                <w:color w:val="000000" w:themeColor="text1"/>
              </w:rPr>
              <w:t>Maidstone</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65F8FB20" w14:textId="77777777" w:rsidR="00C665D0" w:rsidRDefault="00C665D0">
            <w:pPr>
              <w:jc w:val="center"/>
            </w:pPr>
            <w:r w:rsidRPr="5E4DB3C2">
              <w:rPr>
                <w:rFonts w:ascii="Calibri" w:eastAsia="Calibri" w:hAnsi="Calibri" w:cs="Calibri"/>
                <w:color w:val="000000" w:themeColor="text1"/>
              </w:rPr>
              <w:t>16.8%</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BC6DBA9" w14:textId="77777777" w:rsidR="00C665D0" w:rsidRDefault="00C665D0">
            <w:pPr>
              <w:jc w:val="center"/>
            </w:pPr>
            <w:r w:rsidRPr="5E4DB3C2">
              <w:rPr>
                <w:rFonts w:ascii="Calibri" w:eastAsia="Calibri" w:hAnsi="Calibri" w:cs="Calibri"/>
                <w:color w:val="000000" w:themeColor="text1"/>
              </w:rPr>
              <w:t>21.8%</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36E59E7D" w14:textId="77777777" w:rsidR="00C665D0" w:rsidRDefault="00C665D0">
            <w:pPr>
              <w:jc w:val="center"/>
            </w:pPr>
            <w:r w:rsidRPr="5E4DB3C2">
              <w:rPr>
                <w:rFonts w:ascii="Calibri" w:eastAsia="Calibri" w:hAnsi="Calibri" w:cs="Calibri"/>
                <w:color w:val="000000" w:themeColor="text1"/>
              </w:rPr>
              <w:t>20.7%</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21FDEED0" w14:textId="77777777" w:rsidR="00C665D0" w:rsidRDefault="00C665D0">
            <w:pPr>
              <w:jc w:val="center"/>
            </w:pPr>
            <w:r w:rsidRPr="5E4DB3C2">
              <w:rPr>
                <w:rFonts w:ascii="Calibri" w:eastAsia="Calibri" w:hAnsi="Calibri" w:cs="Calibri"/>
                <w:color w:val="000000" w:themeColor="text1"/>
              </w:rPr>
              <w:t>19.5%</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25BF6D64" w14:textId="77777777" w:rsidR="00C665D0" w:rsidRDefault="00C665D0">
            <w:pPr>
              <w:jc w:val="center"/>
            </w:pPr>
            <w:r w:rsidRPr="5E4DB3C2">
              <w:rPr>
                <w:rFonts w:ascii="Calibri" w:eastAsia="Calibri" w:hAnsi="Calibri" w:cs="Calibri"/>
                <w:color w:val="000000" w:themeColor="text1"/>
              </w:rPr>
              <w:t>25.2%</w:t>
            </w:r>
          </w:p>
        </w:tc>
        <w:tc>
          <w:tcPr>
            <w:tcW w:w="1035" w:type="dxa"/>
            <w:tcBorders>
              <w:top w:val="single" w:sz="8" w:space="0" w:color="auto"/>
              <w:left w:val="single" w:sz="8" w:space="0" w:color="auto"/>
              <w:bottom w:val="single" w:sz="8" w:space="0" w:color="auto"/>
              <w:right w:val="single" w:sz="12" w:space="0" w:color="auto"/>
            </w:tcBorders>
            <w:shd w:val="clear" w:color="auto" w:fill="DDF1F3"/>
          </w:tcPr>
          <w:p w14:paraId="3BD46846" w14:textId="77777777" w:rsidR="00C665D0" w:rsidRDefault="00C665D0">
            <w:pPr>
              <w:jc w:val="center"/>
            </w:pPr>
            <w:r w:rsidRPr="5E4DB3C2">
              <w:rPr>
                <w:rFonts w:ascii="Calibri" w:eastAsia="Calibri" w:hAnsi="Calibri" w:cs="Calibri"/>
                <w:color w:val="000000" w:themeColor="text1"/>
              </w:rPr>
              <w:t>20.4%</w:t>
            </w:r>
          </w:p>
        </w:tc>
      </w:tr>
      <w:tr w:rsidR="00C665D0" w14:paraId="6496804D" w14:textId="77777777" w:rsidTr="000139B2">
        <w:trPr>
          <w:trHeight w:val="285"/>
        </w:trPr>
        <w:tc>
          <w:tcPr>
            <w:tcW w:w="2370" w:type="dxa"/>
            <w:tcBorders>
              <w:top w:val="single" w:sz="8" w:space="0" w:color="auto"/>
              <w:left w:val="single" w:sz="12" w:space="0" w:color="auto"/>
              <w:bottom w:val="single" w:sz="8" w:space="0" w:color="auto"/>
              <w:right w:val="single" w:sz="8" w:space="0" w:color="auto"/>
            </w:tcBorders>
            <w:shd w:val="clear" w:color="auto" w:fill="DDF1F3"/>
          </w:tcPr>
          <w:p w14:paraId="4C7986B2" w14:textId="77777777" w:rsidR="00C665D0" w:rsidRDefault="00C665D0">
            <w:r w:rsidRPr="5E4DB3C2">
              <w:rPr>
                <w:rFonts w:ascii="Calibri" w:eastAsia="Calibri" w:hAnsi="Calibri" w:cs="Calibri"/>
                <w:color w:val="000000" w:themeColor="text1"/>
              </w:rPr>
              <w:t>Sevenoaks</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6D312CC8" w14:textId="77777777" w:rsidR="00C665D0" w:rsidRDefault="00C665D0">
            <w:pPr>
              <w:jc w:val="center"/>
            </w:pPr>
            <w:r w:rsidRPr="5E4DB3C2">
              <w:rPr>
                <w:rFonts w:ascii="Calibri" w:eastAsia="Calibri" w:hAnsi="Calibri" w:cs="Calibri"/>
                <w:color w:val="000000" w:themeColor="text1"/>
              </w:rPr>
              <w:t>16.0%</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28FF7DC" w14:textId="77777777" w:rsidR="00C665D0" w:rsidRDefault="00C665D0">
            <w:pPr>
              <w:jc w:val="center"/>
            </w:pPr>
            <w:r w:rsidRPr="5E4DB3C2">
              <w:rPr>
                <w:rFonts w:ascii="Calibri" w:eastAsia="Calibri" w:hAnsi="Calibri" w:cs="Calibri"/>
                <w:color w:val="000000" w:themeColor="text1"/>
              </w:rPr>
              <w:t>18.6%</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3824687F" w14:textId="77777777" w:rsidR="00C665D0" w:rsidRDefault="00C665D0">
            <w:pPr>
              <w:jc w:val="center"/>
            </w:pPr>
            <w:r w:rsidRPr="5E4DB3C2">
              <w:rPr>
                <w:rFonts w:ascii="Calibri" w:eastAsia="Calibri" w:hAnsi="Calibri" w:cs="Calibri"/>
                <w:color w:val="000000" w:themeColor="text1"/>
              </w:rPr>
              <w:t>20.7%</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67C9A51A" w14:textId="77777777" w:rsidR="00C665D0" w:rsidRDefault="00C665D0">
            <w:pPr>
              <w:jc w:val="center"/>
            </w:pPr>
            <w:r w:rsidRPr="5E4DB3C2">
              <w:rPr>
                <w:rFonts w:ascii="Calibri" w:eastAsia="Calibri" w:hAnsi="Calibri" w:cs="Calibri"/>
                <w:color w:val="000000" w:themeColor="text1"/>
              </w:rPr>
              <w:t>18.2%</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3DCFD5E6" w14:textId="77777777" w:rsidR="00C665D0" w:rsidRDefault="00C665D0">
            <w:pPr>
              <w:jc w:val="center"/>
            </w:pPr>
            <w:r w:rsidRPr="5E4DB3C2">
              <w:rPr>
                <w:rFonts w:ascii="Calibri" w:eastAsia="Calibri" w:hAnsi="Calibri" w:cs="Calibri"/>
                <w:color w:val="000000" w:themeColor="text1"/>
              </w:rPr>
              <w:t>21.4%</w:t>
            </w:r>
          </w:p>
        </w:tc>
        <w:tc>
          <w:tcPr>
            <w:tcW w:w="1035" w:type="dxa"/>
            <w:tcBorders>
              <w:top w:val="single" w:sz="8" w:space="0" w:color="auto"/>
              <w:left w:val="single" w:sz="8" w:space="0" w:color="auto"/>
              <w:bottom w:val="single" w:sz="8" w:space="0" w:color="auto"/>
              <w:right w:val="single" w:sz="12" w:space="0" w:color="auto"/>
            </w:tcBorders>
            <w:shd w:val="clear" w:color="auto" w:fill="DDF1F3"/>
          </w:tcPr>
          <w:p w14:paraId="694DB145" w14:textId="77777777" w:rsidR="00C665D0" w:rsidRDefault="00C665D0">
            <w:pPr>
              <w:jc w:val="center"/>
            </w:pPr>
            <w:r w:rsidRPr="5E4DB3C2">
              <w:rPr>
                <w:rFonts w:ascii="Calibri" w:eastAsia="Calibri" w:hAnsi="Calibri" w:cs="Calibri"/>
                <w:color w:val="000000" w:themeColor="text1"/>
              </w:rPr>
              <w:t>22.6%</w:t>
            </w:r>
          </w:p>
        </w:tc>
      </w:tr>
      <w:tr w:rsidR="00C665D0" w14:paraId="5C9C6F95" w14:textId="77777777" w:rsidTr="000139B2">
        <w:trPr>
          <w:trHeight w:val="285"/>
        </w:trPr>
        <w:tc>
          <w:tcPr>
            <w:tcW w:w="2370" w:type="dxa"/>
            <w:tcBorders>
              <w:top w:val="single" w:sz="8" w:space="0" w:color="auto"/>
              <w:left w:val="single" w:sz="12" w:space="0" w:color="auto"/>
              <w:bottom w:val="single" w:sz="8" w:space="0" w:color="auto"/>
              <w:right w:val="single" w:sz="8" w:space="0" w:color="auto"/>
            </w:tcBorders>
            <w:shd w:val="clear" w:color="auto" w:fill="DDF1F3"/>
          </w:tcPr>
          <w:p w14:paraId="7CC4FAD0" w14:textId="77777777" w:rsidR="00C665D0" w:rsidRDefault="00C665D0">
            <w:r w:rsidRPr="5E4DB3C2">
              <w:rPr>
                <w:rFonts w:ascii="Calibri" w:eastAsia="Calibri" w:hAnsi="Calibri" w:cs="Calibri"/>
                <w:color w:val="000000" w:themeColor="text1"/>
              </w:rPr>
              <w:t>Tonbridge and Malling</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2BD6EC88" w14:textId="77777777" w:rsidR="00C665D0" w:rsidRDefault="00C665D0">
            <w:pPr>
              <w:jc w:val="center"/>
            </w:pPr>
            <w:r w:rsidRPr="5E4DB3C2">
              <w:rPr>
                <w:rFonts w:ascii="Calibri" w:eastAsia="Calibri" w:hAnsi="Calibri" w:cs="Calibri"/>
                <w:color w:val="000000" w:themeColor="text1"/>
              </w:rPr>
              <w:t>21.4%</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6F3CF7B1" w14:textId="77777777" w:rsidR="00C665D0" w:rsidRDefault="00C665D0">
            <w:pPr>
              <w:jc w:val="center"/>
            </w:pPr>
            <w:r w:rsidRPr="5E4DB3C2">
              <w:rPr>
                <w:rFonts w:ascii="Calibri" w:eastAsia="Calibri" w:hAnsi="Calibri" w:cs="Calibri"/>
                <w:color w:val="000000" w:themeColor="text1"/>
              </w:rPr>
              <w:t>21.4%</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0F73CC9" w14:textId="77777777" w:rsidR="00C665D0" w:rsidRDefault="00C665D0">
            <w:pPr>
              <w:jc w:val="center"/>
            </w:pPr>
            <w:r w:rsidRPr="5E4DB3C2">
              <w:rPr>
                <w:rFonts w:ascii="Calibri" w:eastAsia="Calibri" w:hAnsi="Calibri" w:cs="Calibri"/>
                <w:color w:val="000000" w:themeColor="text1"/>
              </w:rPr>
              <w:t>23.3%</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77E3ABAE" w14:textId="77777777" w:rsidR="00C665D0" w:rsidRDefault="00C665D0">
            <w:pPr>
              <w:jc w:val="center"/>
            </w:pPr>
            <w:r w:rsidRPr="5E4DB3C2">
              <w:rPr>
                <w:rFonts w:ascii="Calibri" w:eastAsia="Calibri" w:hAnsi="Calibri" w:cs="Calibri"/>
                <w:color w:val="000000" w:themeColor="text1"/>
              </w:rPr>
              <w:t>23.1%</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743E290B" w14:textId="77777777" w:rsidR="00C665D0" w:rsidRDefault="00C665D0">
            <w:pPr>
              <w:jc w:val="center"/>
            </w:pPr>
            <w:r w:rsidRPr="5E4DB3C2">
              <w:rPr>
                <w:rFonts w:ascii="Calibri" w:eastAsia="Calibri" w:hAnsi="Calibri" w:cs="Calibri"/>
                <w:color w:val="000000" w:themeColor="text1"/>
              </w:rPr>
              <w:t>21.8%</w:t>
            </w:r>
          </w:p>
        </w:tc>
        <w:tc>
          <w:tcPr>
            <w:tcW w:w="1035" w:type="dxa"/>
            <w:tcBorders>
              <w:top w:val="single" w:sz="8" w:space="0" w:color="auto"/>
              <w:left w:val="single" w:sz="8" w:space="0" w:color="auto"/>
              <w:bottom w:val="single" w:sz="8" w:space="0" w:color="auto"/>
              <w:right w:val="single" w:sz="12" w:space="0" w:color="auto"/>
            </w:tcBorders>
            <w:shd w:val="clear" w:color="auto" w:fill="DDF1F3"/>
          </w:tcPr>
          <w:p w14:paraId="0FB98E80" w14:textId="77777777" w:rsidR="00C665D0" w:rsidRDefault="00C665D0">
            <w:pPr>
              <w:jc w:val="center"/>
            </w:pPr>
            <w:r w:rsidRPr="5E4DB3C2">
              <w:rPr>
                <w:rFonts w:ascii="Calibri" w:eastAsia="Calibri" w:hAnsi="Calibri" w:cs="Calibri"/>
                <w:color w:val="000000" w:themeColor="text1"/>
              </w:rPr>
              <w:t>23.4%</w:t>
            </w:r>
          </w:p>
        </w:tc>
      </w:tr>
      <w:tr w:rsidR="00C665D0" w14:paraId="4D58E233" w14:textId="77777777" w:rsidTr="000139B2">
        <w:trPr>
          <w:trHeight w:val="300"/>
        </w:trPr>
        <w:tc>
          <w:tcPr>
            <w:tcW w:w="2370" w:type="dxa"/>
            <w:tcBorders>
              <w:top w:val="single" w:sz="8" w:space="0" w:color="auto"/>
              <w:left w:val="single" w:sz="12" w:space="0" w:color="auto"/>
              <w:bottom w:val="nil"/>
              <w:right w:val="single" w:sz="8" w:space="0" w:color="auto"/>
            </w:tcBorders>
            <w:shd w:val="clear" w:color="auto" w:fill="DDF1F3"/>
          </w:tcPr>
          <w:p w14:paraId="787191F9" w14:textId="77777777" w:rsidR="00C665D0" w:rsidRDefault="00C665D0">
            <w:r w:rsidRPr="5E4DB3C2">
              <w:rPr>
                <w:rFonts w:ascii="Calibri" w:eastAsia="Calibri" w:hAnsi="Calibri" w:cs="Calibri"/>
                <w:color w:val="000000" w:themeColor="text1"/>
              </w:rPr>
              <w:t>Tunbridge Wells</w:t>
            </w:r>
          </w:p>
        </w:tc>
        <w:tc>
          <w:tcPr>
            <w:tcW w:w="1035" w:type="dxa"/>
            <w:tcBorders>
              <w:top w:val="single" w:sz="8" w:space="0" w:color="auto"/>
              <w:left w:val="single" w:sz="8" w:space="0" w:color="auto"/>
              <w:bottom w:val="nil"/>
              <w:right w:val="single" w:sz="8" w:space="0" w:color="auto"/>
            </w:tcBorders>
            <w:shd w:val="clear" w:color="auto" w:fill="DDF1F3"/>
          </w:tcPr>
          <w:p w14:paraId="37F9FE69" w14:textId="77777777" w:rsidR="00C665D0" w:rsidRDefault="00C665D0">
            <w:pPr>
              <w:jc w:val="center"/>
            </w:pPr>
            <w:r w:rsidRPr="5E4DB3C2">
              <w:rPr>
                <w:rFonts w:ascii="Calibri" w:eastAsia="Calibri" w:hAnsi="Calibri" w:cs="Calibri"/>
                <w:color w:val="000000" w:themeColor="text1"/>
              </w:rPr>
              <w:t>16.1%</w:t>
            </w:r>
          </w:p>
        </w:tc>
        <w:tc>
          <w:tcPr>
            <w:tcW w:w="1035" w:type="dxa"/>
            <w:tcBorders>
              <w:top w:val="single" w:sz="8" w:space="0" w:color="auto"/>
              <w:left w:val="single" w:sz="8" w:space="0" w:color="auto"/>
              <w:bottom w:val="nil"/>
              <w:right w:val="single" w:sz="8" w:space="0" w:color="auto"/>
            </w:tcBorders>
            <w:shd w:val="clear" w:color="auto" w:fill="DDF1F3"/>
          </w:tcPr>
          <w:p w14:paraId="0CA1CCDA" w14:textId="77777777" w:rsidR="00C665D0" w:rsidRDefault="00C665D0">
            <w:pPr>
              <w:jc w:val="center"/>
            </w:pPr>
            <w:r w:rsidRPr="5E4DB3C2">
              <w:rPr>
                <w:rFonts w:ascii="Calibri" w:eastAsia="Calibri" w:hAnsi="Calibri" w:cs="Calibri"/>
                <w:color w:val="000000" w:themeColor="text1"/>
              </w:rPr>
              <w:t>12.0%</w:t>
            </w:r>
          </w:p>
        </w:tc>
        <w:tc>
          <w:tcPr>
            <w:tcW w:w="1035" w:type="dxa"/>
            <w:tcBorders>
              <w:top w:val="single" w:sz="8" w:space="0" w:color="auto"/>
              <w:left w:val="single" w:sz="8" w:space="0" w:color="auto"/>
              <w:bottom w:val="nil"/>
              <w:right w:val="single" w:sz="8" w:space="0" w:color="auto"/>
            </w:tcBorders>
            <w:shd w:val="clear" w:color="auto" w:fill="DDF1F3"/>
          </w:tcPr>
          <w:p w14:paraId="363C7E58" w14:textId="77777777" w:rsidR="00C665D0" w:rsidRDefault="00C665D0">
            <w:pPr>
              <w:jc w:val="center"/>
            </w:pPr>
            <w:r w:rsidRPr="5E4DB3C2">
              <w:rPr>
                <w:rFonts w:ascii="Calibri" w:eastAsia="Calibri" w:hAnsi="Calibri" w:cs="Calibri"/>
                <w:color w:val="000000" w:themeColor="text1"/>
              </w:rPr>
              <w:t>18.5%</w:t>
            </w:r>
          </w:p>
        </w:tc>
        <w:tc>
          <w:tcPr>
            <w:tcW w:w="1035" w:type="dxa"/>
            <w:tcBorders>
              <w:top w:val="single" w:sz="8" w:space="0" w:color="auto"/>
              <w:left w:val="single" w:sz="8" w:space="0" w:color="auto"/>
              <w:bottom w:val="nil"/>
              <w:right w:val="single" w:sz="8" w:space="0" w:color="auto"/>
            </w:tcBorders>
            <w:shd w:val="clear" w:color="auto" w:fill="DDF1F3"/>
          </w:tcPr>
          <w:p w14:paraId="49C7C3D2" w14:textId="77777777" w:rsidR="00C665D0" w:rsidRDefault="00C665D0">
            <w:pPr>
              <w:jc w:val="center"/>
            </w:pPr>
            <w:r w:rsidRPr="5E4DB3C2">
              <w:rPr>
                <w:rFonts w:ascii="Calibri" w:eastAsia="Calibri" w:hAnsi="Calibri" w:cs="Calibri"/>
                <w:color w:val="000000" w:themeColor="text1"/>
              </w:rPr>
              <w:t>18.5%</w:t>
            </w:r>
          </w:p>
        </w:tc>
        <w:tc>
          <w:tcPr>
            <w:tcW w:w="1035" w:type="dxa"/>
            <w:tcBorders>
              <w:top w:val="single" w:sz="8" w:space="0" w:color="auto"/>
              <w:left w:val="single" w:sz="8" w:space="0" w:color="auto"/>
              <w:bottom w:val="nil"/>
              <w:right w:val="single" w:sz="8" w:space="0" w:color="auto"/>
            </w:tcBorders>
            <w:shd w:val="clear" w:color="auto" w:fill="DDF1F3"/>
          </w:tcPr>
          <w:p w14:paraId="0FB01E91" w14:textId="77777777" w:rsidR="00C665D0" w:rsidRDefault="00C665D0">
            <w:pPr>
              <w:jc w:val="center"/>
            </w:pPr>
            <w:r w:rsidRPr="5E4DB3C2">
              <w:rPr>
                <w:rFonts w:ascii="Calibri" w:eastAsia="Calibri" w:hAnsi="Calibri" w:cs="Calibri"/>
                <w:color w:val="000000" w:themeColor="text1"/>
              </w:rPr>
              <w:t>15.6%</w:t>
            </w:r>
          </w:p>
        </w:tc>
        <w:tc>
          <w:tcPr>
            <w:tcW w:w="1035" w:type="dxa"/>
            <w:tcBorders>
              <w:top w:val="single" w:sz="8" w:space="0" w:color="auto"/>
              <w:left w:val="single" w:sz="8" w:space="0" w:color="auto"/>
              <w:bottom w:val="nil"/>
              <w:right w:val="single" w:sz="12" w:space="0" w:color="auto"/>
            </w:tcBorders>
            <w:shd w:val="clear" w:color="auto" w:fill="DDF1F3"/>
          </w:tcPr>
          <w:p w14:paraId="72915AE4" w14:textId="77777777" w:rsidR="00C665D0" w:rsidRDefault="00C665D0">
            <w:pPr>
              <w:jc w:val="center"/>
            </w:pPr>
            <w:r w:rsidRPr="5E4DB3C2">
              <w:rPr>
                <w:rFonts w:ascii="Calibri" w:eastAsia="Calibri" w:hAnsi="Calibri" w:cs="Calibri"/>
                <w:color w:val="000000" w:themeColor="text1"/>
              </w:rPr>
              <w:t>22.5%</w:t>
            </w:r>
          </w:p>
        </w:tc>
      </w:tr>
      <w:tr w:rsidR="00C665D0" w14:paraId="74DF64E0" w14:textId="77777777" w:rsidTr="000139B2">
        <w:trPr>
          <w:trHeight w:val="285"/>
        </w:trPr>
        <w:tc>
          <w:tcPr>
            <w:tcW w:w="2370" w:type="dxa"/>
            <w:tcBorders>
              <w:top w:val="single" w:sz="12" w:space="0" w:color="auto"/>
              <w:left w:val="single" w:sz="12" w:space="0" w:color="auto"/>
              <w:bottom w:val="single" w:sz="8" w:space="0" w:color="auto"/>
              <w:right w:val="single" w:sz="8" w:space="0" w:color="auto"/>
            </w:tcBorders>
            <w:shd w:val="clear" w:color="auto" w:fill="DDF1F3"/>
          </w:tcPr>
          <w:p w14:paraId="65EAA4A7" w14:textId="77777777" w:rsidR="00C665D0" w:rsidRDefault="00C665D0">
            <w:r w:rsidRPr="5E4DB3C2">
              <w:rPr>
                <w:rFonts w:ascii="Calibri" w:eastAsia="Calibri" w:hAnsi="Calibri" w:cs="Calibri"/>
                <w:color w:val="000000" w:themeColor="text1"/>
              </w:rPr>
              <w:t>West Kent districts</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75BB8A9C" w14:textId="77777777" w:rsidR="00C665D0" w:rsidRDefault="00C665D0">
            <w:pPr>
              <w:jc w:val="center"/>
            </w:pPr>
            <w:r w:rsidRPr="5E4DB3C2">
              <w:rPr>
                <w:rFonts w:ascii="Calibri" w:eastAsia="Calibri" w:hAnsi="Calibri" w:cs="Calibri"/>
                <w:color w:val="000000" w:themeColor="text1"/>
              </w:rPr>
              <w:t>17.5%</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36C16AC0" w14:textId="77777777" w:rsidR="00C665D0" w:rsidRDefault="00C665D0">
            <w:pPr>
              <w:jc w:val="center"/>
            </w:pPr>
            <w:r w:rsidRPr="5E4DB3C2">
              <w:rPr>
                <w:rFonts w:ascii="Calibri" w:eastAsia="Calibri" w:hAnsi="Calibri" w:cs="Calibri"/>
                <w:color w:val="000000" w:themeColor="text1"/>
              </w:rPr>
              <w:t>18.8%</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352906C4" w14:textId="77777777" w:rsidR="00C665D0" w:rsidRDefault="00C665D0">
            <w:pPr>
              <w:jc w:val="center"/>
            </w:pPr>
            <w:r w:rsidRPr="5E4DB3C2">
              <w:rPr>
                <w:rFonts w:ascii="Calibri" w:eastAsia="Calibri" w:hAnsi="Calibri" w:cs="Calibri"/>
                <w:color w:val="000000" w:themeColor="text1"/>
              </w:rPr>
              <w:t>20.8%</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01F55DD5" w14:textId="77777777" w:rsidR="00C665D0" w:rsidRDefault="00C665D0">
            <w:pPr>
              <w:jc w:val="center"/>
            </w:pPr>
            <w:r w:rsidRPr="5E4DB3C2">
              <w:rPr>
                <w:rFonts w:ascii="Calibri" w:eastAsia="Calibri" w:hAnsi="Calibri" w:cs="Calibri"/>
                <w:color w:val="000000" w:themeColor="text1"/>
              </w:rPr>
              <w:t>19.9%</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3D1D5293" w14:textId="77777777" w:rsidR="00C665D0" w:rsidRDefault="00C665D0">
            <w:pPr>
              <w:jc w:val="center"/>
            </w:pPr>
            <w:r w:rsidRPr="5E4DB3C2">
              <w:rPr>
                <w:rFonts w:ascii="Calibri" w:eastAsia="Calibri" w:hAnsi="Calibri" w:cs="Calibri"/>
                <w:color w:val="000000" w:themeColor="text1"/>
              </w:rPr>
              <w:t>21.5%</w:t>
            </w:r>
          </w:p>
        </w:tc>
        <w:tc>
          <w:tcPr>
            <w:tcW w:w="1035" w:type="dxa"/>
            <w:tcBorders>
              <w:top w:val="single" w:sz="12" w:space="0" w:color="auto"/>
              <w:left w:val="single" w:sz="8" w:space="0" w:color="auto"/>
              <w:bottom w:val="single" w:sz="8" w:space="0" w:color="auto"/>
              <w:right w:val="single" w:sz="12" w:space="0" w:color="auto"/>
            </w:tcBorders>
            <w:shd w:val="clear" w:color="auto" w:fill="DDF1F3"/>
          </w:tcPr>
          <w:p w14:paraId="28F5B2F7" w14:textId="77777777" w:rsidR="00C665D0" w:rsidRDefault="00C665D0">
            <w:pPr>
              <w:jc w:val="center"/>
            </w:pPr>
            <w:r w:rsidRPr="5E4DB3C2">
              <w:rPr>
                <w:rFonts w:ascii="Calibri" w:eastAsia="Calibri" w:hAnsi="Calibri" w:cs="Calibri"/>
                <w:color w:val="000000" w:themeColor="text1"/>
              </w:rPr>
              <w:t>22.1%</w:t>
            </w:r>
          </w:p>
        </w:tc>
      </w:tr>
      <w:tr w:rsidR="00C665D0" w14:paraId="43D56678" w14:textId="77777777" w:rsidTr="000139B2">
        <w:trPr>
          <w:trHeight w:val="300"/>
        </w:trPr>
        <w:tc>
          <w:tcPr>
            <w:tcW w:w="2370" w:type="dxa"/>
            <w:tcBorders>
              <w:top w:val="single" w:sz="8" w:space="0" w:color="auto"/>
              <w:left w:val="single" w:sz="12" w:space="0" w:color="auto"/>
              <w:bottom w:val="single" w:sz="12" w:space="0" w:color="auto"/>
              <w:right w:val="single" w:sz="8" w:space="0" w:color="auto"/>
            </w:tcBorders>
            <w:shd w:val="clear" w:color="auto" w:fill="DDF1F3"/>
          </w:tcPr>
          <w:p w14:paraId="392DD997" w14:textId="77777777" w:rsidR="00C665D0" w:rsidRDefault="00C665D0">
            <w:r w:rsidRPr="5E4DB3C2">
              <w:rPr>
                <w:rFonts w:ascii="Calibri" w:eastAsia="Calibri" w:hAnsi="Calibri" w:cs="Calibri"/>
                <w:color w:val="000000" w:themeColor="text1"/>
              </w:rPr>
              <w:t>Kent</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2F014535" w14:textId="77777777" w:rsidR="00C665D0" w:rsidRDefault="00C665D0">
            <w:pPr>
              <w:jc w:val="center"/>
            </w:pPr>
            <w:r w:rsidRPr="5E4DB3C2">
              <w:rPr>
                <w:rFonts w:ascii="Calibri" w:eastAsia="Calibri" w:hAnsi="Calibri" w:cs="Calibri"/>
                <w:color w:val="000000" w:themeColor="text1"/>
              </w:rPr>
              <w:t>23.1%</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5EC8C371" w14:textId="77777777" w:rsidR="00C665D0" w:rsidRDefault="00C665D0">
            <w:pPr>
              <w:jc w:val="center"/>
            </w:pPr>
            <w:r w:rsidRPr="5E4DB3C2">
              <w:rPr>
                <w:rFonts w:ascii="Calibri" w:eastAsia="Calibri" w:hAnsi="Calibri" w:cs="Calibri"/>
                <w:color w:val="000000" w:themeColor="text1"/>
              </w:rPr>
              <w:t>23.5%</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56FEA0F0" w14:textId="77777777" w:rsidR="00C665D0" w:rsidRDefault="00C665D0">
            <w:pPr>
              <w:jc w:val="center"/>
            </w:pPr>
            <w:r w:rsidRPr="5E4DB3C2">
              <w:rPr>
                <w:rFonts w:ascii="Calibri" w:eastAsia="Calibri" w:hAnsi="Calibri" w:cs="Calibri"/>
                <w:color w:val="000000" w:themeColor="text1"/>
              </w:rPr>
              <w:t>23.7%</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0170FDB2" w14:textId="77777777" w:rsidR="00C665D0" w:rsidRDefault="00C665D0">
            <w:pPr>
              <w:jc w:val="center"/>
            </w:pPr>
            <w:r w:rsidRPr="5E4DB3C2">
              <w:rPr>
                <w:rFonts w:ascii="Calibri" w:eastAsia="Calibri" w:hAnsi="Calibri" w:cs="Calibri"/>
                <w:color w:val="000000" w:themeColor="text1"/>
              </w:rPr>
              <w:t>24.6%</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66C1355B" w14:textId="77777777" w:rsidR="00C665D0" w:rsidRDefault="00C665D0">
            <w:pPr>
              <w:jc w:val="center"/>
            </w:pPr>
            <w:r w:rsidRPr="5E4DB3C2">
              <w:rPr>
                <w:rFonts w:ascii="Calibri" w:eastAsia="Calibri" w:hAnsi="Calibri" w:cs="Calibri"/>
                <w:color w:val="000000" w:themeColor="text1"/>
              </w:rPr>
              <w:t>25.9%</w:t>
            </w:r>
          </w:p>
        </w:tc>
        <w:tc>
          <w:tcPr>
            <w:tcW w:w="1035" w:type="dxa"/>
            <w:tcBorders>
              <w:top w:val="single" w:sz="8" w:space="0" w:color="auto"/>
              <w:left w:val="single" w:sz="8" w:space="0" w:color="auto"/>
              <w:bottom w:val="single" w:sz="12" w:space="0" w:color="auto"/>
              <w:right w:val="single" w:sz="12" w:space="0" w:color="auto"/>
            </w:tcBorders>
            <w:shd w:val="clear" w:color="auto" w:fill="DDF1F3"/>
          </w:tcPr>
          <w:p w14:paraId="1D28DDE5" w14:textId="77777777" w:rsidR="00C665D0" w:rsidRDefault="00C665D0">
            <w:pPr>
              <w:jc w:val="center"/>
            </w:pPr>
            <w:r w:rsidRPr="5E4DB3C2">
              <w:rPr>
                <w:rFonts w:ascii="Calibri" w:eastAsia="Calibri" w:hAnsi="Calibri" w:cs="Calibri"/>
                <w:color w:val="000000" w:themeColor="text1"/>
              </w:rPr>
              <w:t>26.0%</w:t>
            </w:r>
          </w:p>
        </w:tc>
      </w:tr>
    </w:tbl>
    <w:p w14:paraId="6CC8DFFC" w14:textId="77777777" w:rsidR="00C665D0" w:rsidRDefault="00C665D0" w:rsidP="00C665D0">
      <w:r w:rsidRPr="5E4DB3C2">
        <w:rPr>
          <w:rFonts w:ascii="Calibri" w:eastAsia="Calibri" w:hAnsi="Calibri" w:cs="Calibri"/>
        </w:rPr>
        <w:t xml:space="preserve"> </w:t>
      </w:r>
    </w:p>
    <w:p w14:paraId="366B55EE" w14:textId="77777777" w:rsidR="00EF55C9" w:rsidRDefault="00EF55C9">
      <w:pPr>
        <w:spacing w:before="0" w:after="200"/>
        <w:rPr>
          <w:rFonts w:eastAsia="Calibri"/>
          <w:b/>
          <w:bCs/>
        </w:rPr>
      </w:pPr>
      <w:r>
        <w:rPr>
          <w:rFonts w:eastAsia="Calibri"/>
          <w:b/>
          <w:bCs/>
        </w:rPr>
        <w:br w:type="page"/>
      </w:r>
    </w:p>
    <w:p w14:paraId="7145B0F1" w14:textId="6524234E" w:rsidR="00C665D0" w:rsidRPr="00170C43" w:rsidRDefault="00C665D0" w:rsidP="009B568F">
      <w:pPr>
        <w:rPr>
          <w:b/>
          <w:bCs/>
        </w:rPr>
      </w:pPr>
      <w:r w:rsidRPr="00170C43">
        <w:rPr>
          <w:rFonts w:eastAsia="Calibri"/>
          <w:b/>
          <w:bCs/>
        </w:rPr>
        <w:lastRenderedPageBreak/>
        <w:t>Figure 4</w:t>
      </w:r>
      <w:r w:rsidR="00243B5B">
        <w:rPr>
          <w:rFonts w:eastAsia="Calibri"/>
          <w:b/>
          <w:bCs/>
        </w:rPr>
        <w:t>3</w:t>
      </w:r>
      <w:r w:rsidRPr="00170C43">
        <w:rPr>
          <w:rFonts w:eastAsia="Calibri"/>
          <w:b/>
          <w:bCs/>
        </w:rPr>
        <w:t xml:space="preserve"> Excess weight in adults by</w:t>
      </w:r>
      <w:r w:rsidR="00170C43">
        <w:rPr>
          <w:rFonts w:eastAsia="Calibri"/>
          <w:b/>
          <w:bCs/>
        </w:rPr>
        <w:t xml:space="preserve"> West Kent</w:t>
      </w:r>
      <w:r w:rsidRPr="00170C43">
        <w:rPr>
          <w:rFonts w:eastAsia="Calibri"/>
          <w:b/>
          <w:bCs/>
        </w:rPr>
        <w:t xml:space="preserve"> district</w:t>
      </w:r>
    </w:p>
    <w:p w14:paraId="19A20B0F" w14:textId="77777777" w:rsidR="00C665D0" w:rsidRDefault="00C665D0" w:rsidP="009B568F">
      <w:r>
        <w:rPr>
          <w:noProof/>
        </w:rPr>
        <w:drawing>
          <wp:inline distT="0" distB="0" distL="0" distR="0" wp14:anchorId="230127D3" wp14:editId="140C5822">
            <wp:extent cx="5593582" cy="3181350"/>
            <wp:effectExtent l="0" t="0" r="7620" b="0"/>
            <wp:docPr id="483534242" name="Picture 483534242" descr="Column chart showing percentage of adults classed as overweight or obese in Maidstone district (61%), Sevenoaks district (55.3%), Tonbridge and Malling district (57.4%) and Tunbridge Wells district (58.7%). The Kent benchmark is 63.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34242" name="Picture 483534242" descr="Column chart showing percentage of adults classed as overweight or obese in Maidstone district (61%), Sevenoaks district (55.3%), Tonbridge and Malling district (57.4%) and Tunbridge Wells district (58.7%). The Kent benchmark is 63.2%. "/>
                    <pic:cNvPicPr/>
                  </pic:nvPicPr>
                  <pic:blipFill>
                    <a:blip r:embed="rId90">
                      <a:extLst>
                        <a:ext uri="{28A0092B-C50C-407E-A947-70E740481C1C}">
                          <a14:useLocalDpi xmlns:a14="http://schemas.microsoft.com/office/drawing/2010/main" val="0"/>
                        </a:ext>
                      </a:extLst>
                    </a:blip>
                    <a:stretch>
                      <a:fillRect/>
                    </a:stretch>
                  </pic:blipFill>
                  <pic:spPr>
                    <a:xfrm>
                      <a:off x="0" y="0"/>
                      <a:ext cx="5611001" cy="3191257"/>
                    </a:xfrm>
                    <a:prstGeom prst="rect">
                      <a:avLst/>
                    </a:prstGeom>
                  </pic:spPr>
                </pic:pic>
              </a:graphicData>
            </a:graphic>
          </wp:inline>
        </w:drawing>
      </w:r>
    </w:p>
    <w:p w14:paraId="788EFB83" w14:textId="2A8B7C15" w:rsidR="00C665D0" w:rsidRPr="00170C43" w:rsidRDefault="00C665D0" w:rsidP="009B568F">
      <w:pPr>
        <w:rPr>
          <w:rFonts w:ascii="Calibri" w:eastAsia="Calibri" w:hAnsi="Calibri" w:cs="Calibri"/>
          <w:b/>
          <w:bCs/>
        </w:rPr>
      </w:pPr>
      <w:r w:rsidRPr="00170C43">
        <w:rPr>
          <w:rFonts w:ascii="Calibri" w:eastAsia="Calibri" w:hAnsi="Calibri" w:cs="Calibri"/>
          <w:b/>
          <w:bCs/>
        </w:rPr>
        <w:t>Figure 4</w:t>
      </w:r>
      <w:r w:rsidR="00243B5B">
        <w:rPr>
          <w:rFonts w:ascii="Calibri" w:eastAsia="Calibri" w:hAnsi="Calibri" w:cs="Calibri"/>
          <w:b/>
          <w:bCs/>
        </w:rPr>
        <w:t>4</w:t>
      </w:r>
      <w:r w:rsidRPr="00170C43">
        <w:rPr>
          <w:rFonts w:ascii="Calibri" w:eastAsia="Calibri" w:hAnsi="Calibri" w:cs="Calibri"/>
          <w:b/>
          <w:bCs/>
        </w:rPr>
        <w:t xml:space="preserve"> Percentage of adults classed as overweight or obese in West Kent and Kent over </w:t>
      </w:r>
      <w:r w:rsidR="00243B5B" w:rsidRPr="00170C43">
        <w:rPr>
          <w:rFonts w:ascii="Calibri" w:eastAsia="Calibri" w:hAnsi="Calibri" w:cs="Calibri"/>
          <w:b/>
          <w:bCs/>
        </w:rPr>
        <w:t>time.</w:t>
      </w:r>
    </w:p>
    <w:p w14:paraId="2053D238" w14:textId="77777777" w:rsidR="00C665D0" w:rsidRDefault="00C665D0" w:rsidP="009B568F">
      <w:r>
        <w:rPr>
          <w:noProof/>
        </w:rPr>
        <w:drawing>
          <wp:inline distT="0" distB="0" distL="0" distR="0" wp14:anchorId="7DED4271" wp14:editId="1BBD124F">
            <wp:extent cx="5601122" cy="3162300"/>
            <wp:effectExtent l="0" t="0" r="0" b="0"/>
            <wp:docPr id="1839214517" name="Picture 1839214517" descr="Line graph showing percentage of adults classified as overweight or obese in West Kent from 2015/16 to 2020/21. West Kent consistently has slightly lower rates than Kent, sitting at around 60% and 63%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14517" name="Picture 1839214517" descr="Line graph showing percentage of adults classified as overweight or obese in West Kent from 2015/16 to 2020/21. West Kent consistently has slightly lower rates than Kent, sitting at around 60% and 63% respectively. "/>
                    <pic:cNvPicPr/>
                  </pic:nvPicPr>
                  <pic:blipFill>
                    <a:blip r:embed="rId91">
                      <a:extLst>
                        <a:ext uri="{28A0092B-C50C-407E-A947-70E740481C1C}">
                          <a14:useLocalDpi xmlns:a14="http://schemas.microsoft.com/office/drawing/2010/main" val="0"/>
                        </a:ext>
                      </a:extLst>
                    </a:blip>
                    <a:stretch>
                      <a:fillRect/>
                    </a:stretch>
                  </pic:blipFill>
                  <pic:spPr>
                    <a:xfrm>
                      <a:off x="0" y="0"/>
                      <a:ext cx="5639712" cy="3184087"/>
                    </a:xfrm>
                    <a:prstGeom prst="rect">
                      <a:avLst/>
                    </a:prstGeom>
                  </pic:spPr>
                </pic:pic>
              </a:graphicData>
            </a:graphic>
          </wp:inline>
        </w:drawing>
      </w:r>
    </w:p>
    <w:p w14:paraId="42B6E2CC" w14:textId="77777777" w:rsidR="00EF55C9" w:rsidRDefault="00EF55C9">
      <w:pPr>
        <w:spacing w:before="0" w:after="200"/>
        <w:rPr>
          <w:rFonts w:eastAsia="Calibri"/>
          <w:b/>
          <w:bCs/>
        </w:rPr>
      </w:pPr>
      <w:r>
        <w:rPr>
          <w:rFonts w:eastAsia="Calibri"/>
          <w:b/>
          <w:bCs/>
        </w:rPr>
        <w:br w:type="page"/>
      </w:r>
    </w:p>
    <w:p w14:paraId="067DF6EE" w14:textId="0DB3B86D" w:rsidR="00C665D0" w:rsidRPr="00170C43" w:rsidRDefault="00C665D0" w:rsidP="009B568F">
      <w:pPr>
        <w:rPr>
          <w:rFonts w:eastAsia="Calibri"/>
          <w:b/>
          <w:bCs/>
        </w:rPr>
      </w:pPr>
      <w:r w:rsidRPr="00170C43">
        <w:rPr>
          <w:rFonts w:eastAsia="Calibri"/>
          <w:b/>
          <w:bCs/>
        </w:rPr>
        <w:lastRenderedPageBreak/>
        <w:t>Table 6 Percentage of adults classified as overweight or obese in West Kent districts, West Kent, and Kent from 2015</w:t>
      </w:r>
      <w:r w:rsidR="00F502F2">
        <w:rPr>
          <w:rFonts w:eastAsia="Calibri"/>
          <w:b/>
          <w:bCs/>
        </w:rPr>
        <w:t>/16</w:t>
      </w:r>
      <w:r w:rsidRPr="00170C43">
        <w:rPr>
          <w:rFonts w:eastAsia="Calibri"/>
          <w:b/>
          <w:bCs/>
        </w:rPr>
        <w:t xml:space="preserve"> to 202</w:t>
      </w:r>
      <w:r w:rsidR="00F502F2">
        <w:rPr>
          <w:rFonts w:eastAsia="Calibri"/>
          <w:b/>
          <w:bCs/>
        </w:rPr>
        <w:t>0/21</w:t>
      </w:r>
    </w:p>
    <w:tbl>
      <w:tblPr>
        <w:tblW w:w="0" w:type="auto"/>
        <w:tblInd w:w="75" w:type="dxa"/>
        <w:tblLayout w:type="fixed"/>
        <w:tblLook w:val="06A0" w:firstRow="1" w:lastRow="0" w:firstColumn="1" w:lastColumn="0" w:noHBand="1" w:noVBand="1"/>
      </w:tblPr>
      <w:tblGrid>
        <w:gridCol w:w="2640"/>
        <w:gridCol w:w="1035"/>
        <w:gridCol w:w="1035"/>
        <w:gridCol w:w="1035"/>
        <w:gridCol w:w="1035"/>
        <w:gridCol w:w="1035"/>
        <w:gridCol w:w="1035"/>
      </w:tblGrid>
      <w:tr w:rsidR="00C665D0" w14:paraId="7443D32A" w14:textId="77777777" w:rsidTr="000139B2">
        <w:trPr>
          <w:trHeight w:val="285"/>
        </w:trPr>
        <w:tc>
          <w:tcPr>
            <w:tcW w:w="2640" w:type="dxa"/>
            <w:tcBorders>
              <w:top w:val="single" w:sz="12" w:space="0" w:color="auto"/>
              <w:left w:val="single" w:sz="12" w:space="0" w:color="auto"/>
              <w:bottom w:val="single" w:sz="8" w:space="0" w:color="auto"/>
              <w:right w:val="single" w:sz="8" w:space="0" w:color="auto"/>
            </w:tcBorders>
            <w:shd w:val="clear" w:color="auto" w:fill="2D7D82"/>
          </w:tcPr>
          <w:p w14:paraId="2976AF33" w14:textId="77777777" w:rsidR="00C665D0" w:rsidRDefault="00C665D0" w:rsidP="009B568F">
            <w:r w:rsidRPr="5E4DB3C2">
              <w:rPr>
                <w:rFonts w:ascii="Calibri" w:eastAsia="Calibri" w:hAnsi="Calibri" w:cs="Calibri"/>
                <w:b/>
                <w:bCs/>
                <w:color w:val="FFFFFF" w:themeColor="background1"/>
              </w:rPr>
              <w:t>Area</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492C0DD8" w14:textId="77777777" w:rsidR="00C665D0" w:rsidRPr="000139B2" w:rsidRDefault="00C665D0" w:rsidP="009B568F">
            <w:pPr>
              <w:rPr>
                <w:sz w:val="22"/>
                <w:szCs w:val="22"/>
              </w:rPr>
            </w:pPr>
            <w:r w:rsidRPr="000139B2">
              <w:rPr>
                <w:rFonts w:ascii="Calibri" w:eastAsia="Calibri" w:hAnsi="Calibri" w:cs="Calibri"/>
                <w:b/>
                <w:bCs/>
                <w:color w:val="FFFFFF" w:themeColor="background1"/>
                <w:sz w:val="22"/>
                <w:szCs w:val="22"/>
              </w:rPr>
              <w:t>2015/16</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3A1BFAE6" w14:textId="77777777" w:rsidR="00C665D0" w:rsidRPr="000139B2" w:rsidRDefault="00C665D0" w:rsidP="009B568F">
            <w:pPr>
              <w:rPr>
                <w:sz w:val="22"/>
                <w:szCs w:val="22"/>
              </w:rPr>
            </w:pPr>
            <w:r w:rsidRPr="000139B2">
              <w:rPr>
                <w:rFonts w:ascii="Calibri" w:eastAsia="Calibri" w:hAnsi="Calibri" w:cs="Calibri"/>
                <w:b/>
                <w:bCs/>
                <w:color w:val="FFFFFF" w:themeColor="background1"/>
                <w:sz w:val="22"/>
                <w:szCs w:val="22"/>
              </w:rPr>
              <w:t>2016/17</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5E7524D1" w14:textId="77777777" w:rsidR="00C665D0" w:rsidRPr="000139B2" w:rsidRDefault="00C665D0" w:rsidP="009B568F">
            <w:pPr>
              <w:rPr>
                <w:sz w:val="22"/>
                <w:szCs w:val="22"/>
              </w:rPr>
            </w:pPr>
            <w:r w:rsidRPr="000139B2">
              <w:rPr>
                <w:rFonts w:ascii="Calibri" w:eastAsia="Calibri" w:hAnsi="Calibri" w:cs="Calibri"/>
                <w:b/>
                <w:bCs/>
                <w:color w:val="FFFFFF" w:themeColor="background1"/>
                <w:sz w:val="22"/>
                <w:szCs w:val="22"/>
              </w:rPr>
              <w:t>2017/18</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4F1248E8" w14:textId="77777777" w:rsidR="00C665D0" w:rsidRPr="000139B2" w:rsidRDefault="00C665D0" w:rsidP="009B568F">
            <w:pPr>
              <w:rPr>
                <w:sz w:val="22"/>
                <w:szCs w:val="22"/>
              </w:rPr>
            </w:pPr>
            <w:r w:rsidRPr="000139B2">
              <w:rPr>
                <w:rFonts w:ascii="Calibri" w:eastAsia="Calibri" w:hAnsi="Calibri" w:cs="Calibri"/>
                <w:b/>
                <w:bCs/>
                <w:color w:val="FFFFFF" w:themeColor="background1"/>
                <w:sz w:val="22"/>
                <w:szCs w:val="22"/>
              </w:rPr>
              <w:t>2018/19</w:t>
            </w:r>
          </w:p>
        </w:tc>
        <w:tc>
          <w:tcPr>
            <w:tcW w:w="1035" w:type="dxa"/>
            <w:tcBorders>
              <w:top w:val="single" w:sz="12" w:space="0" w:color="auto"/>
              <w:left w:val="single" w:sz="8" w:space="0" w:color="auto"/>
              <w:bottom w:val="single" w:sz="8" w:space="0" w:color="auto"/>
              <w:right w:val="single" w:sz="8" w:space="0" w:color="auto"/>
            </w:tcBorders>
            <w:shd w:val="clear" w:color="auto" w:fill="2D7D82"/>
          </w:tcPr>
          <w:p w14:paraId="0B83C41A" w14:textId="77777777" w:rsidR="00C665D0" w:rsidRPr="000139B2" w:rsidRDefault="00C665D0" w:rsidP="009B568F">
            <w:pPr>
              <w:rPr>
                <w:sz w:val="22"/>
                <w:szCs w:val="22"/>
              </w:rPr>
            </w:pPr>
            <w:r w:rsidRPr="000139B2">
              <w:rPr>
                <w:rFonts w:ascii="Calibri" w:eastAsia="Calibri" w:hAnsi="Calibri" w:cs="Calibri"/>
                <w:b/>
                <w:bCs/>
                <w:color w:val="FFFFFF" w:themeColor="background1"/>
                <w:sz w:val="22"/>
                <w:szCs w:val="22"/>
              </w:rPr>
              <w:t>2019/20</w:t>
            </w:r>
          </w:p>
        </w:tc>
        <w:tc>
          <w:tcPr>
            <w:tcW w:w="1035" w:type="dxa"/>
            <w:tcBorders>
              <w:top w:val="single" w:sz="12" w:space="0" w:color="auto"/>
              <w:left w:val="single" w:sz="8" w:space="0" w:color="auto"/>
              <w:bottom w:val="single" w:sz="8" w:space="0" w:color="auto"/>
              <w:right w:val="single" w:sz="12" w:space="0" w:color="auto"/>
            </w:tcBorders>
            <w:shd w:val="clear" w:color="auto" w:fill="2D7D82"/>
          </w:tcPr>
          <w:p w14:paraId="5906C86D" w14:textId="77777777" w:rsidR="00C665D0" w:rsidRPr="000139B2" w:rsidRDefault="00C665D0" w:rsidP="009B568F">
            <w:pPr>
              <w:rPr>
                <w:sz w:val="22"/>
                <w:szCs w:val="22"/>
              </w:rPr>
            </w:pPr>
            <w:r w:rsidRPr="000139B2">
              <w:rPr>
                <w:rFonts w:ascii="Calibri" w:eastAsia="Calibri" w:hAnsi="Calibri" w:cs="Calibri"/>
                <w:b/>
                <w:bCs/>
                <w:color w:val="FFFFFF" w:themeColor="background1"/>
                <w:sz w:val="22"/>
                <w:szCs w:val="22"/>
              </w:rPr>
              <w:t>2020/21</w:t>
            </w:r>
          </w:p>
        </w:tc>
      </w:tr>
      <w:tr w:rsidR="00C665D0" w14:paraId="2B5E2B79" w14:textId="77777777" w:rsidTr="000139B2">
        <w:trPr>
          <w:trHeight w:val="285"/>
        </w:trPr>
        <w:tc>
          <w:tcPr>
            <w:tcW w:w="2640" w:type="dxa"/>
            <w:tcBorders>
              <w:top w:val="single" w:sz="8" w:space="0" w:color="auto"/>
              <w:left w:val="single" w:sz="12" w:space="0" w:color="auto"/>
              <w:bottom w:val="single" w:sz="8" w:space="0" w:color="auto"/>
              <w:right w:val="single" w:sz="8" w:space="0" w:color="auto"/>
            </w:tcBorders>
            <w:shd w:val="clear" w:color="auto" w:fill="DDF1F3"/>
          </w:tcPr>
          <w:p w14:paraId="6908DCBB" w14:textId="77777777" w:rsidR="00C665D0" w:rsidRDefault="00C665D0" w:rsidP="009B568F">
            <w:r w:rsidRPr="5E4DB3C2">
              <w:rPr>
                <w:rFonts w:ascii="Calibri" w:eastAsia="Calibri" w:hAnsi="Calibri" w:cs="Calibri"/>
                <w:color w:val="000000" w:themeColor="text1"/>
              </w:rPr>
              <w:t>Maidstone</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408D01F" w14:textId="77777777" w:rsidR="00C665D0" w:rsidRDefault="00C665D0" w:rsidP="009B568F">
            <w:r w:rsidRPr="5E4DB3C2">
              <w:rPr>
                <w:rFonts w:ascii="Calibri" w:eastAsia="Calibri" w:hAnsi="Calibri" w:cs="Calibri"/>
                <w:color w:val="000000" w:themeColor="text1"/>
              </w:rPr>
              <w:t>56.4%</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3124F51A" w14:textId="77777777" w:rsidR="00C665D0" w:rsidRDefault="00C665D0" w:rsidP="009B568F">
            <w:r w:rsidRPr="5E4DB3C2">
              <w:rPr>
                <w:rFonts w:ascii="Calibri" w:eastAsia="Calibri" w:hAnsi="Calibri" w:cs="Calibri"/>
                <w:color w:val="000000" w:themeColor="text1"/>
              </w:rPr>
              <w:t>69.7%</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71DBB6FE" w14:textId="77777777" w:rsidR="00C665D0" w:rsidRDefault="00C665D0" w:rsidP="009B568F">
            <w:r w:rsidRPr="5E4DB3C2">
              <w:rPr>
                <w:rFonts w:ascii="Calibri" w:eastAsia="Calibri" w:hAnsi="Calibri" w:cs="Calibri"/>
                <w:color w:val="000000" w:themeColor="text1"/>
              </w:rPr>
              <w:t>60.2%</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508123B" w14:textId="77777777" w:rsidR="00C665D0" w:rsidRDefault="00C665D0" w:rsidP="009B568F">
            <w:r w:rsidRPr="5E4DB3C2">
              <w:rPr>
                <w:rFonts w:ascii="Calibri" w:eastAsia="Calibri" w:hAnsi="Calibri" w:cs="Calibri"/>
                <w:color w:val="000000" w:themeColor="text1"/>
              </w:rPr>
              <w:t>60.9%</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71B020E5" w14:textId="77777777" w:rsidR="00C665D0" w:rsidRDefault="00C665D0" w:rsidP="009B568F">
            <w:r w:rsidRPr="5E4DB3C2">
              <w:rPr>
                <w:rFonts w:ascii="Calibri" w:eastAsia="Calibri" w:hAnsi="Calibri" w:cs="Calibri"/>
                <w:color w:val="000000" w:themeColor="text1"/>
              </w:rPr>
              <w:t>64.9%</w:t>
            </w:r>
          </w:p>
        </w:tc>
        <w:tc>
          <w:tcPr>
            <w:tcW w:w="1035" w:type="dxa"/>
            <w:tcBorders>
              <w:top w:val="single" w:sz="8" w:space="0" w:color="auto"/>
              <w:left w:val="single" w:sz="8" w:space="0" w:color="auto"/>
              <w:bottom w:val="single" w:sz="8" w:space="0" w:color="auto"/>
              <w:right w:val="single" w:sz="12" w:space="0" w:color="auto"/>
            </w:tcBorders>
            <w:shd w:val="clear" w:color="auto" w:fill="DDF1F3"/>
          </w:tcPr>
          <w:p w14:paraId="0CEAEBA1" w14:textId="77777777" w:rsidR="00C665D0" w:rsidRDefault="00C665D0" w:rsidP="009B568F">
            <w:r w:rsidRPr="5E4DB3C2">
              <w:rPr>
                <w:rFonts w:ascii="Calibri" w:eastAsia="Calibri" w:hAnsi="Calibri" w:cs="Calibri"/>
                <w:color w:val="000000" w:themeColor="text1"/>
              </w:rPr>
              <w:t>61.0%</w:t>
            </w:r>
          </w:p>
        </w:tc>
      </w:tr>
      <w:tr w:rsidR="00C665D0" w14:paraId="4BDE75FB" w14:textId="77777777" w:rsidTr="000139B2">
        <w:trPr>
          <w:trHeight w:val="285"/>
        </w:trPr>
        <w:tc>
          <w:tcPr>
            <w:tcW w:w="2640" w:type="dxa"/>
            <w:tcBorders>
              <w:top w:val="single" w:sz="8" w:space="0" w:color="auto"/>
              <w:left w:val="single" w:sz="12" w:space="0" w:color="auto"/>
              <w:bottom w:val="single" w:sz="8" w:space="0" w:color="auto"/>
              <w:right w:val="single" w:sz="8" w:space="0" w:color="auto"/>
            </w:tcBorders>
            <w:shd w:val="clear" w:color="auto" w:fill="DDF1F3"/>
          </w:tcPr>
          <w:p w14:paraId="56B68C55" w14:textId="77777777" w:rsidR="00C665D0" w:rsidRDefault="00C665D0" w:rsidP="009B568F">
            <w:r w:rsidRPr="5E4DB3C2">
              <w:rPr>
                <w:rFonts w:ascii="Calibri" w:eastAsia="Calibri" w:hAnsi="Calibri" w:cs="Calibri"/>
                <w:color w:val="000000" w:themeColor="text1"/>
              </w:rPr>
              <w:t>Sevenoaks</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34328EBE" w14:textId="77777777" w:rsidR="00C665D0" w:rsidRDefault="00C665D0" w:rsidP="009B568F">
            <w:r w:rsidRPr="5E4DB3C2">
              <w:rPr>
                <w:rFonts w:ascii="Calibri" w:eastAsia="Calibri" w:hAnsi="Calibri" w:cs="Calibri"/>
                <w:color w:val="000000" w:themeColor="text1"/>
              </w:rPr>
              <w:t>51.8%</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29ADE27" w14:textId="77777777" w:rsidR="00C665D0" w:rsidRDefault="00C665D0" w:rsidP="009B568F">
            <w:r w:rsidRPr="5E4DB3C2">
              <w:rPr>
                <w:rFonts w:ascii="Calibri" w:eastAsia="Calibri" w:hAnsi="Calibri" w:cs="Calibri"/>
                <w:color w:val="000000" w:themeColor="text1"/>
              </w:rPr>
              <w:t>60.9%</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5A492A73" w14:textId="77777777" w:rsidR="00C665D0" w:rsidRDefault="00C665D0" w:rsidP="009B568F">
            <w:r w:rsidRPr="5E4DB3C2">
              <w:rPr>
                <w:rFonts w:ascii="Calibri" w:eastAsia="Calibri" w:hAnsi="Calibri" w:cs="Calibri"/>
                <w:color w:val="000000" w:themeColor="text1"/>
              </w:rPr>
              <w:t>56.8%</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43EE6507" w14:textId="77777777" w:rsidR="00C665D0" w:rsidRDefault="00C665D0" w:rsidP="009B568F">
            <w:r w:rsidRPr="5E4DB3C2">
              <w:rPr>
                <w:rFonts w:ascii="Calibri" w:eastAsia="Calibri" w:hAnsi="Calibri" w:cs="Calibri"/>
                <w:color w:val="000000" w:themeColor="text1"/>
              </w:rPr>
              <w:t>61.1%</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2BA6A2EC" w14:textId="77777777" w:rsidR="00C665D0" w:rsidRDefault="00C665D0" w:rsidP="009B568F">
            <w:r w:rsidRPr="5E4DB3C2">
              <w:rPr>
                <w:rFonts w:ascii="Calibri" w:eastAsia="Calibri" w:hAnsi="Calibri" w:cs="Calibri"/>
                <w:color w:val="000000" w:themeColor="text1"/>
              </w:rPr>
              <w:t>63.5%</w:t>
            </w:r>
          </w:p>
        </w:tc>
        <w:tc>
          <w:tcPr>
            <w:tcW w:w="1035" w:type="dxa"/>
            <w:tcBorders>
              <w:top w:val="single" w:sz="8" w:space="0" w:color="auto"/>
              <w:left w:val="single" w:sz="8" w:space="0" w:color="auto"/>
              <w:bottom w:val="single" w:sz="8" w:space="0" w:color="auto"/>
              <w:right w:val="single" w:sz="12" w:space="0" w:color="auto"/>
            </w:tcBorders>
            <w:shd w:val="clear" w:color="auto" w:fill="DDF1F3"/>
          </w:tcPr>
          <w:p w14:paraId="32C5085C" w14:textId="77777777" w:rsidR="00C665D0" w:rsidRDefault="00C665D0" w:rsidP="009B568F">
            <w:r w:rsidRPr="5E4DB3C2">
              <w:rPr>
                <w:rFonts w:ascii="Calibri" w:eastAsia="Calibri" w:hAnsi="Calibri" w:cs="Calibri"/>
                <w:color w:val="000000" w:themeColor="text1"/>
              </w:rPr>
              <w:t>55.3%</w:t>
            </w:r>
          </w:p>
        </w:tc>
      </w:tr>
      <w:tr w:rsidR="00C665D0" w14:paraId="6E09432E" w14:textId="77777777" w:rsidTr="000139B2">
        <w:trPr>
          <w:trHeight w:val="285"/>
        </w:trPr>
        <w:tc>
          <w:tcPr>
            <w:tcW w:w="2640" w:type="dxa"/>
            <w:tcBorders>
              <w:top w:val="single" w:sz="8" w:space="0" w:color="auto"/>
              <w:left w:val="single" w:sz="12" w:space="0" w:color="auto"/>
              <w:bottom w:val="single" w:sz="8" w:space="0" w:color="auto"/>
              <w:right w:val="single" w:sz="8" w:space="0" w:color="auto"/>
            </w:tcBorders>
            <w:shd w:val="clear" w:color="auto" w:fill="DDF1F3"/>
          </w:tcPr>
          <w:p w14:paraId="3060FFBE" w14:textId="77777777" w:rsidR="00C665D0" w:rsidRDefault="00C665D0" w:rsidP="009B568F">
            <w:r w:rsidRPr="5E4DB3C2">
              <w:rPr>
                <w:rFonts w:ascii="Calibri" w:eastAsia="Calibri" w:hAnsi="Calibri" w:cs="Calibri"/>
                <w:color w:val="000000" w:themeColor="text1"/>
              </w:rPr>
              <w:t>Tonbridge and Malling</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43FE289" w14:textId="77777777" w:rsidR="00C665D0" w:rsidRDefault="00C665D0" w:rsidP="009B568F">
            <w:r w:rsidRPr="5E4DB3C2">
              <w:rPr>
                <w:rFonts w:ascii="Calibri" w:eastAsia="Calibri" w:hAnsi="Calibri" w:cs="Calibri"/>
                <w:color w:val="000000" w:themeColor="text1"/>
              </w:rPr>
              <w:t>59.3%</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71E25252" w14:textId="77777777" w:rsidR="00C665D0" w:rsidRDefault="00C665D0" w:rsidP="009B568F">
            <w:r w:rsidRPr="5E4DB3C2">
              <w:rPr>
                <w:rFonts w:ascii="Calibri" w:eastAsia="Calibri" w:hAnsi="Calibri" w:cs="Calibri"/>
                <w:color w:val="000000" w:themeColor="text1"/>
              </w:rPr>
              <w:t>59.9%</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27D089B" w14:textId="77777777" w:rsidR="00C665D0" w:rsidRDefault="00C665D0" w:rsidP="009B568F">
            <w:r w:rsidRPr="5E4DB3C2">
              <w:rPr>
                <w:rFonts w:ascii="Calibri" w:eastAsia="Calibri" w:hAnsi="Calibri" w:cs="Calibri"/>
                <w:color w:val="000000" w:themeColor="text1"/>
              </w:rPr>
              <w:t>58.0%</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61BFDCAD" w14:textId="77777777" w:rsidR="00C665D0" w:rsidRDefault="00C665D0" w:rsidP="009B568F">
            <w:r w:rsidRPr="5E4DB3C2">
              <w:rPr>
                <w:rFonts w:ascii="Calibri" w:eastAsia="Calibri" w:hAnsi="Calibri" w:cs="Calibri"/>
                <w:color w:val="000000" w:themeColor="text1"/>
              </w:rPr>
              <w:t>60.1%</w:t>
            </w:r>
          </w:p>
        </w:tc>
        <w:tc>
          <w:tcPr>
            <w:tcW w:w="1035" w:type="dxa"/>
            <w:tcBorders>
              <w:top w:val="single" w:sz="8" w:space="0" w:color="auto"/>
              <w:left w:val="single" w:sz="8" w:space="0" w:color="auto"/>
              <w:bottom w:val="single" w:sz="8" w:space="0" w:color="auto"/>
              <w:right w:val="single" w:sz="8" w:space="0" w:color="auto"/>
            </w:tcBorders>
            <w:shd w:val="clear" w:color="auto" w:fill="DDF1F3"/>
          </w:tcPr>
          <w:p w14:paraId="1881C5CC" w14:textId="77777777" w:rsidR="00C665D0" w:rsidRDefault="00C665D0" w:rsidP="009B568F">
            <w:r w:rsidRPr="5E4DB3C2">
              <w:rPr>
                <w:rFonts w:ascii="Calibri" w:eastAsia="Calibri" w:hAnsi="Calibri" w:cs="Calibri"/>
                <w:color w:val="000000" w:themeColor="text1"/>
              </w:rPr>
              <w:t>61.6%</w:t>
            </w:r>
          </w:p>
        </w:tc>
        <w:tc>
          <w:tcPr>
            <w:tcW w:w="1035" w:type="dxa"/>
            <w:tcBorders>
              <w:top w:val="single" w:sz="8" w:space="0" w:color="auto"/>
              <w:left w:val="single" w:sz="8" w:space="0" w:color="auto"/>
              <w:bottom w:val="single" w:sz="8" w:space="0" w:color="auto"/>
              <w:right w:val="single" w:sz="12" w:space="0" w:color="auto"/>
            </w:tcBorders>
            <w:shd w:val="clear" w:color="auto" w:fill="DDF1F3"/>
          </w:tcPr>
          <w:p w14:paraId="458DDAA2" w14:textId="77777777" w:rsidR="00C665D0" w:rsidRDefault="00C665D0" w:rsidP="009B568F">
            <w:r w:rsidRPr="5E4DB3C2">
              <w:rPr>
                <w:rFonts w:ascii="Calibri" w:eastAsia="Calibri" w:hAnsi="Calibri" w:cs="Calibri"/>
                <w:color w:val="000000" w:themeColor="text1"/>
              </w:rPr>
              <w:t>57.4%</w:t>
            </w:r>
          </w:p>
        </w:tc>
      </w:tr>
      <w:tr w:rsidR="00C665D0" w14:paraId="3E9350A7" w14:textId="77777777" w:rsidTr="000139B2">
        <w:trPr>
          <w:trHeight w:val="300"/>
        </w:trPr>
        <w:tc>
          <w:tcPr>
            <w:tcW w:w="2640" w:type="dxa"/>
            <w:tcBorders>
              <w:top w:val="single" w:sz="8" w:space="0" w:color="auto"/>
              <w:left w:val="single" w:sz="12" w:space="0" w:color="auto"/>
              <w:bottom w:val="nil"/>
              <w:right w:val="single" w:sz="8" w:space="0" w:color="auto"/>
            </w:tcBorders>
            <w:shd w:val="clear" w:color="auto" w:fill="DDF1F3"/>
          </w:tcPr>
          <w:p w14:paraId="74631CBD" w14:textId="77777777" w:rsidR="00C665D0" w:rsidRDefault="00C665D0" w:rsidP="009B568F">
            <w:r w:rsidRPr="5E4DB3C2">
              <w:rPr>
                <w:rFonts w:ascii="Calibri" w:eastAsia="Calibri" w:hAnsi="Calibri" w:cs="Calibri"/>
                <w:color w:val="000000" w:themeColor="text1"/>
              </w:rPr>
              <w:t>Tunbridge Wells</w:t>
            </w:r>
          </w:p>
        </w:tc>
        <w:tc>
          <w:tcPr>
            <w:tcW w:w="1035" w:type="dxa"/>
            <w:tcBorders>
              <w:top w:val="single" w:sz="8" w:space="0" w:color="auto"/>
              <w:left w:val="single" w:sz="8" w:space="0" w:color="auto"/>
              <w:bottom w:val="nil"/>
              <w:right w:val="single" w:sz="8" w:space="0" w:color="auto"/>
            </w:tcBorders>
            <w:shd w:val="clear" w:color="auto" w:fill="DDF1F3"/>
          </w:tcPr>
          <w:p w14:paraId="1952878F" w14:textId="77777777" w:rsidR="00C665D0" w:rsidRDefault="00C665D0" w:rsidP="009B568F">
            <w:r w:rsidRPr="5E4DB3C2">
              <w:rPr>
                <w:rFonts w:ascii="Calibri" w:eastAsia="Calibri" w:hAnsi="Calibri" w:cs="Calibri"/>
                <w:color w:val="000000" w:themeColor="text1"/>
              </w:rPr>
              <w:t>55.9%</w:t>
            </w:r>
          </w:p>
        </w:tc>
        <w:tc>
          <w:tcPr>
            <w:tcW w:w="1035" w:type="dxa"/>
            <w:tcBorders>
              <w:top w:val="single" w:sz="8" w:space="0" w:color="auto"/>
              <w:left w:val="single" w:sz="8" w:space="0" w:color="auto"/>
              <w:bottom w:val="nil"/>
              <w:right w:val="single" w:sz="8" w:space="0" w:color="auto"/>
            </w:tcBorders>
            <w:shd w:val="clear" w:color="auto" w:fill="DDF1F3"/>
          </w:tcPr>
          <w:p w14:paraId="0E272709" w14:textId="77777777" w:rsidR="00C665D0" w:rsidRDefault="00C665D0" w:rsidP="009B568F">
            <w:r w:rsidRPr="5E4DB3C2">
              <w:rPr>
                <w:rFonts w:ascii="Calibri" w:eastAsia="Calibri" w:hAnsi="Calibri" w:cs="Calibri"/>
                <w:color w:val="000000" w:themeColor="text1"/>
              </w:rPr>
              <w:t>49.1%</w:t>
            </w:r>
          </w:p>
        </w:tc>
        <w:tc>
          <w:tcPr>
            <w:tcW w:w="1035" w:type="dxa"/>
            <w:tcBorders>
              <w:top w:val="single" w:sz="8" w:space="0" w:color="auto"/>
              <w:left w:val="single" w:sz="8" w:space="0" w:color="auto"/>
              <w:bottom w:val="nil"/>
              <w:right w:val="single" w:sz="8" w:space="0" w:color="auto"/>
            </w:tcBorders>
            <w:shd w:val="clear" w:color="auto" w:fill="DDF1F3"/>
          </w:tcPr>
          <w:p w14:paraId="0F112C96" w14:textId="77777777" w:rsidR="00C665D0" w:rsidRDefault="00C665D0" w:rsidP="009B568F">
            <w:r w:rsidRPr="5E4DB3C2">
              <w:rPr>
                <w:rFonts w:ascii="Calibri" w:eastAsia="Calibri" w:hAnsi="Calibri" w:cs="Calibri"/>
                <w:color w:val="000000" w:themeColor="text1"/>
              </w:rPr>
              <w:t>58.7%</w:t>
            </w:r>
          </w:p>
        </w:tc>
        <w:tc>
          <w:tcPr>
            <w:tcW w:w="1035" w:type="dxa"/>
            <w:tcBorders>
              <w:top w:val="single" w:sz="8" w:space="0" w:color="auto"/>
              <w:left w:val="single" w:sz="8" w:space="0" w:color="auto"/>
              <w:bottom w:val="nil"/>
              <w:right w:val="single" w:sz="8" w:space="0" w:color="auto"/>
            </w:tcBorders>
            <w:shd w:val="clear" w:color="auto" w:fill="DDF1F3"/>
          </w:tcPr>
          <w:p w14:paraId="20E81F55" w14:textId="77777777" w:rsidR="00C665D0" w:rsidRDefault="00C665D0" w:rsidP="009B568F">
            <w:r w:rsidRPr="5E4DB3C2">
              <w:rPr>
                <w:rFonts w:ascii="Calibri" w:eastAsia="Calibri" w:hAnsi="Calibri" w:cs="Calibri"/>
                <w:color w:val="000000" w:themeColor="text1"/>
              </w:rPr>
              <w:t>59.0%</w:t>
            </w:r>
          </w:p>
        </w:tc>
        <w:tc>
          <w:tcPr>
            <w:tcW w:w="1035" w:type="dxa"/>
            <w:tcBorders>
              <w:top w:val="single" w:sz="8" w:space="0" w:color="auto"/>
              <w:left w:val="single" w:sz="8" w:space="0" w:color="auto"/>
              <w:bottom w:val="nil"/>
              <w:right w:val="single" w:sz="8" w:space="0" w:color="auto"/>
            </w:tcBorders>
            <w:shd w:val="clear" w:color="auto" w:fill="DDF1F3"/>
          </w:tcPr>
          <w:p w14:paraId="0406B322" w14:textId="77777777" w:rsidR="00C665D0" w:rsidRDefault="00C665D0" w:rsidP="009B568F">
            <w:r w:rsidRPr="5E4DB3C2">
              <w:rPr>
                <w:rFonts w:ascii="Calibri" w:eastAsia="Calibri" w:hAnsi="Calibri" w:cs="Calibri"/>
                <w:color w:val="000000" w:themeColor="text1"/>
              </w:rPr>
              <w:t>57.0%</w:t>
            </w:r>
          </w:p>
        </w:tc>
        <w:tc>
          <w:tcPr>
            <w:tcW w:w="1035" w:type="dxa"/>
            <w:tcBorders>
              <w:top w:val="single" w:sz="8" w:space="0" w:color="auto"/>
              <w:left w:val="single" w:sz="8" w:space="0" w:color="auto"/>
              <w:bottom w:val="nil"/>
              <w:right w:val="single" w:sz="12" w:space="0" w:color="auto"/>
            </w:tcBorders>
            <w:shd w:val="clear" w:color="auto" w:fill="DDF1F3"/>
          </w:tcPr>
          <w:p w14:paraId="1012DC1F" w14:textId="77777777" w:rsidR="00C665D0" w:rsidRDefault="00C665D0" w:rsidP="009B568F">
            <w:r w:rsidRPr="5E4DB3C2">
              <w:rPr>
                <w:rFonts w:ascii="Calibri" w:eastAsia="Calibri" w:hAnsi="Calibri" w:cs="Calibri"/>
                <w:color w:val="000000" w:themeColor="text1"/>
              </w:rPr>
              <w:t>58.7%</w:t>
            </w:r>
          </w:p>
        </w:tc>
      </w:tr>
      <w:tr w:rsidR="00C665D0" w14:paraId="75103124" w14:textId="77777777" w:rsidTr="000139B2">
        <w:trPr>
          <w:trHeight w:val="285"/>
        </w:trPr>
        <w:tc>
          <w:tcPr>
            <w:tcW w:w="2640" w:type="dxa"/>
            <w:tcBorders>
              <w:top w:val="single" w:sz="12" w:space="0" w:color="auto"/>
              <w:left w:val="single" w:sz="12" w:space="0" w:color="auto"/>
              <w:bottom w:val="single" w:sz="8" w:space="0" w:color="auto"/>
              <w:right w:val="single" w:sz="8" w:space="0" w:color="auto"/>
            </w:tcBorders>
            <w:shd w:val="clear" w:color="auto" w:fill="DDF1F3"/>
          </w:tcPr>
          <w:p w14:paraId="3489E3C5" w14:textId="77777777" w:rsidR="00C665D0" w:rsidRDefault="00C665D0" w:rsidP="009B568F">
            <w:r w:rsidRPr="5E4DB3C2">
              <w:rPr>
                <w:rFonts w:ascii="Calibri" w:eastAsia="Calibri" w:hAnsi="Calibri" w:cs="Calibri"/>
                <w:color w:val="000000" w:themeColor="text1"/>
              </w:rPr>
              <w:t>West Kent districts</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28F3D2E3" w14:textId="77777777" w:rsidR="00C665D0" w:rsidRDefault="00C665D0" w:rsidP="009B568F">
            <w:r w:rsidRPr="5E4DB3C2">
              <w:rPr>
                <w:rFonts w:ascii="Calibri" w:eastAsia="Calibri" w:hAnsi="Calibri" w:cs="Calibri"/>
                <w:color w:val="000000" w:themeColor="text1"/>
              </w:rPr>
              <w:t>56.0%</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2CEE0B88" w14:textId="77777777" w:rsidR="00C665D0" w:rsidRDefault="00C665D0" w:rsidP="009B568F">
            <w:r w:rsidRPr="5E4DB3C2">
              <w:rPr>
                <w:rFonts w:ascii="Calibri" w:eastAsia="Calibri" w:hAnsi="Calibri" w:cs="Calibri"/>
                <w:color w:val="000000" w:themeColor="text1"/>
              </w:rPr>
              <w:t>61.1%</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433D3BAB" w14:textId="77777777" w:rsidR="00C665D0" w:rsidRDefault="00C665D0" w:rsidP="009B568F">
            <w:r w:rsidRPr="5E4DB3C2">
              <w:rPr>
                <w:rFonts w:ascii="Calibri" w:eastAsia="Calibri" w:hAnsi="Calibri" w:cs="Calibri"/>
                <w:color w:val="000000" w:themeColor="text1"/>
              </w:rPr>
              <w:t>58.6%</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1F26F21B" w14:textId="77777777" w:rsidR="00C665D0" w:rsidRDefault="00C665D0" w:rsidP="009B568F">
            <w:r w:rsidRPr="5E4DB3C2">
              <w:rPr>
                <w:rFonts w:ascii="Calibri" w:eastAsia="Calibri" w:hAnsi="Calibri" w:cs="Calibri"/>
                <w:color w:val="000000" w:themeColor="text1"/>
              </w:rPr>
              <w:t>60.8%</w:t>
            </w:r>
          </w:p>
        </w:tc>
        <w:tc>
          <w:tcPr>
            <w:tcW w:w="1035" w:type="dxa"/>
            <w:tcBorders>
              <w:top w:val="single" w:sz="12" w:space="0" w:color="auto"/>
              <w:left w:val="single" w:sz="8" w:space="0" w:color="auto"/>
              <w:bottom w:val="single" w:sz="8" w:space="0" w:color="auto"/>
              <w:right w:val="single" w:sz="8" w:space="0" w:color="auto"/>
            </w:tcBorders>
            <w:shd w:val="clear" w:color="auto" w:fill="DDF1F3"/>
          </w:tcPr>
          <w:p w14:paraId="3422A743" w14:textId="77777777" w:rsidR="00C665D0" w:rsidRDefault="00C665D0" w:rsidP="009B568F">
            <w:r w:rsidRPr="5E4DB3C2">
              <w:rPr>
                <w:rFonts w:ascii="Calibri" w:eastAsia="Calibri" w:hAnsi="Calibri" w:cs="Calibri"/>
                <w:color w:val="000000" w:themeColor="text1"/>
              </w:rPr>
              <w:t>62.2%</w:t>
            </w:r>
          </w:p>
        </w:tc>
        <w:tc>
          <w:tcPr>
            <w:tcW w:w="1035" w:type="dxa"/>
            <w:tcBorders>
              <w:top w:val="single" w:sz="12" w:space="0" w:color="auto"/>
              <w:left w:val="single" w:sz="8" w:space="0" w:color="auto"/>
              <w:bottom w:val="single" w:sz="8" w:space="0" w:color="auto"/>
              <w:right w:val="single" w:sz="12" w:space="0" w:color="auto"/>
            </w:tcBorders>
            <w:shd w:val="clear" w:color="auto" w:fill="DDF1F3"/>
          </w:tcPr>
          <w:p w14:paraId="30778AAF" w14:textId="77777777" w:rsidR="00C665D0" w:rsidRDefault="00C665D0" w:rsidP="009B568F">
            <w:r w:rsidRPr="5E4DB3C2">
              <w:rPr>
                <w:rFonts w:ascii="Calibri" w:eastAsia="Calibri" w:hAnsi="Calibri" w:cs="Calibri"/>
                <w:color w:val="000000" w:themeColor="text1"/>
              </w:rPr>
              <w:t>58.4%</w:t>
            </w:r>
          </w:p>
        </w:tc>
      </w:tr>
      <w:tr w:rsidR="00C665D0" w14:paraId="0D1A358D" w14:textId="77777777" w:rsidTr="000139B2">
        <w:trPr>
          <w:trHeight w:val="300"/>
        </w:trPr>
        <w:tc>
          <w:tcPr>
            <w:tcW w:w="2640" w:type="dxa"/>
            <w:tcBorders>
              <w:top w:val="single" w:sz="8" w:space="0" w:color="auto"/>
              <w:left w:val="single" w:sz="12" w:space="0" w:color="auto"/>
              <w:bottom w:val="single" w:sz="12" w:space="0" w:color="auto"/>
              <w:right w:val="single" w:sz="8" w:space="0" w:color="auto"/>
            </w:tcBorders>
            <w:shd w:val="clear" w:color="auto" w:fill="DDF1F3"/>
          </w:tcPr>
          <w:p w14:paraId="093A1C8E" w14:textId="77777777" w:rsidR="00C665D0" w:rsidRDefault="00C665D0" w:rsidP="009B568F">
            <w:r w:rsidRPr="5E4DB3C2">
              <w:rPr>
                <w:rFonts w:ascii="Calibri" w:eastAsia="Calibri" w:hAnsi="Calibri" w:cs="Calibri"/>
                <w:color w:val="000000" w:themeColor="text1"/>
              </w:rPr>
              <w:t>Kent</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15662B69" w14:textId="77777777" w:rsidR="00C665D0" w:rsidRDefault="00C665D0" w:rsidP="009B568F">
            <w:r w:rsidRPr="5E4DB3C2">
              <w:rPr>
                <w:rFonts w:ascii="Calibri" w:eastAsia="Calibri" w:hAnsi="Calibri" w:cs="Calibri"/>
                <w:color w:val="000000" w:themeColor="text1"/>
              </w:rPr>
              <w:t>61.6%</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0B9C1AFD" w14:textId="77777777" w:rsidR="00C665D0" w:rsidRDefault="00C665D0" w:rsidP="009B568F">
            <w:r w:rsidRPr="5E4DB3C2">
              <w:rPr>
                <w:rFonts w:ascii="Calibri" w:eastAsia="Calibri" w:hAnsi="Calibri" w:cs="Calibri"/>
                <w:color w:val="000000" w:themeColor="text1"/>
              </w:rPr>
              <w:t>63.0%</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7EC40617" w14:textId="77777777" w:rsidR="00C665D0" w:rsidRDefault="00C665D0" w:rsidP="009B568F">
            <w:r w:rsidRPr="5E4DB3C2">
              <w:rPr>
                <w:rFonts w:ascii="Calibri" w:eastAsia="Calibri" w:hAnsi="Calibri" w:cs="Calibri"/>
                <w:color w:val="000000" w:themeColor="text1"/>
              </w:rPr>
              <w:t>63.0%</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412AAAAC" w14:textId="77777777" w:rsidR="00C665D0" w:rsidRDefault="00C665D0" w:rsidP="009B568F">
            <w:r w:rsidRPr="5E4DB3C2">
              <w:rPr>
                <w:rFonts w:ascii="Calibri" w:eastAsia="Calibri" w:hAnsi="Calibri" w:cs="Calibri"/>
                <w:color w:val="000000" w:themeColor="text1"/>
              </w:rPr>
              <w:t>63.9%</w:t>
            </w:r>
          </w:p>
        </w:tc>
        <w:tc>
          <w:tcPr>
            <w:tcW w:w="1035" w:type="dxa"/>
            <w:tcBorders>
              <w:top w:val="single" w:sz="8" w:space="0" w:color="auto"/>
              <w:left w:val="single" w:sz="8" w:space="0" w:color="auto"/>
              <w:bottom w:val="single" w:sz="12" w:space="0" w:color="auto"/>
              <w:right w:val="single" w:sz="8" w:space="0" w:color="auto"/>
            </w:tcBorders>
            <w:shd w:val="clear" w:color="auto" w:fill="DDF1F3"/>
          </w:tcPr>
          <w:p w14:paraId="1CE26E50" w14:textId="77777777" w:rsidR="00C665D0" w:rsidRDefault="00C665D0" w:rsidP="009B568F">
            <w:r w:rsidRPr="5E4DB3C2">
              <w:rPr>
                <w:rFonts w:ascii="Calibri" w:eastAsia="Calibri" w:hAnsi="Calibri" w:cs="Calibri"/>
                <w:color w:val="000000" w:themeColor="text1"/>
              </w:rPr>
              <w:t>64.5%</w:t>
            </w:r>
          </w:p>
        </w:tc>
        <w:tc>
          <w:tcPr>
            <w:tcW w:w="1035" w:type="dxa"/>
            <w:tcBorders>
              <w:top w:val="single" w:sz="8" w:space="0" w:color="auto"/>
              <w:left w:val="single" w:sz="8" w:space="0" w:color="auto"/>
              <w:bottom w:val="single" w:sz="12" w:space="0" w:color="auto"/>
              <w:right w:val="single" w:sz="12" w:space="0" w:color="auto"/>
            </w:tcBorders>
            <w:shd w:val="clear" w:color="auto" w:fill="DDF1F3"/>
          </w:tcPr>
          <w:p w14:paraId="35AEC722" w14:textId="77777777" w:rsidR="00C665D0" w:rsidRDefault="00C665D0" w:rsidP="009B568F">
            <w:r w:rsidRPr="5E4DB3C2">
              <w:rPr>
                <w:rFonts w:ascii="Calibri" w:eastAsia="Calibri" w:hAnsi="Calibri" w:cs="Calibri"/>
                <w:color w:val="000000" w:themeColor="text1"/>
              </w:rPr>
              <w:t>63.2%</w:t>
            </w:r>
          </w:p>
        </w:tc>
      </w:tr>
    </w:tbl>
    <w:p w14:paraId="24D2AE3A" w14:textId="77777777" w:rsidR="00F37301" w:rsidRDefault="00C665D0" w:rsidP="009B568F">
      <w:pPr>
        <w:rPr>
          <w:rFonts w:ascii="Calibri" w:eastAsia="Calibri" w:hAnsi="Calibri" w:cs="Calibri"/>
        </w:rPr>
      </w:pPr>
      <w:r w:rsidRPr="5E4DB3C2">
        <w:rPr>
          <w:rFonts w:ascii="Calibri" w:eastAsia="Calibri" w:hAnsi="Calibri" w:cs="Calibri"/>
        </w:rPr>
        <w:t xml:space="preserve">The estimated proportion of adults aged 18 and over in Kent classified as overweight </w:t>
      </w:r>
      <w:r w:rsidR="00D9373F">
        <w:rPr>
          <w:rFonts w:ascii="Calibri" w:eastAsia="Calibri" w:hAnsi="Calibri" w:cs="Calibri"/>
        </w:rPr>
        <w:t xml:space="preserve">or </w:t>
      </w:r>
      <w:r w:rsidRPr="5E4DB3C2">
        <w:rPr>
          <w:rFonts w:ascii="Calibri" w:eastAsia="Calibri" w:hAnsi="Calibri" w:cs="Calibri"/>
        </w:rPr>
        <w:t>obese in 2020/21 was 63.2% (England</w:t>
      </w:r>
      <w:r w:rsidR="00D9373F">
        <w:rPr>
          <w:rFonts w:ascii="Calibri" w:eastAsia="Calibri" w:hAnsi="Calibri" w:cs="Calibri"/>
        </w:rPr>
        <w:t xml:space="preserve"> </w:t>
      </w:r>
      <w:r w:rsidRPr="5E4DB3C2">
        <w:rPr>
          <w:rFonts w:ascii="Calibri" w:eastAsia="Calibri" w:hAnsi="Calibri" w:cs="Calibri"/>
        </w:rPr>
        <w:t xml:space="preserve">63.5%). In West Kent, Maidstone had the highest (61.0%) proportion of adults classified as having excess weight. It worth noting that in all the districts over half of the adult population in West Kent were classified as overweight </w:t>
      </w:r>
      <w:r w:rsidR="00F37301">
        <w:rPr>
          <w:rFonts w:ascii="Calibri" w:eastAsia="Calibri" w:hAnsi="Calibri" w:cs="Calibri"/>
        </w:rPr>
        <w:t>or</w:t>
      </w:r>
      <w:r w:rsidRPr="5E4DB3C2">
        <w:rPr>
          <w:rFonts w:ascii="Calibri" w:eastAsia="Calibri" w:hAnsi="Calibri" w:cs="Calibri"/>
        </w:rPr>
        <w:t xml:space="preserve"> obese including Sevenoaks with the least percentage (55.3%). </w:t>
      </w:r>
    </w:p>
    <w:p w14:paraId="41851FAA" w14:textId="51324E53" w:rsidR="00C665D0" w:rsidRDefault="00C665D0" w:rsidP="009B568F">
      <w:pPr>
        <w:rPr>
          <w:rFonts w:ascii="Calibri" w:eastAsia="Calibri" w:hAnsi="Calibri" w:cs="Calibri"/>
        </w:rPr>
      </w:pPr>
      <w:r w:rsidRPr="5E4DB3C2">
        <w:rPr>
          <w:rFonts w:ascii="Calibri" w:eastAsia="Calibri" w:hAnsi="Calibri" w:cs="Calibri"/>
        </w:rPr>
        <w:t>For obesity, 26.0% of adults in Kent in 2021 were classified as obese (England 25.3%). In West Kent, Tonbridge</w:t>
      </w:r>
      <w:r w:rsidR="2C606C88" w:rsidRPr="740CDBE4">
        <w:rPr>
          <w:rFonts w:ascii="Calibri" w:eastAsia="Calibri" w:hAnsi="Calibri" w:cs="Calibri"/>
        </w:rPr>
        <w:t>,</w:t>
      </w:r>
      <w:r w:rsidRPr="5E4DB3C2">
        <w:rPr>
          <w:rFonts w:ascii="Calibri" w:eastAsia="Calibri" w:hAnsi="Calibri" w:cs="Calibri"/>
        </w:rPr>
        <w:t xml:space="preserve"> and Mailing (23.4%) has the highest proportion of adults classified as obese, and over 20% of adults in the other three districts were classified as obese (Figures 44 to 46 and Tables 5 &amp; 6)</w:t>
      </w:r>
      <w:r w:rsidR="009B568F">
        <w:rPr>
          <w:rFonts w:ascii="Calibri" w:eastAsia="Calibri" w:hAnsi="Calibri" w:cs="Calibri"/>
        </w:rPr>
        <w:t>.</w:t>
      </w:r>
    </w:p>
    <w:p w14:paraId="2B1C9480" w14:textId="77777777" w:rsidR="00C665D0" w:rsidRDefault="00C665D0" w:rsidP="009B568F">
      <w:pPr>
        <w:pStyle w:val="Heading2"/>
        <w:rPr>
          <w:rFonts w:eastAsia="Calibri"/>
        </w:rPr>
      </w:pPr>
      <w:bookmarkStart w:id="75" w:name="_Toc128133821"/>
      <w:r w:rsidRPr="5E4DB3C2">
        <w:rPr>
          <w:rFonts w:eastAsia="Calibri"/>
        </w:rPr>
        <w:t>Childhood obesity</w:t>
      </w:r>
      <w:bookmarkEnd w:id="75"/>
    </w:p>
    <w:p w14:paraId="0279C0E1" w14:textId="161919D1" w:rsidR="00C665D0" w:rsidRDefault="00C665D0" w:rsidP="009B568F">
      <w:pPr>
        <w:rPr>
          <w:rFonts w:ascii="Calibri" w:eastAsia="Calibri" w:hAnsi="Calibri" w:cs="Calibri"/>
        </w:rPr>
      </w:pPr>
      <w:r w:rsidRPr="5E4DB3C2">
        <w:rPr>
          <w:rFonts w:ascii="Calibri" w:eastAsia="Calibri" w:hAnsi="Calibri" w:cs="Calibri"/>
        </w:rPr>
        <w:t xml:space="preserve">In Kent, over 1 in 4 children in reception year (26.6%) were classified as having excess weight (England 27.7%) in 2020/21. Tonbridge and Malling have the highest (23.4%) prevalence of excess weight in Year R in West Kent in 2020/21. </w:t>
      </w:r>
      <w:r w:rsidR="001A6C1D">
        <w:rPr>
          <w:rFonts w:ascii="Calibri" w:eastAsia="Calibri" w:hAnsi="Calibri" w:cs="Calibri"/>
        </w:rPr>
        <w:t>In</w:t>
      </w:r>
      <w:r w:rsidRPr="5E4DB3C2">
        <w:rPr>
          <w:rFonts w:ascii="Calibri" w:eastAsia="Calibri" w:hAnsi="Calibri" w:cs="Calibri"/>
        </w:rPr>
        <w:t xml:space="preserve"> West Kent, obesity and severe obesity have increased in Tonbridge and Malling and Sevenoaks since the previous year.</w:t>
      </w:r>
    </w:p>
    <w:p w14:paraId="13E92B11" w14:textId="54BDD559" w:rsidR="00C665D0" w:rsidRDefault="00C665D0" w:rsidP="009B568F">
      <w:pPr>
        <w:rPr>
          <w:rFonts w:ascii="Calibri" w:eastAsia="Calibri" w:hAnsi="Calibri" w:cs="Calibri"/>
        </w:rPr>
      </w:pPr>
      <w:r w:rsidRPr="5E4DB3C2">
        <w:rPr>
          <w:rFonts w:ascii="Calibri" w:eastAsia="Calibri" w:hAnsi="Calibri" w:cs="Calibri"/>
        </w:rPr>
        <w:t>Figures 4</w:t>
      </w:r>
      <w:r w:rsidR="00B3426A">
        <w:rPr>
          <w:rFonts w:ascii="Calibri" w:eastAsia="Calibri" w:hAnsi="Calibri" w:cs="Calibri"/>
        </w:rPr>
        <w:t>5</w:t>
      </w:r>
      <w:r w:rsidRPr="5E4DB3C2">
        <w:rPr>
          <w:rFonts w:ascii="Calibri" w:eastAsia="Calibri" w:hAnsi="Calibri" w:cs="Calibri"/>
        </w:rPr>
        <w:t xml:space="preserve"> to </w:t>
      </w:r>
      <w:r w:rsidR="00B3426A">
        <w:rPr>
          <w:rFonts w:ascii="Calibri" w:eastAsia="Calibri" w:hAnsi="Calibri" w:cs="Calibri"/>
        </w:rPr>
        <w:t>48</w:t>
      </w:r>
      <w:r w:rsidRPr="5E4DB3C2">
        <w:rPr>
          <w:rFonts w:ascii="Calibri" w:eastAsia="Calibri" w:hAnsi="Calibri" w:cs="Calibri"/>
        </w:rPr>
        <w:t xml:space="preserve"> below illustrate the </w:t>
      </w:r>
      <w:r w:rsidR="00E95F50">
        <w:rPr>
          <w:rFonts w:ascii="Calibri" w:eastAsia="Calibri" w:hAnsi="Calibri" w:cs="Calibri"/>
        </w:rPr>
        <w:t>p</w:t>
      </w:r>
      <w:r w:rsidRPr="5E4DB3C2">
        <w:rPr>
          <w:rFonts w:ascii="Calibri" w:eastAsia="Calibri" w:hAnsi="Calibri" w:cs="Calibri"/>
        </w:rPr>
        <w:t>revalence of excess weight, obesity</w:t>
      </w:r>
      <w:r w:rsidR="207B78A1" w:rsidRPr="740CDBE4">
        <w:rPr>
          <w:rFonts w:ascii="Calibri" w:eastAsia="Calibri" w:hAnsi="Calibri" w:cs="Calibri"/>
        </w:rPr>
        <w:t>,</w:t>
      </w:r>
      <w:r w:rsidRPr="5E4DB3C2">
        <w:rPr>
          <w:rFonts w:ascii="Calibri" w:eastAsia="Calibri" w:hAnsi="Calibri" w:cs="Calibri"/>
        </w:rPr>
        <w:t xml:space="preserve"> and sever</w:t>
      </w:r>
      <w:r w:rsidR="00E95F50">
        <w:rPr>
          <w:rFonts w:ascii="Calibri" w:eastAsia="Calibri" w:hAnsi="Calibri" w:cs="Calibri"/>
        </w:rPr>
        <w:t>e</w:t>
      </w:r>
      <w:r w:rsidRPr="5E4DB3C2">
        <w:rPr>
          <w:rFonts w:ascii="Calibri" w:eastAsia="Calibri" w:hAnsi="Calibri" w:cs="Calibri"/>
        </w:rPr>
        <w:t xml:space="preserve"> obesity in Year R by district in Kent, 2020/21.</w:t>
      </w:r>
    </w:p>
    <w:p w14:paraId="6CFAFD17" w14:textId="77777777" w:rsidR="00EB3382" w:rsidRDefault="00EB3382">
      <w:pPr>
        <w:spacing w:before="0" w:after="200"/>
        <w:rPr>
          <w:rFonts w:ascii="Calibri" w:eastAsia="Calibri" w:hAnsi="Calibri" w:cs="Calibri"/>
          <w:b/>
          <w:bCs/>
        </w:rPr>
      </w:pPr>
      <w:r>
        <w:rPr>
          <w:rFonts w:ascii="Calibri" w:eastAsia="Calibri" w:hAnsi="Calibri" w:cs="Calibri"/>
          <w:b/>
          <w:bCs/>
        </w:rPr>
        <w:br w:type="page"/>
      </w:r>
    </w:p>
    <w:p w14:paraId="7325EEE9" w14:textId="5311CD3A" w:rsidR="00C665D0" w:rsidRDefault="00C665D0" w:rsidP="00C665D0">
      <w:pPr>
        <w:rPr>
          <w:rFonts w:ascii="Calibri" w:eastAsia="Calibri" w:hAnsi="Calibri" w:cs="Calibri"/>
          <w:b/>
          <w:bCs/>
        </w:rPr>
      </w:pPr>
      <w:r w:rsidRPr="5E4DB3C2">
        <w:rPr>
          <w:rFonts w:ascii="Calibri" w:eastAsia="Calibri" w:hAnsi="Calibri" w:cs="Calibri"/>
          <w:b/>
          <w:bCs/>
        </w:rPr>
        <w:lastRenderedPageBreak/>
        <w:t>Figure 4</w:t>
      </w:r>
      <w:r w:rsidR="00B3426A">
        <w:rPr>
          <w:rFonts w:ascii="Calibri" w:eastAsia="Calibri" w:hAnsi="Calibri" w:cs="Calibri"/>
          <w:b/>
          <w:bCs/>
        </w:rPr>
        <w:t>5</w:t>
      </w:r>
      <w:r w:rsidRPr="5E4DB3C2">
        <w:rPr>
          <w:rFonts w:ascii="Calibri" w:eastAsia="Calibri" w:hAnsi="Calibri" w:cs="Calibri"/>
          <w:b/>
          <w:bCs/>
        </w:rPr>
        <w:t xml:space="preserve"> Prevalence of excess weight in Year R by district in Kent, 2020/21</w:t>
      </w:r>
    </w:p>
    <w:p w14:paraId="114B5948" w14:textId="345A722C" w:rsidR="00C665D0" w:rsidRDefault="00C665D0" w:rsidP="00C665D0">
      <w:r>
        <w:rPr>
          <w:noProof/>
        </w:rPr>
        <w:drawing>
          <wp:inline distT="0" distB="0" distL="0" distR="0" wp14:anchorId="2A991536" wp14:editId="4F9E51DD">
            <wp:extent cx="5705475" cy="3040531"/>
            <wp:effectExtent l="0" t="0" r="0" b="7620"/>
            <wp:docPr id="1505040197" name="Picture 1505040197" descr="Column chart showing the Prevalence of excess weight in Year R by district in Kent in 2020/21 compared to 2019/20. Dover and Thanet have increased to 33.2% and 29.7% respectively. The Kent average has increased to 26.6%. The other districts are similar to the previous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40197" name="Picture 1505040197" descr="Column chart showing the Prevalence of excess weight in Year R by district in Kent in 2020/21 compared to 2019/20. Dover and Thanet have increased to 33.2% and 29.7% respectively. The Kent average has increased to 26.6%. The other districts are similar to the previous year. "/>
                    <pic:cNvPicPr/>
                  </pic:nvPicPr>
                  <pic:blipFill>
                    <a:blip r:embed="rId92">
                      <a:extLst>
                        <a:ext uri="{28A0092B-C50C-407E-A947-70E740481C1C}">
                          <a14:useLocalDpi xmlns:a14="http://schemas.microsoft.com/office/drawing/2010/main" val="0"/>
                        </a:ext>
                      </a:extLst>
                    </a:blip>
                    <a:stretch>
                      <a:fillRect/>
                    </a:stretch>
                  </pic:blipFill>
                  <pic:spPr>
                    <a:xfrm>
                      <a:off x="0" y="0"/>
                      <a:ext cx="5705475" cy="3040531"/>
                    </a:xfrm>
                    <a:prstGeom prst="rect">
                      <a:avLst/>
                    </a:prstGeom>
                  </pic:spPr>
                </pic:pic>
              </a:graphicData>
            </a:graphic>
          </wp:inline>
        </w:drawing>
      </w:r>
    </w:p>
    <w:p w14:paraId="556F3A9A" w14:textId="77777777" w:rsidR="00687630" w:rsidRDefault="00687630" w:rsidP="00C665D0"/>
    <w:p w14:paraId="0DA8C50A" w14:textId="28369437" w:rsidR="00C665D0" w:rsidRDefault="00C665D0" w:rsidP="009B568F">
      <w:pPr>
        <w:rPr>
          <w:rFonts w:ascii="Calibri" w:eastAsia="Calibri" w:hAnsi="Calibri" w:cs="Calibri"/>
          <w:b/>
          <w:bCs/>
        </w:rPr>
      </w:pPr>
      <w:r w:rsidRPr="5E4DB3C2">
        <w:rPr>
          <w:rFonts w:ascii="Calibri" w:eastAsia="Calibri" w:hAnsi="Calibri" w:cs="Calibri"/>
          <w:b/>
          <w:bCs/>
        </w:rPr>
        <w:t>Figure 4</w:t>
      </w:r>
      <w:r w:rsidR="00B3426A">
        <w:rPr>
          <w:rFonts w:ascii="Calibri" w:eastAsia="Calibri" w:hAnsi="Calibri" w:cs="Calibri"/>
          <w:b/>
          <w:bCs/>
        </w:rPr>
        <w:t>6</w:t>
      </w:r>
      <w:r w:rsidRPr="5E4DB3C2">
        <w:rPr>
          <w:rFonts w:ascii="Calibri" w:eastAsia="Calibri" w:hAnsi="Calibri" w:cs="Calibri"/>
          <w:b/>
          <w:bCs/>
        </w:rPr>
        <w:t xml:space="preserve"> Prevalence of obesity in Year R by district in Kent, 2020/21</w:t>
      </w:r>
    </w:p>
    <w:p w14:paraId="026846A1" w14:textId="555032F4" w:rsidR="000139B2" w:rsidRPr="00170C43" w:rsidRDefault="00C665D0" w:rsidP="009B568F">
      <w:r>
        <w:rPr>
          <w:noProof/>
        </w:rPr>
        <w:drawing>
          <wp:inline distT="0" distB="0" distL="0" distR="0" wp14:anchorId="2C106842" wp14:editId="58F23956">
            <wp:extent cx="5854717" cy="3548743"/>
            <wp:effectExtent l="0" t="0" r="0" b="6350"/>
            <wp:docPr id="910594150" name="Picture 910594150" descr="Column chart showing the Prevalence of obesity in Year R by district in Kent in 2020/21 compared to 2019/20. Dover, Thanet, Dartford, Swale, Tonbridge and Malling, Sevenoaks and Canterbury have all increased since the previous year. The Kent average has increased to 13.4%. The other districts are similar to the previous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594150" name="Picture 910594150" descr="Column chart showing the Prevalence of obesity in Year R by district in Kent in 2020/21 compared to 2019/20. Dover, Thanet, Dartford, Swale, Tonbridge and Malling, Sevenoaks and Canterbury have all increased since the previous year. The Kent average has increased to 13.4%. The other districts are similar to the previous year. "/>
                    <pic:cNvPicPr/>
                  </pic:nvPicPr>
                  <pic:blipFill>
                    <a:blip r:embed="rId93">
                      <a:extLst>
                        <a:ext uri="{28A0092B-C50C-407E-A947-70E740481C1C}">
                          <a14:useLocalDpi xmlns:a14="http://schemas.microsoft.com/office/drawing/2010/main" val="0"/>
                        </a:ext>
                      </a:extLst>
                    </a:blip>
                    <a:stretch>
                      <a:fillRect/>
                    </a:stretch>
                  </pic:blipFill>
                  <pic:spPr>
                    <a:xfrm>
                      <a:off x="0" y="0"/>
                      <a:ext cx="5854717" cy="3548743"/>
                    </a:xfrm>
                    <a:prstGeom prst="rect">
                      <a:avLst/>
                    </a:prstGeom>
                  </pic:spPr>
                </pic:pic>
              </a:graphicData>
            </a:graphic>
          </wp:inline>
        </w:drawing>
      </w:r>
    </w:p>
    <w:p w14:paraId="7D9CFFD6" w14:textId="77777777" w:rsidR="00EB3382" w:rsidRDefault="00EB3382">
      <w:pPr>
        <w:spacing w:before="0" w:after="200"/>
        <w:rPr>
          <w:rFonts w:ascii="Calibri" w:eastAsia="Calibri" w:hAnsi="Calibri" w:cs="Calibri"/>
          <w:b/>
          <w:bCs/>
        </w:rPr>
      </w:pPr>
      <w:r>
        <w:rPr>
          <w:rFonts w:ascii="Calibri" w:eastAsia="Calibri" w:hAnsi="Calibri" w:cs="Calibri"/>
          <w:b/>
          <w:bCs/>
        </w:rPr>
        <w:br w:type="page"/>
      </w:r>
    </w:p>
    <w:p w14:paraId="24AB4317" w14:textId="73CC3F15" w:rsidR="00C665D0" w:rsidRDefault="00C665D0" w:rsidP="009B568F">
      <w:pPr>
        <w:rPr>
          <w:rFonts w:ascii="Calibri" w:eastAsia="Calibri" w:hAnsi="Calibri" w:cs="Calibri"/>
          <w:b/>
          <w:bCs/>
        </w:rPr>
      </w:pPr>
      <w:r w:rsidRPr="5E4DB3C2">
        <w:rPr>
          <w:rFonts w:ascii="Calibri" w:eastAsia="Calibri" w:hAnsi="Calibri" w:cs="Calibri"/>
          <w:b/>
          <w:bCs/>
        </w:rPr>
        <w:lastRenderedPageBreak/>
        <w:t>Figure 4</w:t>
      </w:r>
      <w:r w:rsidR="00B3426A">
        <w:rPr>
          <w:rFonts w:ascii="Calibri" w:eastAsia="Calibri" w:hAnsi="Calibri" w:cs="Calibri"/>
          <w:b/>
          <w:bCs/>
        </w:rPr>
        <w:t>7</w:t>
      </w:r>
      <w:r w:rsidRPr="5E4DB3C2">
        <w:rPr>
          <w:rFonts w:ascii="Calibri" w:eastAsia="Calibri" w:hAnsi="Calibri" w:cs="Calibri"/>
          <w:b/>
          <w:bCs/>
        </w:rPr>
        <w:t xml:space="preserve"> Prevalence of severe obesity in Year R by district in Kent, 2020/21</w:t>
      </w:r>
    </w:p>
    <w:p w14:paraId="593983A6" w14:textId="77777777" w:rsidR="00C665D0" w:rsidRDefault="00C665D0" w:rsidP="009B568F">
      <w:r>
        <w:rPr>
          <w:noProof/>
        </w:rPr>
        <w:drawing>
          <wp:inline distT="0" distB="0" distL="0" distR="0" wp14:anchorId="1FEA1751" wp14:editId="7BF51CFE">
            <wp:extent cx="5856605" cy="3501762"/>
            <wp:effectExtent l="0" t="0" r="0" b="3810"/>
            <wp:docPr id="970953058" name="Picture 970953058" descr="Column chart showing the Prevalence of severe obesity in Year R by district in Kent in 2020/21 compared to 2019/20. Dover, Thanet, Dartford, Swale, Ashford, Tonbridge and Malling, Sevenoaks and Canterbury have all increased since the previous year. The Kent average has increased to 4%. The other districts are similar to the previous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53058" name="Picture 970953058" descr="Column chart showing the Prevalence of severe obesity in Year R by district in Kent in 2020/21 compared to 2019/20. Dover, Thanet, Dartford, Swale, Ashford, Tonbridge and Malling, Sevenoaks and Canterbury have all increased since the previous year. The Kent average has increased to 4%. The other districts are similar to the previous year. "/>
                    <pic:cNvPicPr/>
                  </pic:nvPicPr>
                  <pic:blipFill>
                    <a:blip r:embed="rId94">
                      <a:extLst>
                        <a:ext uri="{28A0092B-C50C-407E-A947-70E740481C1C}">
                          <a14:useLocalDpi xmlns:a14="http://schemas.microsoft.com/office/drawing/2010/main" val="0"/>
                        </a:ext>
                      </a:extLst>
                    </a:blip>
                    <a:stretch>
                      <a:fillRect/>
                    </a:stretch>
                  </pic:blipFill>
                  <pic:spPr>
                    <a:xfrm>
                      <a:off x="0" y="0"/>
                      <a:ext cx="5864311" cy="3506369"/>
                    </a:xfrm>
                    <a:prstGeom prst="rect">
                      <a:avLst/>
                    </a:prstGeom>
                  </pic:spPr>
                </pic:pic>
              </a:graphicData>
            </a:graphic>
          </wp:inline>
        </w:drawing>
      </w:r>
    </w:p>
    <w:p w14:paraId="54137529" w14:textId="4E32BB12" w:rsidR="00C665D0" w:rsidRDefault="00C665D0" w:rsidP="009B568F">
      <w:pPr>
        <w:rPr>
          <w:rFonts w:ascii="Calibri" w:eastAsia="Calibri" w:hAnsi="Calibri" w:cs="Calibri"/>
          <w:b/>
        </w:rPr>
      </w:pPr>
      <w:r w:rsidRPr="5E4DB3C2">
        <w:rPr>
          <w:rFonts w:ascii="Calibri" w:eastAsia="Calibri" w:hAnsi="Calibri" w:cs="Calibri"/>
          <w:b/>
          <w:bCs/>
        </w:rPr>
        <w:t xml:space="preserve">Figure </w:t>
      </w:r>
      <w:r>
        <w:rPr>
          <w:rFonts w:ascii="Calibri" w:eastAsia="Calibri" w:hAnsi="Calibri" w:cs="Calibri"/>
          <w:b/>
          <w:bCs/>
        </w:rPr>
        <w:t>4</w:t>
      </w:r>
      <w:r w:rsidR="00B3426A">
        <w:rPr>
          <w:rFonts w:ascii="Calibri" w:eastAsia="Calibri" w:hAnsi="Calibri" w:cs="Calibri"/>
          <w:b/>
          <w:bCs/>
        </w:rPr>
        <w:t>8</w:t>
      </w:r>
      <w:r w:rsidRPr="5E4DB3C2">
        <w:rPr>
          <w:rFonts w:ascii="Calibri" w:eastAsia="Calibri" w:hAnsi="Calibri" w:cs="Calibri"/>
          <w:b/>
          <w:bCs/>
        </w:rPr>
        <w:t xml:space="preserve"> Prevalence of overweight and obesity in year 6 children in 2019/20 in Kent by districts. </w:t>
      </w:r>
    </w:p>
    <w:p w14:paraId="6239E52C" w14:textId="06A4D3A8" w:rsidR="00561073" w:rsidRDefault="001313DA" w:rsidP="009B568F">
      <w:r>
        <w:rPr>
          <w:noProof/>
        </w:rPr>
        <w:drawing>
          <wp:inline distT="0" distB="0" distL="0" distR="0" wp14:anchorId="473BFADF" wp14:editId="4DB25288">
            <wp:extent cx="5856605" cy="3793829"/>
            <wp:effectExtent l="0" t="0" r="0" b="0"/>
            <wp:docPr id="503079873" name="Picture 503079873" descr="Percentage of year 6 children who are overweight or obese in 2021/22. Gravesham district had the highest rate of excess weight in 2021/22 of the Kent districts, with 41.7% of children who were measured, higher than the England level of 3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79873" name="Picture 503079873" descr="Percentage of year 6 children who are overweight or obese in 2021/22. Gravesham district had the highest rate of excess weight in 2021/22 of the Kent districts, with 41.7% of children who were measured, higher than the England level of 38%.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74020" cy="3805110"/>
                    </a:xfrm>
                    <a:prstGeom prst="rect">
                      <a:avLst/>
                    </a:prstGeom>
                    <a:noFill/>
                  </pic:spPr>
                </pic:pic>
              </a:graphicData>
            </a:graphic>
          </wp:inline>
        </w:drawing>
      </w:r>
    </w:p>
    <w:p w14:paraId="71C97A2B" w14:textId="589F5195" w:rsidR="00C665D0" w:rsidRDefault="00C665D0" w:rsidP="00940DB9">
      <w:r w:rsidRPr="5E4DB3C2">
        <w:rPr>
          <w:rFonts w:ascii="Calibri" w:eastAsia="Calibri" w:hAnsi="Calibri" w:cs="Calibri"/>
        </w:rPr>
        <w:t xml:space="preserve"> </w:t>
      </w:r>
    </w:p>
    <w:p w14:paraId="5960BAAE" w14:textId="77777777" w:rsidR="00C665D0" w:rsidRDefault="00C665D0" w:rsidP="009B568F">
      <w:pPr>
        <w:pStyle w:val="Heading2"/>
        <w:rPr>
          <w:rFonts w:eastAsia="Calibri"/>
        </w:rPr>
      </w:pPr>
      <w:bookmarkStart w:id="76" w:name="_Toc128133822"/>
      <w:r w:rsidRPr="5E4DB3C2">
        <w:rPr>
          <w:rFonts w:eastAsia="Calibri"/>
        </w:rPr>
        <w:lastRenderedPageBreak/>
        <w:t>Physical Activity</w:t>
      </w:r>
      <w:bookmarkEnd w:id="76"/>
    </w:p>
    <w:p w14:paraId="6EE6972D" w14:textId="771103C0" w:rsidR="00C665D0" w:rsidRDefault="00C665D0" w:rsidP="009B568F">
      <w:r w:rsidRPr="045A98DE">
        <w:rPr>
          <w:rFonts w:ascii="Calibri" w:eastAsia="Calibri" w:hAnsi="Calibri" w:cs="Calibri"/>
        </w:rPr>
        <w:t>Tables 7 &amp; 8 show that in 2019/20, physical activities including walking and cycling have decreased and physical inactivity increased compared to the previous year in all West Kent districts except in Maidstone</w:t>
      </w:r>
      <w:r w:rsidR="635BCD4D" w:rsidRPr="045A98DE">
        <w:rPr>
          <w:rFonts w:ascii="Calibri" w:eastAsia="Calibri" w:hAnsi="Calibri" w:cs="Calibri"/>
        </w:rPr>
        <w:t xml:space="preserve"> BC</w:t>
      </w:r>
      <w:r w:rsidRPr="045A98DE">
        <w:rPr>
          <w:rFonts w:ascii="Calibri" w:eastAsia="Calibri" w:hAnsi="Calibri" w:cs="Calibri"/>
        </w:rPr>
        <w:t>.</w:t>
      </w:r>
    </w:p>
    <w:p w14:paraId="1F427DC1" w14:textId="29429F66" w:rsidR="00C665D0" w:rsidRDefault="00C665D0" w:rsidP="006550C9">
      <w:pPr>
        <w:rPr>
          <w:rFonts w:ascii="Calibri" w:eastAsia="Calibri" w:hAnsi="Calibri" w:cs="Calibri"/>
        </w:rPr>
      </w:pPr>
      <w:r w:rsidRPr="006550C9">
        <w:rPr>
          <w:rFonts w:ascii="Calibri" w:eastAsia="Calibri" w:hAnsi="Calibri" w:cs="Calibri"/>
          <w:b/>
          <w:bCs/>
        </w:rPr>
        <w:t>Table 7</w:t>
      </w:r>
      <w:r w:rsidR="00940DB9" w:rsidRPr="006550C9">
        <w:rPr>
          <w:rFonts w:ascii="Calibri" w:eastAsia="Calibri" w:hAnsi="Calibri" w:cs="Calibri"/>
          <w:b/>
          <w:bCs/>
        </w:rPr>
        <w:t xml:space="preserve"> Percentage of physically active and physically inactive adults</w:t>
      </w:r>
      <w:r w:rsidR="00B82C0A" w:rsidRPr="006550C9">
        <w:rPr>
          <w:rFonts w:ascii="Calibri" w:eastAsia="Calibri" w:hAnsi="Calibri" w:cs="Calibri"/>
          <w:b/>
          <w:bCs/>
        </w:rPr>
        <w:t xml:space="preserve">. </w:t>
      </w:r>
      <w:r w:rsidR="00B82C0A" w:rsidRPr="006550C9">
        <w:rPr>
          <w:rFonts w:ascii="Calibri" w:eastAsia="Calibri" w:hAnsi="Calibri" w:cs="Calibri"/>
        </w:rPr>
        <w:t>Source: PHE Fingertips</w:t>
      </w:r>
      <w:r w:rsidR="00940DB9" w:rsidRPr="006550C9">
        <w:rPr>
          <w:rFonts w:ascii="Calibri" w:eastAsia="Calibri" w:hAnsi="Calibri" w:cs="Calibri"/>
        </w:rPr>
        <w:t xml:space="preserve"> </w:t>
      </w:r>
    </w:p>
    <w:tbl>
      <w:tblPr>
        <w:tblW w:w="9129" w:type="dxa"/>
        <w:tblInd w:w="113" w:type="dxa"/>
        <w:tblLook w:val="04A0" w:firstRow="1" w:lastRow="0" w:firstColumn="1" w:lastColumn="0" w:noHBand="0" w:noVBand="1"/>
      </w:tblPr>
      <w:tblGrid>
        <w:gridCol w:w="1772"/>
        <w:gridCol w:w="1111"/>
        <w:gridCol w:w="1111"/>
        <w:gridCol w:w="1246"/>
        <w:gridCol w:w="1276"/>
        <w:gridCol w:w="1276"/>
        <w:gridCol w:w="1337"/>
      </w:tblGrid>
      <w:tr w:rsidR="004603C7" w:rsidRPr="004572D6" w14:paraId="44C7254A" w14:textId="77777777" w:rsidTr="004603C7">
        <w:trPr>
          <w:trHeight w:val="305"/>
        </w:trPr>
        <w:tc>
          <w:tcPr>
            <w:tcW w:w="1772" w:type="dxa"/>
            <w:tcBorders>
              <w:top w:val="single" w:sz="4" w:space="0" w:color="auto"/>
              <w:left w:val="single" w:sz="4" w:space="0" w:color="auto"/>
              <w:bottom w:val="single" w:sz="4" w:space="0" w:color="auto"/>
              <w:right w:val="single" w:sz="4" w:space="0" w:color="auto"/>
            </w:tcBorders>
            <w:shd w:val="clear" w:color="000000" w:fill="2D7C82"/>
            <w:noWrap/>
            <w:vAlign w:val="bottom"/>
            <w:hideMark/>
          </w:tcPr>
          <w:p w14:paraId="6C2E3C16" w14:textId="77777777" w:rsidR="004572D6" w:rsidRPr="004572D6" w:rsidRDefault="004572D6" w:rsidP="004572D6">
            <w:pPr>
              <w:spacing w:before="0" w:after="0" w:line="240" w:lineRule="auto"/>
              <w:rPr>
                <w:rFonts w:ascii="Calibri" w:eastAsia="Times New Roman" w:hAnsi="Calibri" w:cs="Calibri"/>
                <w:b/>
                <w:bCs/>
                <w:color w:val="FFFFFF"/>
                <w:sz w:val="22"/>
                <w:szCs w:val="22"/>
              </w:rPr>
            </w:pPr>
            <w:r w:rsidRPr="004572D6">
              <w:rPr>
                <w:rFonts w:ascii="Calibri" w:eastAsia="Times New Roman" w:hAnsi="Calibri" w:cs="Calibri"/>
                <w:b/>
                <w:bCs/>
                <w:color w:val="FFFFFF"/>
                <w:sz w:val="22"/>
                <w:szCs w:val="22"/>
              </w:rPr>
              <w:t>District</w:t>
            </w:r>
          </w:p>
        </w:tc>
        <w:tc>
          <w:tcPr>
            <w:tcW w:w="1111" w:type="dxa"/>
            <w:tcBorders>
              <w:top w:val="single" w:sz="4" w:space="0" w:color="auto"/>
              <w:left w:val="nil"/>
              <w:bottom w:val="single" w:sz="4" w:space="0" w:color="auto"/>
              <w:right w:val="single" w:sz="4" w:space="0" w:color="auto"/>
            </w:tcBorders>
            <w:shd w:val="clear" w:color="000000" w:fill="2D7C82"/>
            <w:noWrap/>
            <w:vAlign w:val="bottom"/>
            <w:hideMark/>
          </w:tcPr>
          <w:p w14:paraId="44C41379" w14:textId="77777777" w:rsidR="004572D6" w:rsidRPr="004572D6" w:rsidRDefault="004572D6" w:rsidP="004572D6">
            <w:pPr>
              <w:spacing w:before="0" w:after="0" w:line="240" w:lineRule="auto"/>
              <w:rPr>
                <w:rFonts w:ascii="Calibri" w:eastAsia="Times New Roman" w:hAnsi="Calibri" w:cs="Calibri"/>
                <w:b/>
                <w:bCs/>
                <w:color w:val="FFFFFF"/>
                <w:sz w:val="22"/>
                <w:szCs w:val="22"/>
              </w:rPr>
            </w:pPr>
            <w:r w:rsidRPr="004572D6">
              <w:rPr>
                <w:rFonts w:ascii="Calibri" w:eastAsia="Times New Roman" w:hAnsi="Calibri" w:cs="Calibri"/>
                <w:b/>
                <w:bCs/>
                <w:color w:val="FFFFFF"/>
                <w:sz w:val="22"/>
                <w:szCs w:val="22"/>
              </w:rPr>
              <w:t>Physically active % 2018/19</w:t>
            </w:r>
          </w:p>
        </w:tc>
        <w:tc>
          <w:tcPr>
            <w:tcW w:w="1111" w:type="dxa"/>
            <w:tcBorders>
              <w:top w:val="single" w:sz="4" w:space="0" w:color="auto"/>
              <w:left w:val="nil"/>
              <w:bottom w:val="single" w:sz="4" w:space="0" w:color="auto"/>
              <w:right w:val="single" w:sz="4" w:space="0" w:color="auto"/>
            </w:tcBorders>
            <w:shd w:val="clear" w:color="000000" w:fill="2D7C82"/>
            <w:noWrap/>
            <w:vAlign w:val="bottom"/>
            <w:hideMark/>
          </w:tcPr>
          <w:p w14:paraId="312BEFFC" w14:textId="77777777" w:rsidR="004572D6" w:rsidRPr="004572D6" w:rsidRDefault="004572D6" w:rsidP="004572D6">
            <w:pPr>
              <w:spacing w:before="0" w:after="0" w:line="240" w:lineRule="auto"/>
              <w:rPr>
                <w:rFonts w:ascii="Calibri" w:eastAsia="Times New Roman" w:hAnsi="Calibri" w:cs="Calibri"/>
                <w:b/>
                <w:bCs/>
                <w:color w:val="FFFFFF"/>
                <w:sz w:val="22"/>
                <w:szCs w:val="22"/>
              </w:rPr>
            </w:pPr>
            <w:r w:rsidRPr="004572D6">
              <w:rPr>
                <w:rFonts w:ascii="Calibri" w:eastAsia="Times New Roman" w:hAnsi="Calibri" w:cs="Calibri"/>
                <w:b/>
                <w:bCs/>
                <w:color w:val="FFFFFF"/>
                <w:sz w:val="22"/>
                <w:szCs w:val="22"/>
              </w:rPr>
              <w:t>Physically active % 2019/20</w:t>
            </w:r>
          </w:p>
        </w:tc>
        <w:tc>
          <w:tcPr>
            <w:tcW w:w="1246" w:type="dxa"/>
            <w:tcBorders>
              <w:top w:val="single" w:sz="4" w:space="0" w:color="auto"/>
              <w:left w:val="nil"/>
              <w:bottom w:val="single" w:sz="4" w:space="0" w:color="auto"/>
              <w:right w:val="single" w:sz="4" w:space="0" w:color="auto"/>
            </w:tcBorders>
            <w:shd w:val="clear" w:color="000000" w:fill="2D7C82"/>
            <w:noWrap/>
            <w:vAlign w:val="bottom"/>
            <w:hideMark/>
          </w:tcPr>
          <w:p w14:paraId="7DA26704" w14:textId="77777777" w:rsidR="004572D6" w:rsidRPr="004572D6" w:rsidRDefault="004572D6" w:rsidP="004572D6">
            <w:pPr>
              <w:spacing w:before="0" w:after="0" w:line="240" w:lineRule="auto"/>
              <w:rPr>
                <w:rFonts w:ascii="Calibri" w:eastAsia="Times New Roman" w:hAnsi="Calibri" w:cs="Calibri"/>
                <w:b/>
                <w:bCs/>
                <w:color w:val="FFFFFF"/>
                <w:sz w:val="22"/>
                <w:szCs w:val="22"/>
              </w:rPr>
            </w:pPr>
            <w:r w:rsidRPr="004572D6">
              <w:rPr>
                <w:rFonts w:ascii="Calibri" w:eastAsia="Times New Roman" w:hAnsi="Calibri" w:cs="Calibri"/>
                <w:b/>
                <w:bCs/>
                <w:color w:val="FFFFFF"/>
                <w:sz w:val="22"/>
                <w:szCs w:val="22"/>
              </w:rPr>
              <w:t>Change on previous year</w:t>
            </w:r>
          </w:p>
        </w:tc>
        <w:tc>
          <w:tcPr>
            <w:tcW w:w="1276" w:type="dxa"/>
            <w:tcBorders>
              <w:top w:val="single" w:sz="4" w:space="0" w:color="auto"/>
              <w:left w:val="nil"/>
              <w:bottom w:val="single" w:sz="4" w:space="0" w:color="auto"/>
              <w:right w:val="single" w:sz="4" w:space="0" w:color="auto"/>
            </w:tcBorders>
            <w:shd w:val="clear" w:color="000000" w:fill="2D7C82"/>
            <w:noWrap/>
            <w:vAlign w:val="bottom"/>
            <w:hideMark/>
          </w:tcPr>
          <w:p w14:paraId="5A5707CD" w14:textId="77777777" w:rsidR="004572D6" w:rsidRPr="004572D6" w:rsidRDefault="004572D6" w:rsidP="004572D6">
            <w:pPr>
              <w:spacing w:before="0" w:after="0" w:line="240" w:lineRule="auto"/>
              <w:rPr>
                <w:rFonts w:ascii="Calibri" w:eastAsia="Times New Roman" w:hAnsi="Calibri" w:cs="Calibri"/>
                <w:b/>
                <w:bCs/>
                <w:color w:val="FFFFFF"/>
                <w:sz w:val="22"/>
                <w:szCs w:val="22"/>
              </w:rPr>
            </w:pPr>
            <w:r w:rsidRPr="004572D6">
              <w:rPr>
                <w:rFonts w:ascii="Calibri" w:eastAsia="Times New Roman" w:hAnsi="Calibri" w:cs="Calibri"/>
                <w:b/>
                <w:bCs/>
                <w:color w:val="FFFFFF"/>
                <w:sz w:val="22"/>
                <w:szCs w:val="22"/>
              </w:rPr>
              <w:t>Physically inactive % 2018/19</w:t>
            </w:r>
          </w:p>
        </w:tc>
        <w:tc>
          <w:tcPr>
            <w:tcW w:w="1276" w:type="dxa"/>
            <w:tcBorders>
              <w:top w:val="single" w:sz="4" w:space="0" w:color="auto"/>
              <w:left w:val="nil"/>
              <w:bottom w:val="single" w:sz="4" w:space="0" w:color="auto"/>
              <w:right w:val="single" w:sz="4" w:space="0" w:color="auto"/>
            </w:tcBorders>
            <w:shd w:val="clear" w:color="000000" w:fill="2D7C82"/>
            <w:noWrap/>
            <w:vAlign w:val="bottom"/>
            <w:hideMark/>
          </w:tcPr>
          <w:p w14:paraId="57D32D58" w14:textId="77777777" w:rsidR="004572D6" w:rsidRPr="004572D6" w:rsidRDefault="004572D6" w:rsidP="004572D6">
            <w:pPr>
              <w:spacing w:before="0" w:after="0" w:line="240" w:lineRule="auto"/>
              <w:rPr>
                <w:rFonts w:ascii="Calibri" w:eastAsia="Times New Roman" w:hAnsi="Calibri" w:cs="Calibri"/>
                <w:b/>
                <w:bCs/>
                <w:color w:val="FFFFFF"/>
                <w:sz w:val="22"/>
                <w:szCs w:val="22"/>
              </w:rPr>
            </w:pPr>
            <w:r w:rsidRPr="004572D6">
              <w:rPr>
                <w:rFonts w:ascii="Calibri" w:eastAsia="Times New Roman" w:hAnsi="Calibri" w:cs="Calibri"/>
                <w:b/>
                <w:bCs/>
                <w:color w:val="FFFFFF"/>
                <w:sz w:val="22"/>
                <w:szCs w:val="22"/>
              </w:rPr>
              <w:t>Physically inactive % 2019/20</w:t>
            </w:r>
          </w:p>
        </w:tc>
        <w:tc>
          <w:tcPr>
            <w:tcW w:w="1337" w:type="dxa"/>
            <w:tcBorders>
              <w:top w:val="single" w:sz="4" w:space="0" w:color="auto"/>
              <w:left w:val="nil"/>
              <w:bottom w:val="single" w:sz="4" w:space="0" w:color="auto"/>
              <w:right w:val="single" w:sz="4" w:space="0" w:color="auto"/>
            </w:tcBorders>
            <w:shd w:val="clear" w:color="000000" w:fill="2D7C82"/>
            <w:noWrap/>
            <w:vAlign w:val="bottom"/>
            <w:hideMark/>
          </w:tcPr>
          <w:p w14:paraId="5B7F7C0F" w14:textId="77777777" w:rsidR="004572D6" w:rsidRPr="004572D6" w:rsidRDefault="004572D6" w:rsidP="004572D6">
            <w:pPr>
              <w:spacing w:before="0" w:after="0" w:line="240" w:lineRule="auto"/>
              <w:rPr>
                <w:rFonts w:ascii="Calibri" w:eastAsia="Times New Roman" w:hAnsi="Calibri" w:cs="Calibri"/>
                <w:b/>
                <w:bCs/>
                <w:color w:val="FFFFFF"/>
                <w:sz w:val="22"/>
                <w:szCs w:val="22"/>
              </w:rPr>
            </w:pPr>
            <w:r w:rsidRPr="004572D6">
              <w:rPr>
                <w:rFonts w:ascii="Calibri" w:eastAsia="Times New Roman" w:hAnsi="Calibri" w:cs="Calibri"/>
                <w:b/>
                <w:bCs/>
                <w:color w:val="FFFFFF"/>
                <w:sz w:val="22"/>
                <w:szCs w:val="22"/>
              </w:rPr>
              <w:t>Change on previous year</w:t>
            </w:r>
          </w:p>
        </w:tc>
      </w:tr>
      <w:tr w:rsidR="004603C7" w:rsidRPr="004572D6" w14:paraId="26CBB7E9" w14:textId="77777777" w:rsidTr="004603C7">
        <w:trPr>
          <w:trHeight w:val="305"/>
        </w:trPr>
        <w:tc>
          <w:tcPr>
            <w:tcW w:w="1772" w:type="dxa"/>
            <w:tcBorders>
              <w:top w:val="nil"/>
              <w:left w:val="single" w:sz="4" w:space="0" w:color="auto"/>
              <w:bottom w:val="single" w:sz="4" w:space="0" w:color="auto"/>
              <w:right w:val="single" w:sz="4" w:space="0" w:color="auto"/>
            </w:tcBorders>
            <w:shd w:val="clear" w:color="000000" w:fill="DDF1F3"/>
            <w:noWrap/>
            <w:vAlign w:val="bottom"/>
            <w:hideMark/>
          </w:tcPr>
          <w:p w14:paraId="26EE598E" w14:textId="77777777" w:rsidR="004572D6" w:rsidRPr="004572D6" w:rsidRDefault="004572D6" w:rsidP="004572D6">
            <w:pPr>
              <w:spacing w:before="0" w:after="0" w:line="240" w:lineRule="auto"/>
              <w:rPr>
                <w:rFonts w:ascii="Calibri" w:eastAsia="Times New Roman" w:hAnsi="Calibri" w:cs="Calibri"/>
                <w:color w:val="000000"/>
                <w:sz w:val="22"/>
                <w:szCs w:val="22"/>
              </w:rPr>
            </w:pPr>
            <w:r w:rsidRPr="004572D6">
              <w:rPr>
                <w:rFonts w:ascii="Calibri" w:eastAsia="Times New Roman" w:hAnsi="Calibri" w:cs="Calibri"/>
                <w:color w:val="000000"/>
                <w:sz w:val="22"/>
                <w:szCs w:val="22"/>
              </w:rPr>
              <w:t>Maidstone</w:t>
            </w:r>
          </w:p>
        </w:tc>
        <w:tc>
          <w:tcPr>
            <w:tcW w:w="1111" w:type="dxa"/>
            <w:tcBorders>
              <w:top w:val="nil"/>
              <w:left w:val="nil"/>
              <w:bottom w:val="single" w:sz="4" w:space="0" w:color="auto"/>
              <w:right w:val="single" w:sz="4" w:space="0" w:color="auto"/>
            </w:tcBorders>
            <w:shd w:val="clear" w:color="000000" w:fill="DDF1F3"/>
            <w:noWrap/>
            <w:vAlign w:val="bottom"/>
            <w:hideMark/>
          </w:tcPr>
          <w:p w14:paraId="20EE75FA"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66.6</w:t>
            </w:r>
          </w:p>
        </w:tc>
        <w:tc>
          <w:tcPr>
            <w:tcW w:w="1111" w:type="dxa"/>
            <w:tcBorders>
              <w:top w:val="nil"/>
              <w:left w:val="nil"/>
              <w:bottom w:val="single" w:sz="4" w:space="0" w:color="auto"/>
              <w:right w:val="single" w:sz="4" w:space="0" w:color="auto"/>
            </w:tcBorders>
            <w:shd w:val="clear" w:color="000000" w:fill="DDF1F3"/>
            <w:noWrap/>
            <w:vAlign w:val="bottom"/>
            <w:hideMark/>
          </w:tcPr>
          <w:p w14:paraId="7730C60B" w14:textId="77777777" w:rsidR="004572D6" w:rsidRPr="004572D6" w:rsidRDefault="004572D6" w:rsidP="004572D6">
            <w:pPr>
              <w:spacing w:before="0" w:after="0" w:line="240" w:lineRule="auto"/>
              <w:jc w:val="center"/>
              <w:rPr>
                <w:rFonts w:ascii="Calibri" w:eastAsia="Times New Roman" w:hAnsi="Calibri" w:cs="Calibri"/>
                <w:sz w:val="22"/>
                <w:szCs w:val="22"/>
              </w:rPr>
            </w:pPr>
            <w:r w:rsidRPr="004572D6">
              <w:rPr>
                <w:rFonts w:ascii="Calibri" w:eastAsia="Times New Roman" w:hAnsi="Calibri" w:cs="Calibri"/>
                <w:sz w:val="22"/>
                <w:szCs w:val="22"/>
              </w:rPr>
              <w:t>71.0</w:t>
            </w:r>
          </w:p>
        </w:tc>
        <w:tc>
          <w:tcPr>
            <w:tcW w:w="1246" w:type="dxa"/>
            <w:tcBorders>
              <w:top w:val="nil"/>
              <w:left w:val="nil"/>
              <w:bottom w:val="single" w:sz="4" w:space="0" w:color="auto"/>
              <w:right w:val="single" w:sz="4" w:space="0" w:color="auto"/>
            </w:tcBorders>
            <w:shd w:val="clear" w:color="000000" w:fill="DDF1F3"/>
            <w:noWrap/>
            <w:vAlign w:val="bottom"/>
            <w:hideMark/>
          </w:tcPr>
          <w:p w14:paraId="252A861D"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4.4</w:t>
            </w:r>
          </w:p>
        </w:tc>
        <w:tc>
          <w:tcPr>
            <w:tcW w:w="1276" w:type="dxa"/>
            <w:tcBorders>
              <w:top w:val="nil"/>
              <w:left w:val="nil"/>
              <w:bottom w:val="single" w:sz="4" w:space="0" w:color="auto"/>
              <w:right w:val="single" w:sz="4" w:space="0" w:color="auto"/>
            </w:tcBorders>
            <w:shd w:val="clear" w:color="000000" w:fill="DDF1F3"/>
            <w:noWrap/>
            <w:vAlign w:val="bottom"/>
            <w:hideMark/>
          </w:tcPr>
          <w:p w14:paraId="6B67D296"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24.5</w:t>
            </w:r>
          </w:p>
        </w:tc>
        <w:tc>
          <w:tcPr>
            <w:tcW w:w="1276" w:type="dxa"/>
            <w:tcBorders>
              <w:top w:val="nil"/>
              <w:left w:val="nil"/>
              <w:bottom w:val="single" w:sz="4" w:space="0" w:color="auto"/>
              <w:right w:val="single" w:sz="4" w:space="0" w:color="auto"/>
            </w:tcBorders>
            <w:shd w:val="clear" w:color="000000" w:fill="DDF1F3"/>
            <w:noWrap/>
            <w:vAlign w:val="bottom"/>
            <w:hideMark/>
          </w:tcPr>
          <w:p w14:paraId="0906AC59"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19.8</w:t>
            </w:r>
          </w:p>
        </w:tc>
        <w:tc>
          <w:tcPr>
            <w:tcW w:w="1337" w:type="dxa"/>
            <w:tcBorders>
              <w:top w:val="nil"/>
              <w:left w:val="nil"/>
              <w:bottom w:val="single" w:sz="4" w:space="0" w:color="auto"/>
              <w:right w:val="single" w:sz="4" w:space="0" w:color="auto"/>
            </w:tcBorders>
            <w:shd w:val="clear" w:color="000000" w:fill="DDF1F3"/>
            <w:noWrap/>
            <w:vAlign w:val="bottom"/>
            <w:hideMark/>
          </w:tcPr>
          <w:p w14:paraId="600E7C84"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-4.7</w:t>
            </w:r>
          </w:p>
        </w:tc>
      </w:tr>
      <w:tr w:rsidR="004603C7" w:rsidRPr="004572D6" w14:paraId="0EF75F2C" w14:textId="77777777" w:rsidTr="004603C7">
        <w:trPr>
          <w:trHeight w:val="305"/>
        </w:trPr>
        <w:tc>
          <w:tcPr>
            <w:tcW w:w="1772" w:type="dxa"/>
            <w:tcBorders>
              <w:top w:val="nil"/>
              <w:left w:val="single" w:sz="4" w:space="0" w:color="auto"/>
              <w:bottom w:val="single" w:sz="4" w:space="0" w:color="auto"/>
              <w:right w:val="single" w:sz="4" w:space="0" w:color="auto"/>
            </w:tcBorders>
            <w:shd w:val="clear" w:color="000000" w:fill="DDF1F3"/>
            <w:noWrap/>
            <w:vAlign w:val="bottom"/>
            <w:hideMark/>
          </w:tcPr>
          <w:p w14:paraId="705B24F5" w14:textId="77777777" w:rsidR="004572D6" w:rsidRPr="004572D6" w:rsidRDefault="004572D6" w:rsidP="004572D6">
            <w:pPr>
              <w:spacing w:before="0" w:after="0" w:line="240" w:lineRule="auto"/>
              <w:rPr>
                <w:rFonts w:ascii="Calibri" w:eastAsia="Times New Roman" w:hAnsi="Calibri" w:cs="Calibri"/>
                <w:color w:val="000000"/>
                <w:sz w:val="22"/>
                <w:szCs w:val="22"/>
              </w:rPr>
            </w:pPr>
            <w:r w:rsidRPr="004572D6">
              <w:rPr>
                <w:rFonts w:ascii="Calibri" w:eastAsia="Times New Roman" w:hAnsi="Calibri" w:cs="Calibri"/>
                <w:color w:val="000000"/>
                <w:sz w:val="22"/>
                <w:szCs w:val="22"/>
              </w:rPr>
              <w:t>Sevenoaks</w:t>
            </w:r>
          </w:p>
        </w:tc>
        <w:tc>
          <w:tcPr>
            <w:tcW w:w="1111" w:type="dxa"/>
            <w:tcBorders>
              <w:top w:val="nil"/>
              <w:left w:val="nil"/>
              <w:bottom w:val="single" w:sz="4" w:space="0" w:color="auto"/>
              <w:right w:val="single" w:sz="4" w:space="0" w:color="auto"/>
            </w:tcBorders>
            <w:shd w:val="clear" w:color="000000" w:fill="DDF1F3"/>
            <w:noWrap/>
            <w:vAlign w:val="bottom"/>
            <w:hideMark/>
          </w:tcPr>
          <w:p w14:paraId="73A5B77F"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73.9</w:t>
            </w:r>
          </w:p>
        </w:tc>
        <w:tc>
          <w:tcPr>
            <w:tcW w:w="1111" w:type="dxa"/>
            <w:tcBorders>
              <w:top w:val="nil"/>
              <w:left w:val="nil"/>
              <w:bottom w:val="single" w:sz="4" w:space="0" w:color="auto"/>
              <w:right w:val="single" w:sz="4" w:space="0" w:color="auto"/>
            </w:tcBorders>
            <w:shd w:val="clear" w:color="000000" w:fill="DDF1F3"/>
            <w:noWrap/>
            <w:vAlign w:val="bottom"/>
            <w:hideMark/>
          </w:tcPr>
          <w:p w14:paraId="377D83F0"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70.1</w:t>
            </w:r>
          </w:p>
        </w:tc>
        <w:tc>
          <w:tcPr>
            <w:tcW w:w="1246" w:type="dxa"/>
            <w:tcBorders>
              <w:top w:val="nil"/>
              <w:left w:val="nil"/>
              <w:bottom w:val="single" w:sz="4" w:space="0" w:color="auto"/>
              <w:right w:val="single" w:sz="4" w:space="0" w:color="auto"/>
            </w:tcBorders>
            <w:shd w:val="clear" w:color="000000" w:fill="DDF1F3"/>
            <w:noWrap/>
            <w:vAlign w:val="bottom"/>
            <w:hideMark/>
          </w:tcPr>
          <w:p w14:paraId="653B7151"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-3.8</w:t>
            </w:r>
          </w:p>
        </w:tc>
        <w:tc>
          <w:tcPr>
            <w:tcW w:w="1276" w:type="dxa"/>
            <w:tcBorders>
              <w:top w:val="nil"/>
              <w:left w:val="nil"/>
              <w:bottom w:val="single" w:sz="4" w:space="0" w:color="auto"/>
              <w:right w:val="single" w:sz="4" w:space="0" w:color="auto"/>
            </w:tcBorders>
            <w:shd w:val="clear" w:color="000000" w:fill="DDF1F3"/>
            <w:noWrap/>
            <w:vAlign w:val="bottom"/>
            <w:hideMark/>
          </w:tcPr>
          <w:p w14:paraId="3477162E"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18.4</w:t>
            </w:r>
          </w:p>
        </w:tc>
        <w:tc>
          <w:tcPr>
            <w:tcW w:w="1276" w:type="dxa"/>
            <w:tcBorders>
              <w:top w:val="nil"/>
              <w:left w:val="nil"/>
              <w:bottom w:val="single" w:sz="4" w:space="0" w:color="auto"/>
              <w:right w:val="single" w:sz="4" w:space="0" w:color="auto"/>
            </w:tcBorders>
            <w:shd w:val="clear" w:color="000000" w:fill="DDF1F3"/>
            <w:noWrap/>
            <w:vAlign w:val="bottom"/>
            <w:hideMark/>
          </w:tcPr>
          <w:p w14:paraId="579AAFD0"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20.3</w:t>
            </w:r>
          </w:p>
        </w:tc>
        <w:tc>
          <w:tcPr>
            <w:tcW w:w="1337" w:type="dxa"/>
            <w:tcBorders>
              <w:top w:val="nil"/>
              <w:left w:val="nil"/>
              <w:bottom w:val="single" w:sz="4" w:space="0" w:color="auto"/>
              <w:right w:val="single" w:sz="4" w:space="0" w:color="auto"/>
            </w:tcBorders>
            <w:shd w:val="clear" w:color="000000" w:fill="DDF1F3"/>
            <w:noWrap/>
            <w:vAlign w:val="bottom"/>
            <w:hideMark/>
          </w:tcPr>
          <w:p w14:paraId="645794E1"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1.9</w:t>
            </w:r>
          </w:p>
        </w:tc>
      </w:tr>
      <w:tr w:rsidR="004603C7" w:rsidRPr="004572D6" w14:paraId="65FFACD3" w14:textId="77777777" w:rsidTr="004603C7">
        <w:trPr>
          <w:trHeight w:val="305"/>
        </w:trPr>
        <w:tc>
          <w:tcPr>
            <w:tcW w:w="1772" w:type="dxa"/>
            <w:tcBorders>
              <w:top w:val="nil"/>
              <w:left w:val="single" w:sz="4" w:space="0" w:color="auto"/>
              <w:bottom w:val="single" w:sz="4" w:space="0" w:color="auto"/>
              <w:right w:val="single" w:sz="4" w:space="0" w:color="auto"/>
            </w:tcBorders>
            <w:shd w:val="clear" w:color="000000" w:fill="DDF1F3"/>
            <w:noWrap/>
            <w:vAlign w:val="bottom"/>
            <w:hideMark/>
          </w:tcPr>
          <w:p w14:paraId="430ACFE2" w14:textId="77777777" w:rsidR="004572D6" w:rsidRPr="004572D6" w:rsidRDefault="004572D6" w:rsidP="004572D6">
            <w:pPr>
              <w:spacing w:before="0" w:after="0" w:line="240" w:lineRule="auto"/>
              <w:rPr>
                <w:rFonts w:ascii="Calibri" w:eastAsia="Times New Roman" w:hAnsi="Calibri" w:cs="Calibri"/>
                <w:color w:val="000000"/>
                <w:sz w:val="22"/>
                <w:szCs w:val="22"/>
              </w:rPr>
            </w:pPr>
            <w:r w:rsidRPr="004572D6">
              <w:rPr>
                <w:rFonts w:ascii="Calibri" w:eastAsia="Times New Roman" w:hAnsi="Calibri" w:cs="Calibri"/>
                <w:color w:val="000000"/>
                <w:sz w:val="22"/>
                <w:szCs w:val="22"/>
              </w:rPr>
              <w:t>Tonbridge and Malling</w:t>
            </w:r>
          </w:p>
        </w:tc>
        <w:tc>
          <w:tcPr>
            <w:tcW w:w="1111" w:type="dxa"/>
            <w:tcBorders>
              <w:top w:val="nil"/>
              <w:left w:val="nil"/>
              <w:bottom w:val="single" w:sz="4" w:space="0" w:color="auto"/>
              <w:right w:val="single" w:sz="4" w:space="0" w:color="auto"/>
            </w:tcBorders>
            <w:shd w:val="clear" w:color="000000" w:fill="DDF1F3"/>
            <w:noWrap/>
            <w:vAlign w:val="bottom"/>
            <w:hideMark/>
          </w:tcPr>
          <w:p w14:paraId="10D5F416"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74.1</w:t>
            </w:r>
          </w:p>
        </w:tc>
        <w:tc>
          <w:tcPr>
            <w:tcW w:w="1111" w:type="dxa"/>
            <w:tcBorders>
              <w:top w:val="nil"/>
              <w:left w:val="nil"/>
              <w:bottom w:val="single" w:sz="4" w:space="0" w:color="auto"/>
              <w:right w:val="single" w:sz="4" w:space="0" w:color="auto"/>
            </w:tcBorders>
            <w:shd w:val="clear" w:color="000000" w:fill="DDF1F3"/>
            <w:noWrap/>
            <w:vAlign w:val="bottom"/>
            <w:hideMark/>
          </w:tcPr>
          <w:p w14:paraId="7B01A171"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69.2</w:t>
            </w:r>
          </w:p>
        </w:tc>
        <w:tc>
          <w:tcPr>
            <w:tcW w:w="1246" w:type="dxa"/>
            <w:tcBorders>
              <w:top w:val="nil"/>
              <w:left w:val="nil"/>
              <w:bottom w:val="single" w:sz="4" w:space="0" w:color="auto"/>
              <w:right w:val="single" w:sz="4" w:space="0" w:color="auto"/>
            </w:tcBorders>
            <w:shd w:val="clear" w:color="000000" w:fill="DDF1F3"/>
            <w:noWrap/>
            <w:vAlign w:val="bottom"/>
            <w:hideMark/>
          </w:tcPr>
          <w:p w14:paraId="089B67C3"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-4.9</w:t>
            </w:r>
          </w:p>
        </w:tc>
        <w:tc>
          <w:tcPr>
            <w:tcW w:w="1276" w:type="dxa"/>
            <w:tcBorders>
              <w:top w:val="nil"/>
              <w:left w:val="nil"/>
              <w:bottom w:val="single" w:sz="4" w:space="0" w:color="auto"/>
              <w:right w:val="single" w:sz="4" w:space="0" w:color="auto"/>
            </w:tcBorders>
            <w:shd w:val="clear" w:color="000000" w:fill="DDF1F3"/>
            <w:noWrap/>
            <w:vAlign w:val="bottom"/>
            <w:hideMark/>
          </w:tcPr>
          <w:p w14:paraId="4CE8531E"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16.1</w:t>
            </w:r>
          </w:p>
        </w:tc>
        <w:tc>
          <w:tcPr>
            <w:tcW w:w="1276" w:type="dxa"/>
            <w:tcBorders>
              <w:top w:val="nil"/>
              <w:left w:val="nil"/>
              <w:bottom w:val="single" w:sz="4" w:space="0" w:color="auto"/>
              <w:right w:val="single" w:sz="4" w:space="0" w:color="auto"/>
            </w:tcBorders>
            <w:shd w:val="clear" w:color="000000" w:fill="DDF1F3"/>
            <w:noWrap/>
            <w:vAlign w:val="bottom"/>
            <w:hideMark/>
          </w:tcPr>
          <w:p w14:paraId="07C99758"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20.3</w:t>
            </w:r>
          </w:p>
        </w:tc>
        <w:tc>
          <w:tcPr>
            <w:tcW w:w="1337" w:type="dxa"/>
            <w:tcBorders>
              <w:top w:val="nil"/>
              <w:left w:val="nil"/>
              <w:bottom w:val="single" w:sz="4" w:space="0" w:color="auto"/>
              <w:right w:val="single" w:sz="4" w:space="0" w:color="auto"/>
            </w:tcBorders>
            <w:shd w:val="clear" w:color="000000" w:fill="DDF1F3"/>
            <w:noWrap/>
            <w:vAlign w:val="bottom"/>
            <w:hideMark/>
          </w:tcPr>
          <w:p w14:paraId="5BBFBE98"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4.2</w:t>
            </w:r>
          </w:p>
        </w:tc>
      </w:tr>
      <w:tr w:rsidR="004603C7" w:rsidRPr="004572D6" w14:paraId="01EF9B4B" w14:textId="77777777" w:rsidTr="004603C7">
        <w:trPr>
          <w:trHeight w:val="305"/>
        </w:trPr>
        <w:tc>
          <w:tcPr>
            <w:tcW w:w="1772" w:type="dxa"/>
            <w:tcBorders>
              <w:top w:val="nil"/>
              <w:left w:val="single" w:sz="4" w:space="0" w:color="auto"/>
              <w:bottom w:val="single" w:sz="4" w:space="0" w:color="auto"/>
              <w:right w:val="single" w:sz="4" w:space="0" w:color="auto"/>
            </w:tcBorders>
            <w:shd w:val="clear" w:color="000000" w:fill="DDF1F3"/>
            <w:noWrap/>
            <w:vAlign w:val="bottom"/>
            <w:hideMark/>
          </w:tcPr>
          <w:p w14:paraId="1C96122A" w14:textId="77777777" w:rsidR="004572D6" w:rsidRPr="004572D6" w:rsidRDefault="004572D6" w:rsidP="004572D6">
            <w:pPr>
              <w:spacing w:before="0" w:after="0" w:line="240" w:lineRule="auto"/>
              <w:rPr>
                <w:rFonts w:ascii="Calibri" w:eastAsia="Times New Roman" w:hAnsi="Calibri" w:cs="Calibri"/>
                <w:color w:val="000000"/>
                <w:sz w:val="22"/>
                <w:szCs w:val="22"/>
              </w:rPr>
            </w:pPr>
            <w:r w:rsidRPr="004572D6">
              <w:rPr>
                <w:rFonts w:ascii="Calibri" w:eastAsia="Times New Roman" w:hAnsi="Calibri" w:cs="Calibri"/>
                <w:color w:val="000000"/>
                <w:sz w:val="22"/>
                <w:szCs w:val="22"/>
              </w:rPr>
              <w:t>Tunbridge Wells</w:t>
            </w:r>
          </w:p>
        </w:tc>
        <w:tc>
          <w:tcPr>
            <w:tcW w:w="1111" w:type="dxa"/>
            <w:tcBorders>
              <w:top w:val="nil"/>
              <w:left w:val="nil"/>
              <w:bottom w:val="single" w:sz="4" w:space="0" w:color="auto"/>
              <w:right w:val="single" w:sz="4" w:space="0" w:color="auto"/>
            </w:tcBorders>
            <w:shd w:val="clear" w:color="000000" w:fill="DDF1F3"/>
            <w:noWrap/>
            <w:vAlign w:val="bottom"/>
            <w:hideMark/>
          </w:tcPr>
          <w:p w14:paraId="4443A43B"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80.0</w:t>
            </w:r>
          </w:p>
        </w:tc>
        <w:tc>
          <w:tcPr>
            <w:tcW w:w="1111" w:type="dxa"/>
            <w:tcBorders>
              <w:top w:val="nil"/>
              <w:left w:val="nil"/>
              <w:bottom w:val="single" w:sz="4" w:space="0" w:color="auto"/>
              <w:right w:val="single" w:sz="4" w:space="0" w:color="auto"/>
            </w:tcBorders>
            <w:shd w:val="clear" w:color="000000" w:fill="DDF1F3"/>
            <w:noWrap/>
            <w:vAlign w:val="bottom"/>
            <w:hideMark/>
          </w:tcPr>
          <w:p w14:paraId="72005681"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72.7</w:t>
            </w:r>
          </w:p>
        </w:tc>
        <w:tc>
          <w:tcPr>
            <w:tcW w:w="1246" w:type="dxa"/>
            <w:tcBorders>
              <w:top w:val="nil"/>
              <w:left w:val="nil"/>
              <w:bottom w:val="single" w:sz="4" w:space="0" w:color="auto"/>
              <w:right w:val="single" w:sz="4" w:space="0" w:color="auto"/>
            </w:tcBorders>
            <w:shd w:val="clear" w:color="000000" w:fill="DDF1F3"/>
            <w:noWrap/>
            <w:vAlign w:val="bottom"/>
            <w:hideMark/>
          </w:tcPr>
          <w:p w14:paraId="1203825C"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-7.3</w:t>
            </w:r>
          </w:p>
        </w:tc>
        <w:tc>
          <w:tcPr>
            <w:tcW w:w="1276" w:type="dxa"/>
            <w:tcBorders>
              <w:top w:val="nil"/>
              <w:left w:val="nil"/>
              <w:bottom w:val="single" w:sz="4" w:space="0" w:color="auto"/>
              <w:right w:val="single" w:sz="4" w:space="0" w:color="auto"/>
            </w:tcBorders>
            <w:shd w:val="clear" w:color="000000" w:fill="DDF1F3"/>
            <w:noWrap/>
            <w:vAlign w:val="bottom"/>
            <w:hideMark/>
          </w:tcPr>
          <w:p w14:paraId="2BACC1B0"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10.8</w:t>
            </w:r>
          </w:p>
        </w:tc>
        <w:tc>
          <w:tcPr>
            <w:tcW w:w="1276" w:type="dxa"/>
            <w:tcBorders>
              <w:top w:val="nil"/>
              <w:left w:val="nil"/>
              <w:bottom w:val="single" w:sz="4" w:space="0" w:color="auto"/>
              <w:right w:val="single" w:sz="4" w:space="0" w:color="auto"/>
            </w:tcBorders>
            <w:shd w:val="clear" w:color="000000" w:fill="DDF1F3"/>
            <w:noWrap/>
            <w:vAlign w:val="bottom"/>
            <w:hideMark/>
          </w:tcPr>
          <w:p w14:paraId="1D8F549B"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17.3</w:t>
            </w:r>
          </w:p>
        </w:tc>
        <w:tc>
          <w:tcPr>
            <w:tcW w:w="1337" w:type="dxa"/>
            <w:tcBorders>
              <w:top w:val="nil"/>
              <w:left w:val="nil"/>
              <w:bottom w:val="single" w:sz="4" w:space="0" w:color="auto"/>
              <w:right w:val="single" w:sz="4" w:space="0" w:color="auto"/>
            </w:tcBorders>
            <w:shd w:val="clear" w:color="000000" w:fill="DDF1F3"/>
            <w:noWrap/>
            <w:vAlign w:val="bottom"/>
            <w:hideMark/>
          </w:tcPr>
          <w:p w14:paraId="1EAD85B8"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6.5</w:t>
            </w:r>
          </w:p>
        </w:tc>
      </w:tr>
      <w:tr w:rsidR="004603C7" w:rsidRPr="004572D6" w14:paraId="34C605A3" w14:textId="77777777" w:rsidTr="004603C7">
        <w:trPr>
          <w:trHeight w:val="305"/>
        </w:trPr>
        <w:tc>
          <w:tcPr>
            <w:tcW w:w="1772" w:type="dxa"/>
            <w:tcBorders>
              <w:top w:val="nil"/>
              <w:left w:val="single" w:sz="4" w:space="0" w:color="auto"/>
              <w:bottom w:val="single" w:sz="4" w:space="0" w:color="auto"/>
              <w:right w:val="single" w:sz="4" w:space="0" w:color="auto"/>
            </w:tcBorders>
            <w:shd w:val="clear" w:color="000000" w:fill="DDF1F3"/>
            <w:noWrap/>
            <w:vAlign w:val="bottom"/>
            <w:hideMark/>
          </w:tcPr>
          <w:p w14:paraId="60254F9B" w14:textId="77777777" w:rsidR="004572D6" w:rsidRPr="004572D6" w:rsidRDefault="004572D6" w:rsidP="004572D6">
            <w:pPr>
              <w:spacing w:before="0" w:after="0" w:line="240" w:lineRule="auto"/>
              <w:rPr>
                <w:rFonts w:ascii="Calibri" w:eastAsia="Times New Roman" w:hAnsi="Calibri" w:cs="Calibri"/>
                <w:color w:val="000000"/>
                <w:sz w:val="22"/>
                <w:szCs w:val="22"/>
              </w:rPr>
            </w:pPr>
            <w:r w:rsidRPr="004572D6">
              <w:rPr>
                <w:rFonts w:ascii="Calibri" w:eastAsia="Times New Roman" w:hAnsi="Calibri" w:cs="Calibri"/>
                <w:color w:val="000000"/>
                <w:sz w:val="22"/>
                <w:szCs w:val="22"/>
              </w:rPr>
              <w:t>England</w:t>
            </w:r>
          </w:p>
        </w:tc>
        <w:tc>
          <w:tcPr>
            <w:tcW w:w="1111" w:type="dxa"/>
            <w:tcBorders>
              <w:top w:val="nil"/>
              <w:left w:val="nil"/>
              <w:bottom w:val="single" w:sz="4" w:space="0" w:color="auto"/>
              <w:right w:val="single" w:sz="4" w:space="0" w:color="auto"/>
            </w:tcBorders>
            <w:shd w:val="clear" w:color="000000" w:fill="DDF1F3"/>
            <w:noWrap/>
            <w:vAlign w:val="bottom"/>
            <w:hideMark/>
          </w:tcPr>
          <w:p w14:paraId="126BD278"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67.2</w:t>
            </w:r>
          </w:p>
        </w:tc>
        <w:tc>
          <w:tcPr>
            <w:tcW w:w="1111" w:type="dxa"/>
            <w:tcBorders>
              <w:top w:val="nil"/>
              <w:left w:val="nil"/>
              <w:bottom w:val="single" w:sz="4" w:space="0" w:color="auto"/>
              <w:right w:val="single" w:sz="4" w:space="0" w:color="auto"/>
            </w:tcBorders>
            <w:shd w:val="clear" w:color="000000" w:fill="DDF1F3"/>
            <w:noWrap/>
            <w:vAlign w:val="bottom"/>
            <w:hideMark/>
          </w:tcPr>
          <w:p w14:paraId="4D75F1F3" w14:textId="77777777" w:rsidR="004572D6" w:rsidRPr="004572D6" w:rsidRDefault="004572D6" w:rsidP="004572D6">
            <w:pPr>
              <w:spacing w:before="0" w:after="0" w:line="240" w:lineRule="auto"/>
              <w:jc w:val="center"/>
              <w:rPr>
                <w:rFonts w:ascii="Calibri" w:eastAsia="Times New Roman" w:hAnsi="Calibri" w:cs="Calibri"/>
                <w:color w:val="000000"/>
                <w:sz w:val="22"/>
                <w:szCs w:val="22"/>
              </w:rPr>
            </w:pPr>
            <w:r w:rsidRPr="004572D6">
              <w:rPr>
                <w:rFonts w:ascii="Calibri" w:eastAsia="Times New Roman" w:hAnsi="Calibri" w:cs="Calibri"/>
                <w:color w:val="000000"/>
                <w:sz w:val="22"/>
                <w:szCs w:val="22"/>
              </w:rPr>
              <w:t>66.4</w:t>
            </w:r>
          </w:p>
        </w:tc>
        <w:tc>
          <w:tcPr>
            <w:tcW w:w="1246" w:type="dxa"/>
            <w:tcBorders>
              <w:top w:val="nil"/>
              <w:left w:val="nil"/>
              <w:bottom w:val="single" w:sz="4" w:space="0" w:color="auto"/>
              <w:right w:val="single" w:sz="4" w:space="0" w:color="auto"/>
            </w:tcBorders>
            <w:shd w:val="clear" w:color="000000" w:fill="DDF1F3"/>
            <w:noWrap/>
            <w:vAlign w:val="bottom"/>
            <w:hideMark/>
          </w:tcPr>
          <w:p w14:paraId="40CFE57F"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-0.8</w:t>
            </w:r>
          </w:p>
        </w:tc>
        <w:tc>
          <w:tcPr>
            <w:tcW w:w="1276" w:type="dxa"/>
            <w:tcBorders>
              <w:top w:val="nil"/>
              <w:left w:val="nil"/>
              <w:bottom w:val="single" w:sz="4" w:space="0" w:color="auto"/>
              <w:right w:val="single" w:sz="4" w:space="0" w:color="auto"/>
            </w:tcBorders>
            <w:shd w:val="clear" w:color="000000" w:fill="DDF1F3"/>
            <w:noWrap/>
            <w:vAlign w:val="bottom"/>
            <w:hideMark/>
          </w:tcPr>
          <w:p w14:paraId="02A41A66"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21.4</w:t>
            </w:r>
          </w:p>
        </w:tc>
        <w:tc>
          <w:tcPr>
            <w:tcW w:w="1276" w:type="dxa"/>
            <w:tcBorders>
              <w:top w:val="nil"/>
              <w:left w:val="nil"/>
              <w:bottom w:val="single" w:sz="4" w:space="0" w:color="auto"/>
              <w:right w:val="single" w:sz="4" w:space="0" w:color="auto"/>
            </w:tcBorders>
            <w:shd w:val="clear" w:color="000000" w:fill="DDF1F3"/>
            <w:noWrap/>
            <w:vAlign w:val="bottom"/>
            <w:hideMark/>
          </w:tcPr>
          <w:p w14:paraId="6C9565B0" w14:textId="77777777" w:rsidR="004572D6" w:rsidRPr="008E1D4D" w:rsidRDefault="004572D6" w:rsidP="004572D6">
            <w:pPr>
              <w:spacing w:before="0" w:after="0" w:line="240" w:lineRule="auto"/>
              <w:jc w:val="center"/>
              <w:rPr>
                <w:rFonts w:ascii="Calibri" w:eastAsia="Times New Roman" w:hAnsi="Calibri" w:cs="Calibri"/>
                <w:sz w:val="22"/>
                <w:szCs w:val="22"/>
              </w:rPr>
            </w:pPr>
            <w:r w:rsidRPr="008E1D4D">
              <w:rPr>
                <w:rFonts w:ascii="Calibri" w:eastAsia="Times New Roman" w:hAnsi="Calibri" w:cs="Calibri"/>
                <w:sz w:val="22"/>
                <w:szCs w:val="22"/>
              </w:rPr>
              <w:t>22.9</w:t>
            </w:r>
          </w:p>
        </w:tc>
        <w:tc>
          <w:tcPr>
            <w:tcW w:w="1337" w:type="dxa"/>
            <w:tcBorders>
              <w:top w:val="nil"/>
              <w:left w:val="nil"/>
              <w:bottom w:val="single" w:sz="4" w:space="0" w:color="auto"/>
              <w:right w:val="single" w:sz="4" w:space="0" w:color="auto"/>
            </w:tcBorders>
            <w:shd w:val="clear" w:color="000000" w:fill="DDF1F3"/>
            <w:noWrap/>
            <w:vAlign w:val="bottom"/>
            <w:hideMark/>
          </w:tcPr>
          <w:p w14:paraId="3A6AF857" w14:textId="77777777" w:rsidR="004572D6" w:rsidRPr="008E1D4D" w:rsidRDefault="004572D6" w:rsidP="004572D6">
            <w:pPr>
              <w:spacing w:before="0" w:after="0" w:line="240" w:lineRule="auto"/>
              <w:jc w:val="center"/>
              <w:rPr>
                <w:rFonts w:ascii="Calibri" w:eastAsia="Times New Roman" w:hAnsi="Calibri" w:cs="Calibri"/>
                <w:b/>
                <w:bCs/>
                <w:sz w:val="22"/>
                <w:szCs w:val="22"/>
              </w:rPr>
            </w:pPr>
            <w:r w:rsidRPr="008E1D4D">
              <w:rPr>
                <w:rFonts w:ascii="Calibri" w:eastAsia="Times New Roman" w:hAnsi="Calibri" w:cs="Calibri"/>
                <w:b/>
                <w:bCs/>
                <w:sz w:val="22"/>
                <w:szCs w:val="22"/>
              </w:rPr>
              <w:t>1.5</w:t>
            </w:r>
          </w:p>
        </w:tc>
      </w:tr>
    </w:tbl>
    <w:p w14:paraId="0DA3C026" w14:textId="7CB77AB3" w:rsidR="00C665D0" w:rsidRDefault="00C665D0" w:rsidP="00C665D0">
      <w:r w:rsidRPr="045A98DE">
        <w:rPr>
          <w:b/>
          <w:bCs/>
        </w:rPr>
        <w:t>Table 8</w:t>
      </w:r>
      <w:r w:rsidR="00940DB9" w:rsidRPr="045A98DE">
        <w:rPr>
          <w:b/>
          <w:bCs/>
        </w:rPr>
        <w:t xml:space="preserve"> Percentage of adults walking and cycling for travel at least 3x per week</w:t>
      </w:r>
      <w:r w:rsidR="006550C9" w:rsidRPr="045A98DE">
        <w:rPr>
          <w:b/>
          <w:bCs/>
        </w:rPr>
        <w:t xml:space="preserve">. </w:t>
      </w:r>
      <w:r w:rsidR="006550C9">
        <w:t xml:space="preserve">Source: </w:t>
      </w:r>
      <w:r w:rsidR="0066337C">
        <w:t>Active Lives Survey</w:t>
      </w:r>
    </w:p>
    <w:tbl>
      <w:tblPr>
        <w:tblW w:w="8820" w:type="dxa"/>
        <w:tblInd w:w="113" w:type="dxa"/>
        <w:tblLook w:val="04A0" w:firstRow="1" w:lastRow="0" w:firstColumn="1" w:lastColumn="0" w:noHBand="0" w:noVBand="1"/>
      </w:tblPr>
      <w:tblGrid>
        <w:gridCol w:w="2340"/>
        <w:gridCol w:w="980"/>
        <w:gridCol w:w="1200"/>
        <w:gridCol w:w="1203"/>
        <w:gridCol w:w="1040"/>
        <w:gridCol w:w="1040"/>
        <w:gridCol w:w="1040"/>
      </w:tblGrid>
      <w:tr w:rsidR="00446AAF" w:rsidRPr="00446AAF" w14:paraId="40BACCA8" w14:textId="77777777" w:rsidTr="045A98DE">
        <w:trPr>
          <w:trHeight w:val="583"/>
        </w:trPr>
        <w:tc>
          <w:tcPr>
            <w:tcW w:w="2340" w:type="dxa"/>
            <w:tcBorders>
              <w:top w:val="single" w:sz="4" w:space="0" w:color="auto"/>
              <w:left w:val="single" w:sz="4" w:space="0" w:color="auto"/>
              <w:bottom w:val="single" w:sz="4" w:space="0" w:color="auto"/>
              <w:right w:val="single" w:sz="4" w:space="0" w:color="auto"/>
            </w:tcBorders>
            <w:shd w:val="clear" w:color="auto" w:fill="2D7C82"/>
            <w:vAlign w:val="center"/>
            <w:hideMark/>
          </w:tcPr>
          <w:p w14:paraId="1C238D72" w14:textId="77777777" w:rsidR="00446AAF" w:rsidRPr="00446AAF" w:rsidRDefault="00446AAF" w:rsidP="00446AAF">
            <w:pPr>
              <w:spacing w:before="0" w:after="0" w:line="240" w:lineRule="auto"/>
              <w:jc w:val="center"/>
              <w:rPr>
                <w:rFonts w:ascii="Calibri" w:eastAsia="Times New Roman" w:hAnsi="Calibri" w:cs="Calibri"/>
                <w:b/>
                <w:bCs/>
                <w:color w:val="FFFFFF"/>
                <w:sz w:val="22"/>
                <w:szCs w:val="22"/>
              </w:rPr>
            </w:pPr>
            <w:r w:rsidRPr="00446AAF">
              <w:rPr>
                <w:rFonts w:ascii="Calibri" w:eastAsia="Times New Roman" w:hAnsi="Calibri" w:cs="Calibri"/>
                <w:b/>
                <w:bCs/>
                <w:color w:val="FFFFFF"/>
                <w:sz w:val="22"/>
                <w:szCs w:val="22"/>
              </w:rPr>
              <w:t>Area</w:t>
            </w:r>
          </w:p>
        </w:tc>
        <w:tc>
          <w:tcPr>
            <w:tcW w:w="960" w:type="dxa"/>
            <w:tcBorders>
              <w:top w:val="single" w:sz="4" w:space="0" w:color="auto"/>
              <w:left w:val="nil"/>
              <w:bottom w:val="single" w:sz="4" w:space="0" w:color="auto"/>
              <w:right w:val="single" w:sz="4" w:space="0" w:color="auto"/>
            </w:tcBorders>
            <w:shd w:val="clear" w:color="auto" w:fill="2D7C82"/>
            <w:vAlign w:val="center"/>
            <w:hideMark/>
          </w:tcPr>
          <w:p w14:paraId="1AF6044A" w14:textId="77777777" w:rsidR="00446AAF" w:rsidRPr="00446AAF" w:rsidRDefault="00446AAF" w:rsidP="00446AAF">
            <w:pPr>
              <w:spacing w:before="0" w:after="0" w:line="240" w:lineRule="auto"/>
              <w:jc w:val="center"/>
              <w:rPr>
                <w:rFonts w:ascii="Calibri" w:eastAsia="Times New Roman" w:hAnsi="Calibri" w:cs="Calibri"/>
                <w:b/>
                <w:bCs/>
                <w:color w:val="FFFFFF"/>
                <w:sz w:val="22"/>
                <w:szCs w:val="22"/>
              </w:rPr>
            </w:pPr>
            <w:r w:rsidRPr="00446AAF">
              <w:rPr>
                <w:rFonts w:ascii="Calibri" w:eastAsia="Times New Roman" w:hAnsi="Calibri" w:cs="Calibri"/>
                <w:b/>
                <w:bCs/>
                <w:color w:val="FFFFFF"/>
                <w:sz w:val="22"/>
                <w:szCs w:val="22"/>
              </w:rPr>
              <w:t>Walking 2018/19</w:t>
            </w:r>
          </w:p>
        </w:tc>
        <w:tc>
          <w:tcPr>
            <w:tcW w:w="1200" w:type="dxa"/>
            <w:tcBorders>
              <w:top w:val="single" w:sz="4" w:space="0" w:color="auto"/>
              <w:left w:val="nil"/>
              <w:bottom w:val="single" w:sz="4" w:space="0" w:color="auto"/>
              <w:right w:val="single" w:sz="4" w:space="0" w:color="auto"/>
            </w:tcBorders>
            <w:shd w:val="clear" w:color="auto" w:fill="2D7C82"/>
            <w:vAlign w:val="center"/>
            <w:hideMark/>
          </w:tcPr>
          <w:p w14:paraId="6B0F555C" w14:textId="77777777" w:rsidR="00446AAF" w:rsidRPr="00446AAF" w:rsidRDefault="00446AAF" w:rsidP="00446AAF">
            <w:pPr>
              <w:spacing w:before="0" w:after="0" w:line="240" w:lineRule="auto"/>
              <w:jc w:val="center"/>
              <w:rPr>
                <w:rFonts w:ascii="Calibri" w:eastAsia="Times New Roman" w:hAnsi="Calibri" w:cs="Calibri"/>
                <w:b/>
                <w:bCs/>
                <w:color w:val="FFFFFF"/>
                <w:sz w:val="22"/>
                <w:szCs w:val="22"/>
              </w:rPr>
            </w:pPr>
            <w:r w:rsidRPr="00446AAF">
              <w:rPr>
                <w:rFonts w:ascii="Calibri" w:eastAsia="Times New Roman" w:hAnsi="Calibri" w:cs="Calibri"/>
                <w:b/>
                <w:bCs/>
                <w:color w:val="FFFFFF"/>
                <w:sz w:val="22"/>
                <w:szCs w:val="22"/>
              </w:rPr>
              <w:t>Walking 2019/20</w:t>
            </w:r>
          </w:p>
        </w:tc>
        <w:tc>
          <w:tcPr>
            <w:tcW w:w="1200" w:type="dxa"/>
            <w:tcBorders>
              <w:top w:val="single" w:sz="4" w:space="0" w:color="auto"/>
              <w:left w:val="nil"/>
              <w:bottom w:val="single" w:sz="4" w:space="0" w:color="auto"/>
              <w:right w:val="single" w:sz="4" w:space="0" w:color="auto"/>
            </w:tcBorders>
            <w:shd w:val="clear" w:color="auto" w:fill="2D7C82"/>
            <w:vAlign w:val="center"/>
            <w:hideMark/>
          </w:tcPr>
          <w:p w14:paraId="464A9964" w14:textId="77777777" w:rsidR="00446AAF" w:rsidRPr="00446AAF" w:rsidRDefault="00446AAF" w:rsidP="00446AAF">
            <w:pPr>
              <w:spacing w:before="0" w:after="0" w:line="240" w:lineRule="auto"/>
              <w:jc w:val="center"/>
              <w:rPr>
                <w:rFonts w:ascii="Calibri" w:eastAsia="Times New Roman" w:hAnsi="Calibri" w:cs="Calibri"/>
                <w:b/>
                <w:bCs/>
                <w:color w:val="FFFFFF"/>
                <w:sz w:val="22"/>
                <w:szCs w:val="22"/>
              </w:rPr>
            </w:pPr>
            <w:r w:rsidRPr="00446AAF">
              <w:rPr>
                <w:rFonts w:ascii="Calibri" w:eastAsia="Times New Roman" w:hAnsi="Calibri" w:cs="Calibri"/>
                <w:b/>
                <w:bCs/>
                <w:color w:val="FFFFFF"/>
                <w:sz w:val="22"/>
                <w:szCs w:val="22"/>
              </w:rPr>
              <w:t>Walking 2020/2021</w:t>
            </w:r>
          </w:p>
        </w:tc>
        <w:tc>
          <w:tcPr>
            <w:tcW w:w="1040" w:type="dxa"/>
            <w:tcBorders>
              <w:top w:val="single" w:sz="4" w:space="0" w:color="auto"/>
              <w:left w:val="nil"/>
              <w:bottom w:val="single" w:sz="4" w:space="0" w:color="auto"/>
              <w:right w:val="single" w:sz="4" w:space="0" w:color="auto"/>
            </w:tcBorders>
            <w:shd w:val="clear" w:color="auto" w:fill="2D7C82"/>
            <w:vAlign w:val="center"/>
            <w:hideMark/>
          </w:tcPr>
          <w:p w14:paraId="75F49FB6" w14:textId="6261A47F" w:rsidR="00446AAF" w:rsidRPr="00446AAF" w:rsidRDefault="521C38D3" w:rsidP="045A98DE">
            <w:pPr>
              <w:spacing w:before="0" w:after="0" w:line="240" w:lineRule="auto"/>
              <w:jc w:val="center"/>
              <w:rPr>
                <w:rFonts w:ascii="Calibri" w:eastAsia="Times New Roman" w:hAnsi="Calibri" w:cs="Calibri"/>
                <w:b/>
                <w:bCs/>
                <w:color w:val="FFFFFF" w:themeColor="background1"/>
                <w:sz w:val="22"/>
                <w:szCs w:val="22"/>
              </w:rPr>
            </w:pPr>
            <w:r w:rsidRPr="045A98DE">
              <w:rPr>
                <w:rFonts w:ascii="Calibri" w:eastAsia="Times New Roman" w:hAnsi="Calibri" w:cs="Calibri"/>
                <w:b/>
                <w:bCs/>
                <w:color w:val="FFFFFF" w:themeColor="background1"/>
                <w:sz w:val="22"/>
                <w:szCs w:val="22"/>
              </w:rPr>
              <w:t>Cycling</w:t>
            </w:r>
          </w:p>
          <w:p w14:paraId="36EB6B9E" w14:textId="28ED5028" w:rsidR="00446AAF" w:rsidRPr="00446AAF" w:rsidRDefault="42BED41C" w:rsidP="00446AAF">
            <w:pPr>
              <w:spacing w:before="0" w:after="0" w:line="240" w:lineRule="auto"/>
              <w:jc w:val="center"/>
              <w:rPr>
                <w:rFonts w:ascii="Calibri" w:eastAsia="Times New Roman" w:hAnsi="Calibri" w:cs="Calibri"/>
                <w:b/>
                <w:bCs/>
                <w:color w:val="FFFFFF"/>
                <w:sz w:val="22"/>
                <w:szCs w:val="22"/>
              </w:rPr>
            </w:pPr>
            <w:r w:rsidRPr="045A98DE">
              <w:rPr>
                <w:rFonts w:ascii="Calibri" w:eastAsia="Times New Roman" w:hAnsi="Calibri" w:cs="Calibri"/>
                <w:b/>
                <w:bCs/>
                <w:color w:val="FFFFFF" w:themeColor="background1"/>
                <w:sz w:val="22"/>
                <w:szCs w:val="22"/>
              </w:rPr>
              <w:t>2018/19</w:t>
            </w:r>
          </w:p>
        </w:tc>
        <w:tc>
          <w:tcPr>
            <w:tcW w:w="1040" w:type="dxa"/>
            <w:tcBorders>
              <w:top w:val="single" w:sz="4" w:space="0" w:color="auto"/>
              <w:left w:val="nil"/>
              <w:bottom w:val="single" w:sz="4" w:space="0" w:color="auto"/>
              <w:right w:val="single" w:sz="4" w:space="0" w:color="auto"/>
            </w:tcBorders>
            <w:shd w:val="clear" w:color="auto" w:fill="2D7C82"/>
            <w:vAlign w:val="center"/>
            <w:hideMark/>
          </w:tcPr>
          <w:p w14:paraId="008C6185" w14:textId="70EA399F" w:rsidR="00446AAF" w:rsidRPr="00446AAF" w:rsidRDefault="129BD62D" w:rsidP="00446AAF">
            <w:pPr>
              <w:spacing w:before="0" w:after="0" w:line="240" w:lineRule="auto"/>
              <w:jc w:val="center"/>
              <w:rPr>
                <w:rFonts w:ascii="Calibri" w:eastAsia="Times New Roman" w:hAnsi="Calibri" w:cs="Calibri"/>
                <w:b/>
                <w:bCs/>
                <w:color w:val="FFFFFF"/>
                <w:sz w:val="22"/>
                <w:szCs w:val="22"/>
              </w:rPr>
            </w:pPr>
            <w:r w:rsidRPr="045A98DE">
              <w:rPr>
                <w:rFonts w:ascii="Calibri" w:eastAsia="Times New Roman" w:hAnsi="Calibri" w:cs="Calibri"/>
                <w:b/>
                <w:bCs/>
                <w:color w:val="FFFFFF" w:themeColor="background1"/>
                <w:sz w:val="22"/>
                <w:szCs w:val="22"/>
              </w:rPr>
              <w:t>Cycling</w:t>
            </w:r>
            <w:r w:rsidR="42BED41C" w:rsidRPr="045A98DE">
              <w:rPr>
                <w:rFonts w:ascii="Calibri" w:eastAsia="Times New Roman" w:hAnsi="Calibri" w:cs="Calibri"/>
                <w:b/>
                <w:bCs/>
                <w:color w:val="FFFFFF" w:themeColor="background1"/>
                <w:sz w:val="22"/>
                <w:szCs w:val="22"/>
              </w:rPr>
              <w:t xml:space="preserve"> 2019/20</w:t>
            </w:r>
          </w:p>
        </w:tc>
        <w:tc>
          <w:tcPr>
            <w:tcW w:w="1040" w:type="dxa"/>
            <w:tcBorders>
              <w:top w:val="single" w:sz="4" w:space="0" w:color="auto"/>
              <w:left w:val="nil"/>
              <w:bottom w:val="single" w:sz="4" w:space="0" w:color="auto"/>
              <w:right w:val="single" w:sz="4" w:space="0" w:color="auto"/>
            </w:tcBorders>
            <w:shd w:val="clear" w:color="auto" w:fill="2D7C82"/>
            <w:vAlign w:val="center"/>
            <w:hideMark/>
          </w:tcPr>
          <w:p w14:paraId="2485EBFB" w14:textId="2A30A198" w:rsidR="00446AAF" w:rsidRPr="00446AAF" w:rsidRDefault="2FEC801B" w:rsidP="00446AAF">
            <w:pPr>
              <w:spacing w:before="0" w:after="0" w:line="240" w:lineRule="auto"/>
              <w:jc w:val="center"/>
              <w:rPr>
                <w:rFonts w:ascii="Calibri" w:eastAsia="Times New Roman" w:hAnsi="Calibri" w:cs="Calibri"/>
                <w:b/>
                <w:bCs/>
                <w:color w:val="FFFFFF"/>
                <w:sz w:val="22"/>
                <w:szCs w:val="22"/>
              </w:rPr>
            </w:pPr>
            <w:r w:rsidRPr="045A98DE">
              <w:rPr>
                <w:rFonts w:ascii="Calibri" w:eastAsia="Times New Roman" w:hAnsi="Calibri" w:cs="Calibri"/>
                <w:b/>
                <w:bCs/>
                <w:color w:val="FFFFFF" w:themeColor="background1"/>
                <w:sz w:val="22"/>
                <w:szCs w:val="22"/>
              </w:rPr>
              <w:t>Cycling</w:t>
            </w:r>
            <w:r w:rsidR="42BED41C" w:rsidRPr="045A98DE">
              <w:rPr>
                <w:rFonts w:ascii="Calibri" w:eastAsia="Times New Roman" w:hAnsi="Calibri" w:cs="Calibri"/>
                <w:b/>
                <w:bCs/>
                <w:color w:val="FFFFFF" w:themeColor="background1"/>
                <w:sz w:val="22"/>
                <w:szCs w:val="22"/>
              </w:rPr>
              <w:t xml:space="preserve"> 2020/21</w:t>
            </w:r>
          </w:p>
        </w:tc>
      </w:tr>
      <w:tr w:rsidR="00446AAF" w:rsidRPr="00446AAF" w14:paraId="044AC93F" w14:textId="77777777" w:rsidTr="045A98DE">
        <w:trPr>
          <w:trHeight w:val="292"/>
        </w:trPr>
        <w:tc>
          <w:tcPr>
            <w:tcW w:w="2340" w:type="dxa"/>
            <w:tcBorders>
              <w:top w:val="nil"/>
              <w:left w:val="single" w:sz="4" w:space="0" w:color="auto"/>
              <w:bottom w:val="single" w:sz="4" w:space="0" w:color="auto"/>
              <w:right w:val="single" w:sz="4" w:space="0" w:color="auto"/>
            </w:tcBorders>
            <w:shd w:val="clear" w:color="auto" w:fill="DDF1F3"/>
            <w:noWrap/>
            <w:vAlign w:val="bottom"/>
            <w:hideMark/>
          </w:tcPr>
          <w:p w14:paraId="594A3184" w14:textId="77777777" w:rsidR="00446AAF" w:rsidRPr="00446AAF" w:rsidRDefault="00446AAF" w:rsidP="00446AAF">
            <w:pPr>
              <w:spacing w:before="0" w:after="0" w:line="240" w:lineRule="auto"/>
              <w:rPr>
                <w:rFonts w:ascii="Calibri" w:eastAsia="Times New Roman" w:hAnsi="Calibri" w:cs="Calibri"/>
                <w:color w:val="000000"/>
                <w:sz w:val="22"/>
                <w:szCs w:val="22"/>
              </w:rPr>
            </w:pPr>
            <w:r w:rsidRPr="00446AAF">
              <w:rPr>
                <w:rFonts w:ascii="Calibri" w:eastAsia="Times New Roman" w:hAnsi="Calibri" w:cs="Calibri"/>
                <w:color w:val="000000"/>
                <w:sz w:val="22"/>
                <w:szCs w:val="22"/>
              </w:rPr>
              <w:t>Maidstone</w:t>
            </w:r>
          </w:p>
        </w:tc>
        <w:tc>
          <w:tcPr>
            <w:tcW w:w="960" w:type="dxa"/>
            <w:tcBorders>
              <w:top w:val="nil"/>
              <w:left w:val="nil"/>
              <w:bottom w:val="single" w:sz="4" w:space="0" w:color="auto"/>
              <w:right w:val="single" w:sz="4" w:space="0" w:color="auto"/>
            </w:tcBorders>
            <w:shd w:val="clear" w:color="auto" w:fill="DDF1F3"/>
            <w:noWrap/>
            <w:vAlign w:val="bottom"/>
            <w:hideMark/>
          </w:tcPr>
          <w:p w14:paraId="0E5A8D71"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15.9%</w:t>
            </w:r>
          </w:p>
        </w:tc>
        <w:tc>
          <w:tcPr>
            <w:tcW w:w="1200" w:type="dxa"/>
            <w:tcBorders>
              <w:top w:val="nil"/>
              <w:left w:val="nil"/>
              <w:bottom w:val="single" w:sz="4" w:space="0" w:color="auto"/>
              <w:right w:val="single" w:sz="4" w:space="0" w:color="auto"/>
            </w:tcBorders>
            <w:shd w:val="clear" w:color="auto" w:fill="DDF1F3"/>
            <w:noWrap/>
            <w:vAlign w:val="bottom"/>
            <w:hideMark/>
          </w:tcPr>
          <w:p w14:paraId="42F0DE86"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13.8%</w:t>
            </w:r>
          </w:p>
        </w:tc>
        <w:tc>
          <w:tcPr>
            <w:tcW w:w="1200" w:type="dxa"/>
            <w:tcBorders>
              <w:top w:val="nil"/>
              <w:left w:val="nil"/>
              <w:bottom w:val="single" w:sz="4" w:space="0" w:color="auto"/>
              <w:right w:val="single" w:sz="4" w:space="0" w:color="auto"/>
            </w:tcBorders>
            <w:shd w:val="clear" w:color="auto" w:fill="DDF1F3"/>
            <w:noWrap/>
            <w:vAlign w:val="bottom"/>
            <w:hideMark/>
          </w:tcPr>
          <w:p w14:paraId="2D95968B"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10.7%</w:t>
            </w:r>
          </w:p>
        </w:tc>
        <w:tc>
          <w:tcPr>
            <w:tcW w:w="1040" w:type="dxa"/>
            <w:tcBorders>
              <w:top w:val="nil"/>
              <w:left w:val="nil"/>
              <w:bottom w:val="single" w:sz="4" w:space="0" w:color="auto"/>
              <w:right w:val="single" w:sz="4" w:space="0" w:color="auto"/>
            </w:tcBorders>
            <w:shd w:val="clear" w:color="auto" w:fill="DDF1F3"/>
            <w:noWrap/>
            <w:vAlign w:val="bottom"/>
            <w:hideMark/>
          </w:tcPr>
          <w:p w14:paraId="5EBD207F"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2.4%</w:t>
            </w:r>
          </w:p>
        </w:tc>
        <w:tc>
          <w:tcPr>
            <w:tcW w:w="1040" w:type="dxa"/>
            <w:tcBorders>
              <w:top w:val="nil"/>
              <w:left w:val="nil"/>
              <w:bottom w:val="single" w:sz="4" w:space="0" w:color="auto"/>
              <w:right w:val="single" w:sz="4" w:space="0" w:color="auto"/>
            </w:tcBorders>
            <w:shd w:val="clear" w:color="auto" w:fill="DDF1F3"/>
            <w:noWrap/>
            <w:vAlign w:val="bottom"/>
            <w:hideMark/>
          </w:tcPr>
          <w:p w14:paraId="1894855A"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1.5%</w:t>
            </w:r>
          </w:p>
        </w:tc>
        <w:tc>
          <w:tcPr>
            <w:tcW w:w="1040" w:type="dxa"/>
            <w:tcBorders>
              <w:top w:val="nil"/>
              <w:left w:val="nil"/>
              <w:bottom w:val="single" w:sz="4" w:space="0" w:color="auto"/>
              <w:right w:val="single" w:sz="4" w:space="0" w:color="auto"/>
            </w:tcBorders>
            <w:shd w:val="clear" w:color="auto" w:fill="DDF1F3"/>
            <w:noWrap/>
            <w:vAlign w:val="bottom"/>
            <w:hideMark/>
          </w:tcPr>
          <w:p w14:paraId="14CC7FAD"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1.4%</w:t>
            </w:r>
          </w:p>
        </w:tc>
      </w:tr>
      <w:tr w:rsidR="00446AAF" w:rsidRPr="00446AAF" w14:paraId="2F638DBA" w14:textId="77777777" w:rsidTr="045A98DE">
        <w:trPr>
          <w:trHeight w:val="292"/>
        </w:trPr>
        <w:tc>
          <w:tcPr>
            <w:tcW w:w="2340" w:type="dxa"/>
            <w:tcBorders>
              <w:top w:val="nil"/>
              <w:left w:val="single" w:sz="4" w:space="0" w:color="auto"/>
              <w:bottom w:val="single" w:sz="4" w:space="0" w:color="auto"/>
              <w:right w:val="single" w:sz="4" w:space="0" w:color="auto"/>
            </w:tcBorders>
            <w:shd w:val="clear" w:color="auto" w:fill="DDF1F3"/>
            <w:noWrap/>
            <w:vAlign w:val="bottom"/>
            <w:hideMark/>
          </w:tcPr>
          <w:p w14:paraId="44172E9C" w14:textId="77777777" w:rsidR="00446AAF" w:rsidRPr="00446AAF" w:rsidRDefault="00446AAF" w:rsidP="00446AAF">
            <w:pPr>
              <w:spacing w:before="0" w:after="0" w:line="240" w:lineRule="auto"/>
              <w:rPr>
                <w:rFonts w:ascii="Calibri" w:eastAsia="Times New Roman" w:hAnsi="Calibri" w:cs="Calibri"/>
                <w:color w:val="000000"/>
                <w:sz w:val="22"/>
                <w:szCs w:val="22"/>
              </w:rPr>
            </w:pPr>
            <w:r w:rsidRPr="00446AAF">
              <w:rPr>
                <w:rFonts w:ascii="Calibri" w:eastAsia="Times New Roman" w:hAnsi="Calibri" w:cs="Calibri"/>
                <w:color w:val="000000"/>
                <w:sz w:val="22"/>
                <w:szCs w:val="22"/>
              </w:rPr>
              <w:t>Sevenoaks</w:t>
            </w:r>
          </w:p>
        </w:tc>
        <w:tc>
          <w:tcPr>
            <w:tcW w:w="960" w:type="dxa"/>
            <w:tcBorders>
              <w:top w:val="nil"/>
              <w:left w:val="nil"/>
              <w:bottom w:val="single" w:sz="4" w:space="0" w:color="auto"/>
              <w:right w:val="single" w:sz="4" w:space="0" w:color="auto"/>
            </w:tcBorders>
            <w:shd w:val="clear" w:color="auto" w:fill="DDF1F3"/>
            <w:noWrap/>
            <w:vAlign w:val="bottom"/>
            <w:hideMark/>
          </w:tcPr>
          <w:p w14:paraId="4863DD67"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18.9%</w:t>
            </w:r>
          </w:p>
        </w:tc>
        <w:tc>
          <w:tcPr>
            <w:tcW w:w="1200" w:type="dxa"/>
            <w:tcBorders>
              <w:top w:val="nil"/>
              <w:left w:val="nil"/>
              <w:bottom w:val="single" w:sz="4" w:space="0" w:color="auto"/>
              <w:right w:val="single" w:sz="4" w:space="0" w:color="auto"/>
            </w:tcBorders>
            <w:shd w:val="clear" w:color="auto" w:fill="DDF1F3"/>
            <w:noWrap/>
            <w:vAlign w:val="bottom"/>
            <w:hideMark/>
          </w:tcPr>
          <w:p w14:paraId="3A31A43E"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12.4%</w:t>
            </w:r>
          </w:p>
        </w:tc>
        <w:tc>
          <w:tcPr>
            <w:tcW w:w="1200" w:type="dxa"/>
            <w:tcBorders>
              <w:top w:val="nil"/>
              <w:left w:val="nil"/>
              <w:bottom w:val="single" w:sz="4" w:space="0" w:color="auto"/>
              <w:right w:val="single" w:sz="4" w:space="0" w:color="auto"/>
            </w:tcBorders>
            <w:shd w:val="clear" w:color="auto" w:fill="DDF1F3"/>
            <w:noWrap/>
            <w:vAlign w:val="bottom"/>
            <w:hideMark/>
          </w:tcPr>
          <w:p w14:paraId="1D76A09D"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10.5%</w:t>
            </w:r>
          </w:p>
        </w:tc>
        <w:tc>
          <w:tcPr>
            <w:tcW w:w="1040" w:type="dxa"/>
            <w:tcBorders>
              <w:top w:val="nil"/>
              <w:left w:val="nil"/>
              <w:bottom w:val="single" w:sz="4" w:space="0" w:color="auto"/>
              <w:right w:val="single" w:sz="4" w:space="0" w:color="auto"/>
            </w:tcBorders>
            <w:shd w:val="clear" w:color="auto" w:fill="DDF1F3"/>
            <w:noWrap/>
            <w:vAlign w:val="bottom"/>
            <w:hideMark/>
          </w:tcPr>
          <w:p w14:paraId="6AFC6273"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1.9%</w:t>
            </w:r>
          </w:p>
        </w:tc>
        <w:tc>
          <w:tcPr>
            <w:tcW w:w="1040" w:type="dxa"/>
            <w:tcBorders>
              <w:top w:val="nil"/>
              <w:left w:val="nil"/>
              <w:bottom w:val="single" w:sz="4" w:space="0" w:color="auto"/>
              <w:right w:val="single" w:sz="4" w:space="0" w:color="auto"/>
            </w:tcBorders>
            <w:shd w:val="clear" w:color="auto" w:fill="DDF1F3"/>
            <w:noWrap/>
            <w:vAlign w:val="bottom"/>
            <w:hideMark/>
          </w:tcPr>
          <w:p w14:paraId="6F59D78D"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0.7%</w:t>
            </w:r>
          </w:p>
        </w:tc>
        <w:tc>
          <w:tcPr>
            <w:tcW w:w="1040" w:type="dxa"/>
            <w:tcBorders>
              <w:top w:val="nil"/>
              <w:left w:val="nil"/>
              <w:bottom w:val="single" w:sz="4" w:space="0" w:color="auto"/>
              <w:right w:val="single" w:sz="4" w:space="0" w:color="auto"/>
            </w:tcBorders>
            <w:shd w:val="clear" w:color="auto" w:fill="DDF1F3"/>
            <w:noWrap/>
            <w:vAlign w:val="bottom"/>
            <w:hideMark/>
          </w:tcPr>
          <w:p w14:paraId="64AF2D23"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0.2%</w:t>
            </w:r>
          </w:p>
        </w:tc>
      </w:tr>
      <w:tr w:rsidR="00446AAF" w:rsidRPr="00446AAF" w14:paraId="183482B7" w14:textId="77777777" w:rsidTr="045A98DE">
        <w:trPr>
          <w:trHeight w:val="292"/>
        </w:trPr>
        <w:tc>
          <w:tcPr>
            <w:tcW w:w="2340" w:type="dxa"/>
            <w:tcBorders>
              <w:top w:val="nil"/>
              <w:left w:val="single" w:sz="4" w:space="0" w:color="auto"/>
              <w:bottom w:val="single" w:sz="4" w:space="0" w:color="auto"/>
              <w:right w:val="single" w:sz="4" w:space="0" w:color="auto"/>
            </w:tcBorders>
            <w:shd w:val="clear" w:color="auto" w:fill="DDF1F3"/>
            <w:noWrap/>
            <w:vAlign w:val="bottom"/>
            <w:hideMark/>
          </w:tcPr>
          <w:p w14:paraId="1940F5A2" w14:textId="77777777" w:rsidR="00446AAF" w:rsidRPr="00446AAF" w:rsidRDefault="00446AAF" w:rsidP="00446AAF">
            <w:pPr>
              <w:spacing w:before="0" w:after="0" w:line="240" w:lineRule="auto"/>
              <w:rPr>
                <w:rFonts w:ascii="Calibri" w:eastAsia="Times New Roman" w:hAnsi="Calibri" w:cs="Calibri"/>
                <w:color w:val="000000"/>
                <w:sz w:val="22"/>
                <w:szCs w:val="22"/>
              </w:rPr>
            </w:pPr>
            <w:r w:rsidRPr="00446AAF">
              <w:rPr>
                <w:rFonts w:ascii="Calibri" w:eastAsia="Times New Roman" w:hAnsi="Calibri" w:cs="Calibri"/>
                <w:color w:val="000000"/>
                <w:sz w:val="22"/>
                <w:szCs w:val="22"/>
              </w:rPr>
              <w:t>Tonbridge and Malling</w:t>
            </w:r>
          </w:p>
        </w:tc>
        <w:tc>
          <w:tcPr>
            <w:tcW w:w="960" w:type="dxa"/>
            <w:tcBorders>
              <w:top w:val="nil"/>
              <w:left w:val="nil"/>
              <w:bottom w:val="single" w:sz="4" w:space="0" w:color="auto"/>
              <w:right w:val="single" w:sz="4" w:space="0" w:color="auto"/>
            </w:tcBorders>
            <w:shd w:val="clear" w:color="auto" w:fill="DDF1F3"/>
            <w:noWrap/>
            <w:vAlign w:val="bottom"/>
            <w:hideMark/>
          </w:tcPr>
          <w:p w14:paraId="6C1C1241"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22.2%</w:t>
            </w:r>
          </w:p>
        </w:tc>
        <w:tc>
          <w:tcPr>
            <w:tcW w:w="1200" w:type="dxa"/>
            <w:tcBorders>
              <w:top w:val="nil"/>
              <w:left w:val="nil"/>
              <w:bottom w:val="single" w:sz="4" w:space="0" w:color="auto"/>
              <w:right w:val="single" w:sz="4" w:space="0" w:color="auto"/>
            </w:tcBorders>
            <w:shd w:val="clear" w:color="auto" w:fill="DDF1F3"/>
            <w:noWrap/>
            <w:vAlign w:val="bottom"/>
            <w:hideMark/>
          </w:tcPr>
          <w:p w14:paraId="0BF52F9E"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12.8%</w:t>
            </w:r>
          </w:p>
        </w:tc>
        <w:tc>
          <w:tcPr>
            <w:tcW w:w="1200" w:type="dxa"/>
            <w:tcBorders>
              <w:top w:val="nil"/>
              <w:left w:val="nil"/>
              <w:bottom w:val="single" w:sz="4" w:space="0" w:color="auto"/>
              <w:right w:val="single" w:sz="4" w:space="0" w:color="auto"/>
            </w:tcBorders>
            <w:shd w:val="clear" w:color="auto" w:fill="DDF1F3"/>
            <w:noWrap/>
            <w:vAlign w:val="bottom"/>
            <w:hideMark/>
          </w:tcPr>
          <w:p w14:paraId="5830785E"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9.2%</w:t>
            </w:r>
          </w:p>
        </w:tc>
        <w:tc>
          <w:tcPr>
            <w:tcW w:w="1040" w:type="dxa"/>
            <w:tcBorders>
              <w:top w:val="nil"/>
              <w:left w:val="nil"/>
              <w:bottom w:val="single" w:sz="4" w:space="0" w:color="auto"/>
              <w:right w:val="single" w:sz="4" w:space="0" w:color="auto"/>
            </w:tcBorders>
            <w:shd w:val="clear" w:color="auto" w:fill="DDF1F3"/>
            <w:noWrap/>
            <w:vAlign w:val="bottom"/>
            <w:hideMark/>
          </w:tcPr>
          <w:p w14:paraId="5686A249"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2.1%</w:t>
            </w:r>
          </w:p>
        </w:tc>
        <w:tc>
          <w:tcPr>
            <w:tcW w:w="1040" w:type="dxa"/>
            <w:tcBorders>
              <w:top w:val="nil"/>
              <w:left w:val="nil"/>
              <w:bottom w:val="single" w:sz="4" w:space="0" w:color="auto"/>
              <w:right w:val="single" w:sz="4" w:space="0" w:color="auto"/>
            </w:tcBorders>
            <w:shd w:val="clear" w:color="auto" w:fill="DDF1F3"/>
            <w:noWrap/>
            <w:vAlign w:val="bottom"/>
            <w:hideMark/>
          </w:tcPr>
          <w:p w14:paraId="060CB931"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1.6%</w:t>
            </w:r>
          </w:p>
        </w:tc>
        <w:tc>
          <w:tcPr>
            <w:tcW w:w="1040" w:type="dxa"/>
            <w:tcBorders>
              <w:top w:val="nil"/>
              <w:left w:val="nil"/>
              <w:bottom w:val="single" w:sz="4" w:space="0" w:color="auto"/>
              <w:right w:val="single" w:sz="4" w:space="0" w:color="auto"/>
            </w:tcBorders>
            <w:shd w:val="clear" w:color="auto" w:fill="DDF1F3"/>
            <w:noWrap/>
            <w:vAlign w:val="bottom"/>
            <w:hideMark/>
          </w:tcPr>
          <w:p w14:paraId="31294B24"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0.9%</w:t>
            </w:r>
          </w:p>
        </w:tc>
      </w:tr>
      <w:tr w:rsidR="00446AAF" w:rsidRPr="00446AAF" w14:paraId="4785007B" w14:textId="77777777" w:rsidTr="045A98DE">
        <w:trPr>
          <w:trHeight w:val="292"/>
        </w:trPr>
        <w:tc>
          <w:tcPr>
            <w:tcW w:w="2340" w:type="dxa"/>
            <w:tcBorders>
              <w:top w:val="nil"/>
              <w:left w:val="single" w:sz="4" w:space="0" w:color="auto"/>
              <w:bottom w:val="single" w:sz="4" w:space="0" w:color="auto"/>
              <w:right w:val="single" w:sz="4" w:space="0" w:color="auto"/>
            </w:tcBorders>
            <w:shd w:val="clear" w:color="auto" w:fill="DDF1F3"/>
            <w:noWrap/>
            <w:vAlign w:val="bottom"/>
            <w:hideMark/>
          </w:tcPr>
          <w:p w14:paraId="318769C4" w14:textId="77777777" w:rsidR="00446AAF" w:rsidRPr="00446AAF" w:rsidRDefault="00446AAF" w:rsidP="00446AAF">
            <w:pPr>
              <w:spacing w:before="0" w:after="0" w:line="240" w:lineRule="auto"/>
              <w:rPr>
                <w:rFonts w:ascii="Calibri" w:eastAsia="Times New Roman" w:hAnsi="Calibri" w:cs="Calibri"/>
                <w:color w:val="000000"/>
                <w:sz w:val="22"/>
                <w:szCs w:val="22"/>
              </w:rPr>
            </w:pPr>
            <w:r w:rsidRPr="00446AAF">
              <w:rPr>
                <w:rFonts w:ascii="Calibri" w:eastAsia="Times New Roman" w:hAnsi="Calibri" w:cs="Calibri"/>
                <w:color w:val="000000"/>
                <w:sz w:val="22"/>
                <w:szCs w:val="22"/>
              </w:rPr>
              <w:t>Tunbridge Wells</w:t>
            </w:r>
          </w:p>
        </w:tc>
        <w:tc>
          <w:tcPr>
            <w:tcW w:w="960" w:type="dxa"/>
            <w:tcBorders>
              <w:top w:val="nil"/>
              <w:left w:val="nil"/>
              <w:bottom w:val="single" w:sz="4" w:space="0" w:color="auto"/>
              <w:right w:val="single" w:sz="4" w:space="0" w:color="auto"/>
            </w:tcBorders>
            <w:shd w:val="clear" w:color="auto" w:fill="DDF1F3"/>
            <w:noWrap/>
            <w:vAlign w:val="bottom"/>
            <w:hideMark/>
          </w:tcPr>
          <w:p w14:paraId="32F16264"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18.7%</w:t>
            </w:r>
          </w:p>
        </w:tc>
        <w:tc>
          <w:tcPr>
            <w:tcW w:w="1200" w:type="dxa"/>
            <w:tcBorders>
              <w:top w:val="nil"/>
              <w:left w:val="nil"/>
              <w:bottom w:val="single" w:sz="4" w:space="0" w:color="auto"/>
              <w:right w:val="single" w:sz="4" w:space="0" w:color="auto"/>
            </w:tcBorders>
            <w:shd w:val="clear" w:color="auto" w:fill="DDF1F3"/>
            <w:noWrap/>
            <w:vAlign w:val="bottom"/>
            <w:hideMark/>
          </w:tcPr>
          <w:p w14:paraId="7158562A"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18.2%</w:t>
            </w:r>
          </w:p>
        </w:tc>
        <w:tc>
          <w:tcPr>
            <w:tcW w:w="1200" w:type="dxa"/>
            <w:tcBorders>
              <w:top w:val="nil"/>
              <w:left w:val="nil"/>
              <w:bottom w:val="single" w:sz="4" w:space="0" w:color="auto"/>
              <w:right w:val="single" w:sz="4" w:space="0" w:color="auto"/>
            </w:tcBorders>
            <w:shd w:val="clear" w:color="auto" w:fill="DDF1F3"/>
            <w:noWrap/>
            <w:vAlign w:val="bottom"/>
            <w:hideMark/>
          </w:tcPr>
          <w:p w14:paraId="64EE802B"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17.1%</w:t>
            </w:r>
          </w:p>
        </w:tc>
        <w:tc>
          <w:tcPr>
            <w:tcW w:w="1040" w:type="dxa"/>
            <w:tcBorders>
              <w:top w:val="nil"/>
              <w:left w:val="nil"/>
              <w:bottom w:val="single" w:sz="4" w:space="0" w:color="auto"/>
              <w:right w:val="single" w:sz="4" w:space="0" w:color="auto"/>
            </w:tcBorders>
            <w:shd w:val="clear" w:color="auto" w:fill="DDF1F3"/>
            <w:noWrap/>
            <w:vAlign w:val="bottom"/>
            <w:hideMark/>
          </w:tcPr>
          <w:p w14:paraId="2CB7D5A7"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2.3%</w:t>
            </w:r>
          </w:p>
        </w:tc>
        <w:tc>
          <w:tcPr>
            <w:tcW w:w="1040" w:type="dxa"/>
            <w:tcBorders>
              <w:top w:val="nil"/>
              <w:left w:val="nil"/>
              <w:bottom w:val="single" w:sz="4" w:space="0" w:color="auto"/>
              <w:right w:val="single" w:sz="4" w:space="0" w:color="auto"/>
            </w:tcBorders>
            <w:shd w:val="clear" w:color="auto" w:fill="DDF1F3"/>
            <w:noWrap/>
            <w:vAlign w:val="bottom"/>
            <w:hideMark/>
          </w:tcPr>
          <w:p w14:paraId="238C2DF4"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0.8%</w:t>
            </w:r>
          </w:p>
        </w:tc>
        <w:tc>
          <w:tcPr>
            <w:tcW w:w="1040" w:type="dxa"/>
            <w:tcBorders>
              <w:top w:val="nil"/>
              <w:left w:val="nil"/>
              <w:bottom w:val="single" w:sz="4" w:space="0" w:color="auto"/>
              <w:right w:val="single" w:sz="4" w:space="0" w:color="auto"/>
            </w:tcBorders>
            <w:shd w:val="clear" w:color="auto" w:fill="DDF1F3"/>
            <w:noWrap/>
            <w:vAlign w:val="bottom"/>
            <w:hideMark/>
          </w:tcPr>
          <w:p w14:paraId="53CBABA7"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0.5%</w:t>
            </w:r>
          </w:p>
        </w:tc>
      </w:tr>
      <w:tr w:rsidR="00446AAF" w:rsidRPr="00446AAF" w14:paraId="791BF81F" w14:textId="77777777" w:rsidTr="045A98DE">
        <w:trPr>
          <w:trHeight w:val="292"/>
        </w:trPr>
        <w:tc>
          <w:tcPr>
            <w:tcW w:w="2340" w:type="dxa"/>
            <w:tcBorders>
              <w:top w:val="nil"/>
              <w:left w:val="single" w:sz="4" w:space="0" w:color="auto"/>
              <w:bottom w:val="single" w:sz="4" w:space="0" w:color="auto"/>
              <w:right w:val="single" w:sz="4" w:space="0" w:color="auto"/>
            </w:tcBorders>
            <w:shd w:val="clear" w:color="auto" w:fill="DDF1F3"/>
            <w:noWrap/>
            <w:vAlign w:val="bottom"/>
            <w:hideMark/>
          </w:tcPr>
          <w:p w14:paraId="54704E37" w14:textId="77777777" w:rsidR="00446AAF" w:rsidRPr="00446AAF" w:rsidRDefault="00446AAF" w:rsidP="00446AAF">
            <w:pPr>
              <w:spacing w:before="0" w:after="0" w:line="240" w:lineRule="auto"/>
              <w:rPr>
                <w:rFonts w:ascii="Calibri" w:eastAsia="Times New Roman" w:hAnsi="Calibri" w:cs="Calibri"/>
                <w:color w:val="000000"/>
                <w:sz w:val="22"/>
                <w:szCs w:val="22"/>
              </w:rPr>
            </w:pPr>
            <w:r w:rsidRPr="00446AAF">
              <w:rPr>
                <w:rFonts w:ascii="Calibri" w:eastAsia="Times New Roman" w:hAnsi="Calibri" w:cs="Calibri"/>
                <w:color w:val="000000"/>
                <w:sz w:val="22"/>
                <w:szCs w:val="22"/>
              </w:rPr>
              <w:t xml:space="preserve">England </w:t>
            </w:r>
          </w:p>
        </w:tc>
        <w:tc>
          <w:tcPr>
            <w:tcW w:w="960" w:type="dxa"/>
            <w:tcBorders>
              <w:top w:val="nil"/>
              <w:left w:val="nil"/>
              <w:bottom w:val="single" w:sz="4" w:space="0" w:color="auto"/>
              <w:right w:val="single" w:sz="4" w:space="0" w:color="auto"/>
            </w:tcBorders>
            <w:shd w:val="clear" w:color="auto" w:fill="DDF1F3"/>
            <w:noWrap/>
            <w:vAlign w:val="bottom"/>
            <w:hideMark/>
          </w:tcPr>
          <w:p w14:paraId="73758485"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22.7%</w:t>
            </w:r>
          </w:p>
        </w:tc>
        <w:tc>
          <w:tcPr>
            <w:tcW w:w="1200" w:type="dxa"/>
            <w:tcBorders>
              <w:top w:val="nil"/>
              <w:left w:val="nil"/>
              <w:bottom w:val="single" w:sz="4" w:space="0" w:color="auto"/>
              <w:right w:val="single" w:sz="4" w:space="0" w:color="auto"/>
            </w:tcBorders>
            <w:shd w:val="clear" w:color="auto" w:fill="DDF1F3"/>
            <w:noWrap/>
            <w:vAlign w:val="bottom"/>
            <w:hideMark/>
          </w:tcPr>
          <w:p w14:paraId="7E69DBC6"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15.1%</w:t>
            </w:r>
          </w:p>
        </w:tc>
        <w:tc>
          <w:tcPr>
            <w:tcW w:w="1200" w:type="dxa"/>
            <w:tcBorders>
              <w:top w:val="nil"/>
              <w:left w:val="nil"/>
              <w:bottom w:val="single" w:sz="4" w:space="0" w:color="auto"/>
              <w:right w:val="single" w:sz="4" w:space="0" w:color="auto"/>
            </w:tcBorders>
            <w:shd w:val="clear" w:color="auto" w:fill="DDF1F3"/>
            <w:noWrap/>
            <w:vAlign w:val="bottom"/>
            <w:hideMark/>
          </w:tcPr>
          <w:p w14:paraId="3E2125B4"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13.1%</w:t>
            </w:r>
          </w:p>
        </w:tc>
        <w:tc>
          <w:tcPr>
            <w:tcW w:w="1040" w:type="dxa"/>
            <w:tcBorders>
              <w:top w:val="nil"/>
              <w:left w:val="nil"/>
              <w:bottom w:val="single" w:sz="4" w:space="0" w:color="auto"/>
              <w:right w:val="single" w:sz="4" w:space="0" w:color="auto"/>
            </w:tcBorders>
            <w:shd w:val="clear" w:color="auto" w:fill="DDF1F3"/>
            <w:noWrap/>
            <w:vAlign w:val="bottom"/>
            <w:hideMark/>
          </w:tcPr>
          <w:p w14:paraId="18B03E17"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3.1%</w:t>
            </w:r>
          </w:p>
        </w:tc>
        <w:tc>
          <w:tcPr>
            <w:tcW w:w="1040" w:type="dxa"/>
            <w:tcBorders>
              <w:top w:val="nil"/>
              <w:left w:val="nil"/>
              <w:bottom w:val="single" w:sz="4" w:space="0" w:color="auto"/>
              <w:right w:val="single" w:sz="4" w:space="0" w:color="auto"/>
            </w:tcBorders>
            <w:shd w:val="clear" w:color="auto" w:fill="DDF1F3"/>
            <w:noWrap/>
            <w:vAlign w:val="bottom"/>
            <w:hideMark/>
          </w:tcPr>
          <w:p w14:paraId="3C4AA7B6"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2.3%</w:t>
            </w:r>
          </w:p>
        </w:tc>
        <w:tc>
          <w:tcPr>
            <w:tcW w:w="1040" w:type="dxa"/>
            <w:tcBorders>
              <w:top w:val="nil"/>
              <w:left w:val="nil"/>
              <w:bottom w:val="single" w:sz="4" w:space="0" w:color="auto"/>
              <w:right w:val="single" w:sz="4" w:space="0" w:color="auto"/>
            </w:tcBorders>
            <w:shd w:val="clear" w:color="auto" w:fill="DDF1F3"/>
            <w:noWrap/>
            <w:vAlign w:val="bottom"/>
            <w:hideMark/>
          </w:tcPr>
          <w:p w14:paraId="1710C32B" w14:textId="77777777" w:rsidR="00446AAF" w:rsidRPr="00446AAF" w:rsidRDefault="00446AAF" w:rsidP="00446AAF">
            <w:pPr>
              <w:spacing w:before="0" w:after="0" w:line="240" w:lineRule="auto"/>
              <w:jc w:val="center"/>
              <w:rPr>
                <w:rFonts w:ascii="Calibri" w:eastAsia="Times New Roman" w:hAnsi="Calibri" w:cs="Calibri"/>
                <w:color w:val="000000"/>
                <w:sz w:val="22"/>
                <w:szCs w:val="22"/>
              </w:rPr>
            </w:pPr>
            <w:r w:rsidRPr="00446AAF">
              <w:rPr>
                <w:rFonts w:ascii="Calibri" w:eastAsia="Times New Roman" w:hAnsi="Calibri" w:cs="Calibri"/>
                <w:color w:val="000000"/>
                <w:sz w:val="22"/>
                <w:szCs w:val="22"/>
              </w:rPr>
              <w:t>2.0%</w:t>
            </w:r>
          </w:p>
        </w:tc>
      </w:tr>
    </w:tbl>
    <w:p w14:paraId="3522E3E6" w14:textId="61EF9383" w:rsidR="00F03DB8" w:rsidRDefault="00F03DB8" w:rsidP="00F00597">
      <w:pPr>
        <w:pStyle w:val="Heading1"/>
      </w:pPr>
      <w:bookmarkStart w:id="77" w:name="_Toc128133823"/>
      <w:r w:rsidRPr="5E4DB3C2">
        <w:rPr>
          <w:rStyle w:val="normaltextrun"/>
          <w:rFonts w:ascii="Calibri" w:hAnsi="Calibri" w:cs="Calibri"/>
          <w:color w:val="000000" w:themeColor="text1"/>
        </w:rPr>
        <w:t>Multimorbidity</w:t>
      </w:r>
      <w:bookmarkEnd w:id="77"/>
      <w:r w:rsidRPr="5E4DB3C2">
        <w:rPr>
          <w:rStyle w:val="normaltextrun"/>
          <w:rFonts w:ascii="Calibri" w:hAnsi="Calibri" w:cs="Calibri"/>
          <w:color w:val="000000" w:themeColor="text1"/>
        </w:rPr>
        <w:t> </w:t>
      </w:r>
    </w:p>
    <w:p w14:paraId="168DB8D0" w14:textId="638E8D99" w:rsidR="00F03DB8" w:rsidRPr="00002D7D" w:rsidRDefault="00F03DB8" w:rsidP="00041056">
      <w:pPr>
        <w:rPr>
          <w:rFonts w:eastAsia="Calibri" w:cstheme="minorBidi"/>
        </w:rPr>
      </w:pPr>
      <w:r w:rsidRPr="740CDBE4">
        <w:rPr>
          <w:rStyle w:val="normaltextrun"/>
          <w:rFonts w:cstheme="minorBidi"/>
          <w:color w:val="000000" w:themeColor="text1"/>
        </w:rPr>
        <w:t xml:space="preserve">Analysis of multimorbidity has been conducted using data using the OPTUM / Mede dashboard, which collates multiple datasets from primary, secondary and community care sources. In this analysis patients were considered morbid if they had one, or multimorbid if they had two or more of the following 18 long term conditions: Atrial fibrillation (AF), hypertension, heart failure (HF), peripheral artery disease (PAD), stroke, diabetes, asthma, chronic obstructive pulmonary disease (COPD), coronary heart disease (CHD) dementia, serious mental illness (SMI), cancer, chronic kidney disease (CKD), epilepsy, learning difficulties (LD), osteoporosis, palliative care, rheumatoid arthritis (RA), and depression. It is important to note definitions of multimorbidity can differ between </w:t>
      </w:r>
      <w:bookmarkStart w:id="78" w:name="_Int_2iLnC0z8"/>
      <w:r w:rsidRPr="740CDBE4">
        <w:rPr>
          <w:rStyle w:val="normaltextrun"/>
          <w:rFonts w:cstheme="minorBidi"/>
          <w:color w:val="000000" w:themeColor="text1"/>
        </w:rPr>
        <w:t>different sources</w:t>
      </w:r>
      <w:bookmarkEnd w:id="78"/>
      <w:r w:rsidRPr="740CDBE4">
        <w:rPr>
          <w:rStyle w:val="normaltextrun"/>
          <w:rFonts w:cstheme="minorBidi"/>
          <w:color w:val="000000" w:themeColor="text1"/>
        </w:rPr>
        <w:t xml:space="preserve"> and are based on the long-term conditions provided in the source data. </w:t>
      </w:r>
    </w:p>
    <w:p w14:paraId="1B3E6BEB" w14:textId="0B09A392" w:rsidR="00F03DB8" w:rsidRPr="00041056" w:rsidRDefault="00F03DB8" w:rsidP="00041056">
      <w:pPr>
        <w:pStyle w:val="paragraph"/>
        <w:spacing w:before="0" w:beforeAutospacing="0" w:after="0" w:afterAutospacing="0" w:line="276" w:lineRule="auto"/>
        <w:rPr>
          <w:rFonts w:asciiTheme="minorHAnsi" w:eastAsiaTheme="minorEastAsia" w:hAnsiTheme="minorHAnsi" w:cstheme="minorBidi"/>
        </w:rPr>
      </w:pPr>
      <w:r w:rsidRPr="740CDBE4">
        <w:rPr>
          <w:rStyle w:val="normaltextrun"/>
          <w:rFonts w:asciiTheme="minorHAnsi" w:eastAsiaTheme="minorEastAsia" w:hAnsiTheme="minorHAnsi" w:cstheme="minorBidi"/>
        </w:rPr>
        <w:t>The evidence for interventions was considered and adopted from various needs assessment undertaken in the last year across Kent and Medway.  </w:t>
      </w:r>
      <w:r w:rsidRPr="740CDBE4">
        <w:rPr>
          <w:rFonts w:asciiTheme="minorHAnsi" w:eastAsiaTheme="minorEastAsia" w:hAnsiTheme="minorHAnsi" w:cstheme="minorBidi"/>
        </w:rPr>
        <w:t xml:space="preserve">Figures </w:t>
      </w:r>
      <w:r w:rsidR="00B3426A" w:rsidRPr="740CDBE4">
        <w:rPr>
          <w:rFonts w:asciiTheme="minorHAnsi" w:eastAsiaTheme="minorEastAsia" w:hAnsiTheme="minorHAnsi" w:cstheme="minorBidi"/>
        </w:rPr>
        <w:t>49</w:t>
      </w:r>
      <w:r w:rsidRPr="740CDBE4">
        <w:rPr>
          <w:rFonts w:asciiTheme="minorHAnsi" w:eastAsiaTheme="minorEastAsia" w:hAnsiTheme="minorHAnsi" w:cstheme="minorBidi"/>
        </w:rPr>
        <w:t xml:space="preserve"> &amp; 5</w:t>
      </w:r>
      <w:r w:rsidR="00B3426A" w:rsidRPr="740CDBE4">
        <w:rPr>
          <w:rFonts w:asciiTheme="minorHAnsi" w:eastAsiaTheme="minorEastAsia" w:hAnsiTheme="minorHAnsi" w:cstheme="minorBidi"/>
        </w:rPr>
        <w:t>0</w:t>
      </w:r>
      <w:r w:rsidRPr="740CDBE4">
        <w:rPr>
          <w:rFonts w:asciiTheme="minorHAnsi" w:eastAsiaTheme="minorEastAsia" w:hAnsiTheme="minorHAnsi" w:cstheme="minorBidi"/>
        </w:rPr>
        <w:t xml:space="preserve"> shows</w:t>
      </w:r>
      <w:r w:rsidR="00F527A1" w:rsidRPr="740CDBE4">
        <w:rPr>
          <w:rFonts w:asciiTheme="minorHAnsi" w:eastAsiaTheme="minorEastAsia" w:hAnsiTheme="minorHAnsi" w:cstheme="minorBidi"/>
        </w:rPr>
        <w:t xml:space="preserve"> the</w:t>
      </w:r>
      <w:r w:rsidRPr="740CDBE4">
        <w:rPr>
          <w:rFonts w:asciiTheme="minorHAnsi" w:eastAsiaTheme="minorEastAsia" w:hAnsiTheme="minorHAnsi" w:cstheme="minorBidi"/>
        </w:rPr>
        <w:t xml:space="preserve"> latest data </w:t>
      </w:r>
      <w:r w:rsidRPr="740CDBE4">
        <w:rPr>
          <w:rFonts w:asciiTheme="minorHAnsi" w:eastAsiaTheme="minorEastAsia" w:hAnsiTheme="minorHAnsi" w:cstheme="minorBidi"/>
        </w:rPr>
        <w:lastRenderedPageBreak/>
        <w:t>for West Kent</w:t>
      </w:r>
      <w:r w:rsidR="00F527A1" w:rsidRPr="740CDBE4">
        <w:rPr>
          <w:rFonts w:asciiTheme="minorHAnsi" w:eastAsiaTheme="minorEastAsia" w:hAnsiTheme="minorHAnsi" w:cstheme="minorBidi"/>
        </w:rPr>
        <w:t>, where</w:t>
      </w:r>
      <w:r w:rsidRPr="740CDBE4">
        <w:rPr>
          <w:rFonts w:asciiTheme="minorHAnsi" w:eastAsiaTheme="minorEastAsia" w:hAnsiTheme="minorHAnsi" w:cstheme="minorBidi"/>
        </w:rPr>
        <w:t xml:space="preserve"> the distribution of multimorbidity by age and by single </w:t>
      </w:r>
      <w:bookmarkStart w:id="79" w:name="_Int_KLzHz39U"/>
      <w:r w:rsidRPr="740CDBE4">
        <w:rPr>
          <w:rFonts w:asciiTheme="minorHAnsi" w:eastAsiaTheme="minorEastAsia" w:hAnsiTheme="minorHAnsi" w:cstheme="minorBidi"/>
        </w:rPr>
        <w:t>LTC</w:t>
      </w:r>
      <w:bookmarkEnd w:id="79"/>
      <w:r w:rsidRPr="740CDBE4">
        <w:rPr>
          <w:rFonts w:asciiTheme="minorHAnsi" w:eastAsiaTheme="minorEastAsia" w:hAnsiTheme="minorHAnsi" w:cstheme="minorBidi"/>
        </w:rPr>
        <w:t xml:space="preserve"> remain </w:t>
      </w:r>
      <w:bookmarkStart w:id="80" w:name="_Int_n8Awovfn"/>
      <w:r w:rsidRPr="740CDBE4">
        <w:rPr>
          <w:rFonts w:asciiTheme="minorHAnsi" w:eastAsiaTheme="minorEastAsia" w:hAnsiTheme="minorHAnsi" w:cstheme="minorBidi"/>
        </w:rPr>
        <w:t>largely unchanged</w:t>
      </w:r>
      <w:bookmarkEnd w:id="80"/>
      <w:r w:rsidRPr="740CDBE4">
        <w:rPr>
          <w:rFonts w:asciiTheme="minorHAnsi" w:eastAsiaTheme="minorEastAsia" w:hAnsiTheme="minorHAnsi" w:cstheme="minorBidi"/>
        </w:rPr>
        <w:t xml:space="preserve"> and </w:t>
      </w:r>
      <w:bookmarkStart w:id="81" w:name="_Int_1sr63wQ7"/>
      <w:r w:rsidRPr="740CDBE4">
        <w:rPr>
          <w:rFonts w:asciiTheme="minorHAnsi" w:eastAsiaTheme="minorEastAsia" w:hAnsiTheme="minorHAnsi" w:cstheme="minorBidi"/>
        </w:rPr>
        <w:t>similar to</w:t>
      </w:r>
      <w:bookmarkEnd w:id="81"/>
      <w:r w:rsidRPr="740CDBE4">
        <w:rPr>
          <w:rFonts w:asciiTheme="minorHAnsi" w:eastAsiaTheme="minorEastAsia" w:hAnsiTheme="minorHAnsi" w:cstheme="minorBidi"/>
        </w:rPr>
        <w:t xml:space="preserve"> national trends.</w:t>
      </w:r>
    </w:p>
    <w:p w14:paraId="44BEE366" w14:textId="77777777" w:rsidR="00F03DB8" w:rsidRDefault="00F03DB8" w:rsidP="00041056">
      <w:r>
        <w:t>By age 50 just over 40% have at least 1 LTC and 10% have 2.  West Kent is adopting a population management approach to frailty in older adults.  Research shows increasing frailty in middle-aged adults, but progression can be slowed through risk-factor modification.  A population health management approach could be considered for the ‘younger frail’ (aged 50-65) to identify and proactively signpost individuals at risk into West Kent health and wellbeing services, within a social prescribing model.</w:t>
      </w:r>
    </w:p>
    <w:p w14:paraId="2A1A89FC" w14:textId="3D6F995F" w:rsidR="004B3D2D" w:rsidRDefault="00F03DB8" w:rsidP="00041056">
      <w:pPr>
        <w:rPr>
          <w:b/>
          <w:bCs/>
        </w:rPr>
      </w:pPr>
      <w:r w:rsidRPr="00041056">
        <w:rPr>
          <w:b/>
          <w:bCs/>
        </w:rPr>
        <w:t xml:space="preserve">Figure </w:t>
      </w:r>
      <w:r w:rsidR="00B3426A">
        <w:rPr>
          <w:b/>
          <w:bCs/>
        </w:rPr>
        <w:t>49</w:t>
      </w:r>
      <w:r w:rsidR="00041056" w:rsidRPr="00041056">
        <w:rPr>
          <w:b/>
          <w:bCs/>
        </w:rPr>
        <w:t xml:space="preserve"> Number of LTCs by age, West Kent HCP residents, September 2022</w:t>
      </w:r>
      <w:r>
        <w:rPr>
          <w:noProof/>
        </w:rPr>
        <w:drawing>
          <wp:inline distT="0" distB="0" distL="0" distR="0" wp14:anchorId="4ACE4B5C" wp14:editId="10183442">
            <wp:extent cx="5537047" cy="3190875"/>
            <wp:effectExtent l="0" t="0" r="6985" b="0"/>
            <wp:docPr id="14" name="Picture 14" descr="Chart showing the numbers of long term conditions by age. at age 55, over 50% of West Kent residents have 1 or more long-term conditions. At age 78, over half have 2 or m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showing the numbers of long term conditions by age. at age 55, over 50% of West Kent residents have 1 or more long-term conditions. At age 78, over half have 2 or more.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551817" cy="3199387"/>
                    </a:xfrm>
                    <a:prstGeom prst="rect">
                      <a:avLst/>
                    </a:prstGeom>
                    <a:noFill/>
                  </pic:spPr>
                </pic:pic>
              </a:graphicData>
            </a:graphic>
          </wp:inline>
        </w:drawing>
      </w:r>
    </w:p>
    <w:p w14:paraId="7D5B9C70" w14:textId="77777777" w:rsidR="004B3D2D" w:rsidRDefault="004B3D2D">
      <w:pPr>
        <w:spacing w:before="0" w:after="200"/>
        <w:rPr>
          <w:b/>
          <w:bCs/>
        </w:rPr>
      </w:pPr>
      <w:r>
        <w:rPr>
          <w:b/>
          <w:bCs/>
        </w:rPr>
        <w:br w:type="page"/>
      </w:r>
    </w:p>
    <w:p w14:paraId="572C48AF" w14:textId="7B9C2F20" w:rsidR="00F03DB8" w:rsidRPr="00041056" w:rsidRDefault="00F03DB8" w:rsidP="008359CE">
      <w:pPr>
        <w:spacing w:before="0" w:after="200"/>
        <w:rPr>
          <w:rFonts w:ascii="Calibri" w:eastAsia="Calibri" w:hAnsi="Calibri" w:cs="Calibri"/>
          <w:b/>
          <w:bCs/>
          <w:color w:val="000000" w:themeColor="text1"/>
        </w:rPr>
      </w:pPr>
      <w:r w:rsidRPr="00A9396C">
        <w:rPr>
          <w:rFonts w:ascii="Calibri" w:eastAsia="Calibri" w:hAnsi="Calibri" w:cs="Calibri"/>
          <w:b/>
          <w:color w:val="000000" w:themeColor="text1"/>
        </w:rPr>
        <w:lastRenderedPageBreak/>
        <w:t>Figure 5</w:t>
      </w:r>
      <w:r w:rsidR="00B3426A">
        <w:rPr>
          <w:rFonts w:ascii="Calibri" w:eastAsia="Calibri" w:hAnsi="Calibri" w:cs="Calibri"/>
          <w:b/>
          <w:color w:val="000000" w:themeColor="text1"/>
        </w:rPr>
        <w:t>0</w:t>
      </w:r>
      <w:r w:rsidR="00041056" w:rsidRPr="00A9396C">
        <w:rPr>
          <w:rFonts w:ascii="Calibri" w:eastAsia="Calibri" w:hAnsi="Calibri" w:cs="Calibri"/>
          <w:b/>
          <w:color w:val="000000" w:themeColor="text1"/>
        </w:rPr>
        <w:t xml:space="preserve"> Count of LTCs by main condition, West Kent residents, September 2022</w:t>
      </w:r>
    </w:p>
    <w:p w14:paraId="58ED4DFF" w14:textId="77777777" w:rsidR="00F03DB8" w:rsidRDefault="00F03DB8" w:rsidP="00041056">
      <w:pPr>
        <w:rPr>
          <w:rFonts w:ascii="Calibri" w:eastAsia="Calibri" w:hAnsi="Calibri" w:cs="Calibri"/>
          <w:color w:val="000000" w:themeColor="text1"/>
        </w:rPr>
      </w:pPr>
      <w:r>
        <w:rPr>
          <w:noProof/>
        </w:rPr>
        <w:drawing>
          <wp:inline distT="0" distB="0" distL="0" distR="0" wp14:anchorId="653442AF" wp14:editId="1FE056BB">
            <wp:extent cx="5057775" cy="3376756"/>
            <wp:effectExtent l="0" t="0" r="0" b="0"/>
            <wp:docPr id="15" name="Picture 15" descr="Data contained in Figure 5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ata contained in Figure 51">
                      <a:extLst>
                        <a:ext uri="{C183D7F6-B498-43B3-948B-1728B52AA6E4}">
                          <adec:decorative xmlns:adec="http://schemas.microsoft.com/office/drawing/2017/decorative" val="0"/>
                        </a:ext>
                      </a:extLst>
                    </pic:cNvPr>
                    <pic:cNvPicPr/>
                  </pic:nvPicPr>
                  <pic:blipFill>
                    <a:blip r:embed="rId97">
                      <a:extLst>
                        <a:ext uri="{28A0092B-C50C-407E-A947-70E740481C1C}">
                          <a14:useLocalDpi xmlns:a14="http://schemas.microsoft.com/office/drawing/2010/main" val="0"/>
                        </a:ext>
                      </a:extLst>
                    </a:blip>
                    <a:stretch>
                      <a:fillRect/>
                    </a:stretch>
                  </pic:blipFill>
                  <pic:spPr>
                    <a:xfrm>
                      <a:off x="0" y="0"/>
                      <a:ext cx="5084082" cy="3394319"/>
                    </a:xfrm>
                    <a:prstGeom prst="rect">
                      <a:avLst/>
                    </a:prstGeom>
                  </pic:spPr>
                </pic:pic>
              </a:graphicData>
            </a:graphic>
          </wp:inline>
        </w:drawing>
      </w:r>
    </w:p>
    <w:p w14:paraId="1B5FF721" w14:textId="0041D1FA" w:rsidR="008252BA" w:rsidRPr="009D1D7C" w:rsidRDefault="008252BA" w:rsidP="00041056">
      <w:pPr>
        <w:rPr>
          <w:rFonts w:ascii="Calibri" w:eastAsia="Calibri" w:hAnsi="Calibri" w:cs="Calibri"/>
          <w:b/>
          <w:bCs/>
          <w:color w:val="000000" w:themeColor="text1"/>
        </w:rPr>
      </w:pPr>
      <w:r w:rsidRPr="009D1D7C">
        <w:rPr>
          <w:rFonts w:ascii="Calibri" w:eastAsia="Calibri" w:hAnsi="Calibri" w:cs="Calibri"/>
          <w:b/>
          <w:bCs/>
          <w:color w:val="000000" w:themeColor="text1"/>
        </w:rPr>
        <w:t>Figure 5</w:t>
      </w:r>
      <w:r w:rsidR="00B3426A" w:rsidRPr="009D1D7C">
        <w:rPr>
          <w:rFonts w:ascii="Calibri" w:eastAsia="Calibri" w:hAnsi="Calibri" w:cs="Calibri"/>
          <w:b/>
          <w:bCs/>
          <w:color w:val="000000" w:themeColor="text1"/>
        </w:rPr>
        <w:t>1</w:t>
      </w:r>
      <w:r w:rsidRPr="009D1D7C">
        <w:rPr>
          <w:rFonts w:ascii="Calibri" w:eastAsia="Calibri" w:hAnsi="Calibri" w:cs="Calibri"/>
          <w:b/>
          <w:bCs/>
          <w:color w:val="000000" w:themeColor="text1"/>
        </w:rPr>
        <w:t xml:space="preserve"> </w:t>
      </w:r>
      <w:r w:rsidR="00B7630E" w:rsidRPr="009D1D7C">
        <w:rPr>
          <w:rFonts w:ascii="Calibri" w:eastAsia="Calibri" w:hAnsi="Calibri" w:cs="Calibri"/>
          <w:b/>
          <w:bCs/>
          <w:color w:val="000000" w:themeColor="text1"/>
        </w:rPr>
        <w:t>Table</w:t>
      </w:r>
      <w:r w:rsidRPr="009D1D7C">
        <w:rPr>
          <w:rFonts w:ascii="Calibri" w:eastAsia="Calibri" w:hAnsi="Calibri" w:cs="Calibri"/>
          <w:b/>
          <w:bCs/>
          <w:color w:val="000000" w:themeColor="text1"/>
        </w:rPr>
        <w:t xml:space="preserve"> of LTCs by main condition, West Kent HCP residents</w:t>
      </w:r>
    </w:p>
    <w:tbl>
      <w:tblPr>
        <w:tblW w:w="9771" w:type="dxa"/>
        <w:tblInd w:w="118" w:type="dxa"/>
        <w:tblLook w:val="04A0" w:firstRow="1" w:lastRow="0" w:firstColumn="1" w:lastColumn="0" w:noHBand="0" w:noVBand="1"/>
      </w:tblPr>
      <w:tblGrid>
        <w:gridCol w:w="2967"/>
        <w:gridCol w:w="992"/>
        <w:gridCol w:w="939"/>
        <w:gridCol w:w="904"/>
        <w:gridCol w:w="992"/>
        <w:gridCol w:w="993"/>
        <w:gridCol w:w="850"/>
        <w:gridCol w:w="1134"/>
      </w:tblGrid>
      <w:tr w:rsidR="00B7630E" w:rsidRPr="003A00CB" w14:paraId="08C88B13" w14:textId="77777777" w:rsidTr="00B7630E">
        <w:trPr>
          <w:trHeight w:val="570"/>
        </w:trPr>
        <w:tc>
          <w:tcPr>
            <w:tcW w:w="2967" w:type="dxa"/>
            <w:tcBorders>
              <w:top w:val="single" w:sz="8" w:space="0" w:color="auto"/>
              <w:left w:val="single" w:sz="8" w:space="0" w:color="auto"/>
              <w:bottom w:val="single" w:sz="8" w:space="0" w:color="auto"/>
              <w:right w:val="single" w:sz="4" w:space="0" w:color="auto"/>
            </w:tcBorders>
            <w:shd w:val="clear" w:color="auto" w:fill="2D7C82"/>
            <w:noWrap/>
            <w:vAlign w:val="center"/>
            <w:hideMark/>
          </w:tcPr>
          <w:p w14:paraId="4486DD7F" w14:textId="77777777" w:rsidR="003A00CB" w:rsidRPr="003A00CB" w:rsidRDefault="003A00CB" w:rsidP="003A00CB">
            <w:pPr>
              <w:spacing w:before="0" w:after="0" w:line="240" w:lineRule="auto"/>
              <w:rPr>
                <w:rFonts w:ascii="Arial" w:eastAsia="Times New Roman" w:hAnsi="Arial"/>
                <w:b/>
                <w:bCs/>
                <w:color w:val="FFFFFF" w:themeColor="background1"/>
                <w:sz w:val="22"/>
                <w:szCs w:val="22"/>
              </w:rPr>
            </w:pPr>
            <w:bookmarkStart w:id="82" w:name="_Int_tquZY9Rb"/>
            <w:r w:rsidRPr="003A00CB">
              <w:rPr>
                <w:rFonts w:ascii="Arial" w:eastAsia="Times New Roman" w:hAnsi="Arial"/>
                <w:b/>
                <w:bCs/>
                <w:color w:val="FFFFFF" w:themeColor="background1"/>
                <w:sz w:val="22"/>
                <w:szCs w:val="22"/>
              </w:rPr>
              <w:t>LTC</w:t>
            </w:r>
            <w:bookmarkEnd w:id="82"/>
            <w:r w:rsidRPr="003A00CB">
              <w:rPr>
                <w:rFonts w:ascii="Arial" w:eastAsia="Times New Roman" w:hAnsi="Arial"/>
                <w:b/>
                <w:bCs/>
                <w:color w:val="FFFFFF" w:themeColor="background1"/>
                <w:sz w:val="22"/>
                <w:szCs w:val="22"/>
              </w:rPr>
              <w:t xml:space="preserve"> Count</w:t>
            </w:r>
          </w:p>
        </w:tc>
        <w:tc>
          <w:tcPr>
            <w:tcW w:w="992" w:type="dxa"/>
            <w:tcBorders>
              <w:top w:val="single" w:sz="8" w:space="0" w:color="auto"/>
              <w:left w:val="nil"/>
              <w:bottom w:val="single" w:sz="8" w:space="0" w:color="auto"/>
              <w:right w:val="single" w:sz="4" w:space="0" w:color="auto"/>
            </w:tcBorders>
            <w:shd w:val="clear" w:color="auto" w:fill="2D7C82"/>
            <w:noWrap/>
            <w:vAlign w:val="center"/>
            <w:hideMark/>
          </w:tcPr>
          <w:p w14:paraId="04EC1F71" w14:textId="77777777" w:rsidR="003A00CB" w:rsidRPr="003A00CB" w:rsidRDefault="003A00CB" w:rsidP="003A00CB">
            <w:pPr>
              <w:spacing w:before="0" w:after="0" w:line="240" w:lineRule="auto"/>
              <w:jc w:val="center"/>
              <w:rPr>
                <w:rFonts w:ascii="Arial" w:eastAsia="Times New Roman" w:hAnsi="Arial"/>
                <w:b/>
                <w:bCs/>
                <w:color w:val="FFFFFF" w:themeColor="background1"/>
                <w:sz w:val="22"/>
                <w:szCs w:val="22"/>
              </w:rPr>
            </w:pPr>
            <w:r w:rsidRPr="003A00CB">
              <w:rPr>
                <w:rFonts w:ascii="Arial" w:eastAsia="Times New Roman" w:hAnsi="Arial"/>
                <w:b/>
                <w:bCs/>
                <w:color w:val="FFFFFF" w:themeColor="background1"/>
                <w:sz w:val="22"/>
                <w:szCs w:val="22"/>
              </w:rPr>
              <w:t>0</w:t>
            </w:r>
          </w:p>
        </w:tc>
        <w:tc>
          <w:tcPr>
            <w:tcW w:w="939" w:type="dxa"/>
            <w:tcBorders>
              <w:top w:val="single" w:sz="8" w:space="0" w:color="auto"/>
              <w:left w:val="nil"/>
              <w:bottom w:val="single" w:sz="8" w:space="0" w:color="auto"/>
              <w:right w:val="single" w:sz="4" w:space="0" w:color="auto"/>
            </w:tcBorders>
            <w:shd w:val="clear" w:color="auto" w:fill="2D7C82"/>
            <w:noWrap/>
            <w:vAlign w:val="center"/>
            <w:hideMark/>
          </w:tcPr>
          <w:p w14:paraId="717EDE68" w14:textId="77777777" w:rsidR="003A00CB" w:rsidRPr="003A00CB" w:rsidRDefault="003A00CB" w:rsidP="003A00CB">
            <w:pPr>
              <w:spacing w:before="0" w:after="0" w:line="240" w:lineRule="auto"/>
              <w:jc w:val="center"/>
              <w:rPr>
                <w:rFonts w:ascii="Arial" w:eastAsia="Times New Roman" w:hAnsi="Arial"/>
                <w:b/>
                <w:bCs/>
                <w:color w:val="FFFFFF" w:themeColor="background1"/>
                <w:sz w:val="22"/>
                <w:szCs w:val="22"/>
              </w:rPr>
            </w:pPr>
            <w:r w:rsidRPr="003A00CB">
              <w:rPr>
                <w:rFonts w:ascii="Arial" w:eastAsia="Times New Roman" w:hAnsi="Arial"/>
                <w:b/>
                <w:bCs/>
                <w:color w:val="FFFFFF" w:themeColor="background1"/>
                <w:sz w:val="22"/>
                <w:szCs w:val="22"/>
              </w:rPr>
              <w:t>1</w:t>
            </w:r>
          </w:p>
        </w:tc>
        <w:tc>
          <w:tcPr>
            <w:tcW w:w="904" w:type="dxa"/>
            <w:tcBorders>
              <w:top w:val="single" w:sz="8" w:space="0" w:color="auto"/>
              <w:left w:val="nil"/>
              <w:bottom w:val="single" w:sz="8" w:space="0" w:color="auto"/>
              <w:right w:val="single" w:sz="4" w:space="0" w:color="auto"/>
            </w:tcBorders>
            <w:shd w:val="clear" w:color="auto" w:fill="2D7C82"/>
            <w:noWrap/>
            <w:vAlign w:val="center"/>
            <w:hideMark/>
          </w:tcPr>
          <w:p w14:paraId="2B272A01" w14:textId="77777777" w:rsidR="003A00CB" w:rsidRPr="003A00CB" w:rsidRDefault="003A00CB" w:rsidP="003A00CB">
            <w:pPr>
              <w:spacing w:before="0" w:after="0" w:line="240" w:lineRule="auto"/>
              <w:jc w:val="center"/>
              <w:rPr>
                <w:rFonts w:ascii="Arial" w:eastAsia="Times New Roman" w:hAnsi="Arial"/>
                <w:b/>
                <w:bCs/>
                <w:color w:val="FFFFFF" w:themeColor="background1"/>
                <w:sz w:val="22"/>
                <w:szCs w:val="22"/>
              </w:rPr>
            </w:pPr>
            <w:r w:rsidRPr="003A00CB">
              <w:rPr>
                <w:rFonts w:ascii="Arial" w:eastAsia="Times New Roman" w:hAnsi="Arial"/>
                <w:b/>
                <w:bCs/>
                <w:color w:val="FFFFFF" w:themeColor="background1"/>
                <w:sz w:val="22"/>
                <w:szCs w:val="22"/>
              </w:rPr>
              <w:t>2</w:t>
            </w:r>
          </w:p>
        </w:tc>
        <w:tc>
          <w:tcPr>
            <w:tcW w:w="992" w:type="dxa"/>
            <w:tcBorders>
              <w:top w:val="single" w:sz="8" w:space="0" w:color="auto"/>
              <w:left w:val="nil"/>
              <w:bottom w:val="single" w:sz="8" w:space="0" w:color="auto"/>
              <w:right w:val="single" w:sz="4" w:space="0" w:color="auto"/>
            </w:tcBorders>
            <w:shd w:val="clear" w:color="auto" w:fill="2D7C82"/>
            <w:noWrap/>
            <w:vAlign w:val="center"/>
            <w:hideMark/>
          </w:tcPr>
          <w:p w14:paraId="18832356" w14:textId="77777777" w:rsidR="003A00CB" w:rsidRPr="003A00CB" w:rsidRDefault="003A00CB" w:rsidP="003A00CB">
            <w:pPr>
              <w:spacing w:before="0" w:after="0" w:line="240" w:lineRule="auto"/>
              <w:jc w:val="center"/>
              <w:rPr>
                <w:rFonts w:ascii="Arial" w:eastAsia="Times New Roman" w:hAnsi="Arial"/>
                <w:b/>
                <w:bCs/>
                <w:color w:val="FFFFFF" w:themeColor="background1"/>
                <w:sz w:val="22"/>
                <w:szCs w:val="22"/>
              </w:rPr>
            </w:pPr>
            <w:r w:rsidRPr="003A00CB">
              <w:rPr>
                <w:rFonts w:ascii="Arial" w:eastAsia="Times New Roman" w:hAnsi="Arial"/>
                <w:b/>
                <w:bCs/>
                <w:color w:val="FFFFFF" w:themeColor="background1"/>
                <w:sz w:val="22"/>
                <w:szCs w:val="22"/>
              </w:rPr>
              <w:t>3</w:t>
            </w:r>
          </w:p>
        </w:tc>
        <w:tc>
          <w:tcPr>
            <w:tcW w:w="993" w:type="dxa"/>
            <w:tcBorders>
              <w:top w:val="single" w:sz="8" w:space="0" w:color="auto"/>
              <w:left w:val="nil"/>
              <w:bottom w:val="single" w:sz="8" w:space="0" w:color="auto"/>
              <w:right w:val="single" w:sz="4" w:space="0" w:color="auto"/>
            </w:tcBorders>
            <w:shd w:val="clear" w:color="auto" w:fill="2D7C82"/>
            <w:noWrap/>
            <w:vAlign w:val="center"/>
            <w:hideMark/>
          </w:tcPr>
          <w:p w14:paraId="79EF4BD7" w14:textId="77777777" w:rsidR="003A00CB" w:rsidRPr="003A00CB" w:rsidRDefault="003A00CB" w:rsidP="003A00CB">
            <w:pPr>
              <w:spacing w:before="0" w:after="0" w:line="240" w:lineRule="auto"/>
              <w:jc w:val="center"/>
              <w:rPr>
                <w:rFonts w:ascii="Arial" w:eastAsia="Times New Roman" w:hAnsi="Arial"/>
                <w:b/>
                <w:bCs/>
                <w:color w:val="FFFFFF" w:themeColor="background1"/>
                <w:sz w:val="22"/>
                <w:szCs w:val="22"/>
              </w:rPr>
            </w:pPr>
            <w:r w:rsidRPr="003A00CB">
              <w:rPr>
                <w:rFonts w:ascii="Arial" w:eastAsia="Times New Roman" w:hAnsi="Arial"/>
                <w:b/>
                <w:bCs/>
                <w:color w:val="FFFFFF" w:themeColor="background1"/>
                <w:sz w:val="22"/>
                <w:szCs w:val="22"/>
              </w:rPr>
              <w:t>4</w:t>
            </w:r>
          </w:p>
        </w:tc>
        <w:tc>
          <w:tcPr>
            <w:tcW w:w="850" w:type="dxa"/>
            <w:tcBorders>
              <w:top w:val="single" w:sz="8" w:space="0" w:color="auto"/>
              <w:left w:val="nil"/>
              <w:bottom w:val="single" w:sz="8" w:space="0" w:color="auto"/>
              <w:right w:val="single" w:sz="4" w:space="0" w:color="auto"/>
            </w:tcBorders>
            <w:shd w:val="clear" w:color="auto" w:fill="2D7C82"/>
            <w:noWrap/>
            <w:vAlign w:val="center"/>
            <w:hideMark/>
          </w:tcPr>
          <w:p w14:paraId="6C3D80BF" w14:textId="77777777" w:rsidR="003A00CB" w:rsidRPr="003A00CB" w:rsidRDefault="003A00CB" w:rsidP="003A00CB">
            <w:pPr>
              <w:spacing w:before="0" w:after="0" w:line="240" w:lineRule="auto"/>
              <w:jc w:val="center"/>
              <w:rPr>
                <w:rFonts w:ascii="Arial" w:eastAsia="Times New Roman" w:hAnsi="Arial"/>
                <w:b/>
                <w:bCs/>
                <w:color w:val="FFFFFF" w:themeColor="background1"/>
                <w:sz w:val="22"/>
                <w:szCs w:val="22"/>
              </w:rPr>
            </w:pPr>
            <w:r w:rsidRPr="003A00CB">
              <w:rPr>
                <w:rFonts w:ascii="Arial" w:eastAsia="Times New Roman" w:hAnsi="Arial"/>
                <w:b/>
                <w:bCs/>
                <w:color w:val="FFFFFF" w:themeColor="background1"/>
                <w:sz w:val="22"/>
                <w:szCs w:val="22"/>
              </w:rPr>
              <w:t>5+</w:t>
            </w:r>
          </w:p>
        </w:tc>
        <w:tc>
          <w:tcPr>
            <w:tcW w:w="1134" w:type="dxa"/>
            <w:tcBorders>
              <w:top w:val="single" w:sz="8" w:space="0" w:color="auto"/>
              <w:left w:val="nil"/>
              <w:bottom w:val="single" w:sz="8" w:space="0" w:color="auto"/>
              <w:right w:val="single" w:sz="8" w:space="0" w:color="auto"/>
            </w:tcBorders>
            <w:shd w:val="clear" w:color="auto" w:fill="2D7C82"/>
            <w:noWrap/>
            <w:vAlign w:val="center"/>
            <w:hideMark/>
          </w:tcPr>
          <w:p w14:paraId="0E811327" w14:textId="77777777" w:rsidR="003A00CB" w:rsidRPr="003A00CB" w:rsidRDefault="003A00CB" w:rsidP="003A00CB">
            <w:pPr>
              <w:spacing w:before="0" w:after="0" w:line="240" w:lineRule="auto"/>
              <w:jc w:val="center"/>
              <w:rPr>
                <w:rFonts w:ascii="Arial" w:eastAsia="Times New Roman" w:hAnsi="Arial"/>
                <w:b/>
                <w:bCs/>
                <w:color w:val="FFFFFF" w:themeColor="background1"/>
                <w:sz w:val="22"/>
                <w:szCs w:val="22"/>
              </w:rPr>
            </w:pPr>
            <w:r w:rsidRPr="003A00CB">
              <w:rPr>
                <w:rFonts w:ascii="Arial" w:eastAsia="Times New Roman" w:hAnsi="Arial"/>
                <w:b/>
                <w:bCs/>
                <w:color w:val="FFFFFF" w:themeColor="background1"/>
                <w:sz w:val="22"/>
                <w:szCs w:val="22"/>
              </w:rPr>
              <w:t>Total</w:t>
            </w:r>
          </w:p>
        </w:tc>
      </w:tr>
      <w:tr w:rsidR="00B7630E" w:rsidRPr="003A00CB" w14:paraId="0A3EA6AA"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108C0B75"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Asthma</w:t>
            </w:r>
          </w:p>
        </w:tc>
        <w:tc>
          <w:tcPr>
            <w:tcW w:w="992" w:type="dxa"/>
            <w:tcBorders>
              <w:top w:val="nil"/>
              <w:left w:val="nil"/>
              <w:bottom w:val="single" w:sz="4" w:space="0" w:color="auto"/>
              <w:right w:val="single" w:sz="4" w:space="0" w:color="auto"/>
            </w:tcBorders>
            <w:shd w:val="clear" w:color="auto" w:fill="DDF1F3"/>
            <w:noWrap/>
            <w:vAlign w:val="center"/>
            <w:hideMark/>
          </w:tcPr>
          <w:p w14:paraId="67A039C7"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26,714</w:t>
            </w:r>
          </w:p>
        </w:tc>
        <w:tc>
          <w:tcPr>
            <w:tcW w:w="939" w:type="dxa"/>
            <w:tcBorders>
              <w:top w:val="nil"/>
              <w:left w:val="nil"/>
              <w:bottom w:val="single" w:sz="4" w:space="0" w:color="auto"/>
              <w:right w:val="single" w:sz="4" w:space="0" w:color="auto"/>
            </w:tcBorders>
            <w:shd w:val="clear" w:color="auto" w:fill="DDF1F3"/>
            <w:noWrap/>
            <w:vAlign w:val="center"/>
            <w:hideMark/>
          </w:tcPr>
          <w:p w14:paraId="08D582EE"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13,884</w:t>
            </w:r>
          </w:p>
        </w:tc>
        <w:tc>
          <w:tcPr>
            <w:tcW w:w="904" w:type="dxa"/>
            <w:tcBorders>
              <w:top w:val="nil"/>
              <w:left w:val="nil"/>
              <w:bottom w:val="single" w:sz="4" w:space="0" w:color="auto"/>
              <w:right w:val="single" w:sz="4" w:space="0" w:color="auto"/>
            </w:tcBorders>
            <w:shd w:val="clear" w:color="auto" w:fill="DDF1F3"/>
            <w:noWrap/>
            <w:vAlign w:val="center"/>
            <w:hideMark/>
          </w:tcPr>
          <w:p w14:paraId="020C8CB4"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6,290</w:t>
            </w:r>
          </w:p>
        </w:tc>
        <w:tc>
          <w:tcPr>
            <w:tcW w:w="992" w:type="dxa"/>
            <w:tcBorders>
              <w:top w:val="nil"/>
              <w:left w:val="nil"/>
              <w:bottom w:val="single" w:sz="4" w:space="0" w:color="auto"/>
              <w:right w:val="single" w:sz="4" w:space="0" w:color="auto"/>
            </w:tcBorders>
            <w:shd w:val="clear" w:color="auto" w:fill="DDF1F3"/>
            <w:noWrap/>
            <w:vAlign w:val="center"/>
            <w:hideMark/>
          </w:tcPr>
          <w:p w14:paraId="367E774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2,903</w:t>
            </w:r>
          </w:p>
        </w:tc>
        <w:tc>
          <w:tcPr>
            <w:tcW w:w="993" w:type="dxa"/>
            <w:tcBorders>
              <w:top w:val="nil"/>
              <w:left w:val="nil"/>
              <w:bottom w:val="single" w:sz="4" w:space="0" w:color="auto"/>
              <w:right w:val="single" w:sz="4" w:space="0" w:color="auto"/>
            </w:tcBorders>
            <w:shd w:val="clear" w:color="auto" w:fill="DDF1F3"/>
            <w:noWrap/>
            <w:vAlign w:val="center"/>
            <w:hideMark/>
          </w:tcPr>
          <w:p w14:paraId="2CB1FCB7"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1,452</w:t>
            </w:r>
          </w:p>
        </w:tc>
        <w:tc>
          <w:tcPr>
            <w:tcW w:w="850" w:type="dxa"/>
            <w:tcBorders>
              <w:top w:val="nil"/>
              <w:left w:val="nil"/>
              <w:bottom w:val="single" w:sz="4" w:space="0" w:color="auto"/>
              <w:right w:val="single" w:sz="4" w:space="0" w:color="auto"/>
            </w:tcBorders>
            <w:shd w:val="clear" w:color="auto" w:fill="DDF1F3"/>
            <w:noWrap/>
            <w:vAlign w:val="center"/>
            <w:hideMark/>
          </w:tcPr>
          <w:p w14:paraId="4338CBE0"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1,048</w:t>
            </w:r>
          </w:p>
        </w:tc>
        <w:tc>
          <w:tcPr>
            <w:tcW w:w="1134" w:type="dxa"/>
            <w:tcBorders>
              <w:top w:val="nil"/>
              <w:left w:val="nil"/>
              <w:bottom w:val="single" w:sz="4" w:space="0" w:color="auto"/>
              <w:right w:val="single" w:sz="8" w:space="0" w:color="auto"/>
            </w:tcBorders>
            <w:shd w:val="clear" w:color="auto" w:fill="DDF1F3"/>
            <w:noWrap/>
            <w:vAlign w:val="center"/>
            <w:hideMark/>
          </w:tcPr>
          <w:p w14:paraId="74F23094"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52,291</w:t>
            </w:r>
          </w:p>
        </w:tc>
      </w:tr>
      <w:tr w:rsidR="00B7630E" w:rsidRPr="003A00CB" w14:paraId="31D20FEE"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208C75D7"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Cancer</w:t>
            </w:r>
          </w:p>
        </w:tc>
        <w:tc>
          <w:tcPr>
            <w:tcW w:w="992" w:type="dxa"/>
            <w:tcBorders>
              <w:top w:val="nil"/>
              <w:left w:val="nil"/>
              <w:bottom w:val="single" w:sz="4" w:space="0" w:color="auto"/>
              <w:right w:val="single" w:sz="4" w:space="0" w:color="auto"/>
            </w:tcBorders>
            <w:shd w:val="clear" w:color="auto" w:fill="DDF1F3"/>
            <w:noWrap/>
            <w:vAlign w:val="center"/>
            <w:hideMark/>
          </w:tcPr>
          <w:p w14:paraId="479187C8"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5,155</w:t>
            </w:r>
          </w:p>
        </w:tc>
        <w:tc>
          <w:tcPr>
            <w:tcW w:w="939" w:type="dxa"/>
            <w:tcBorders>
              <w:top w:val="nil"/>
              <w:left w:val="nil"/>
              <w:bottom w:val="single" w:sz="4" w:space="0" w:color="auto"/>
              <w:right w:val="single" w:sz="4" w:space="0" w:color="auto"/>
            </w:tcBorders>
            <w:shd w:val="clear" w:color="auto" w:fill="DDF1F3"/>
            <w:noWrap/>
            <w:vAlign w:val="center"/>
            <w:hideMark/>
          </w:tcPr>
          <w:p w14:paraId="3512D2D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5,764</w:t>
            </w:r>
          </w:p>
        </w:tc>
        <w:tc>
          <w:tcPr>
            <w:tcW w:w="904" w:type="dxa"/>
            <w:tcBorders>
              <w:top w:val="nil"/>
              <w:left w:val="nil"/>
              <w:bottom w:val="single" w:sz="4" w:space="0" w:color="auto"/>
              <w:right w:val="single" w:sz="4" w:space="0" w:color="auto"/>
            </w:tcBorders>
            <w:shd w:val="clear" w:color="auto" w:fill="DDF1F3"/>
            <w:noWrap/>
            <w:vAlign w:val="center"/>
            <w:hideMark/>
          </w:tcPr>
          <w:p w14:paraId="2E2FF52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4,363</w:t>
            </w:r>
          </w:p>
        </w:tc>
        <w:tc>
          <w:tcPr>
            <w:tcW w:w="992" w:type="dxa"/>
            <w:tcBorders>
              <w:top w:val="nil"/>
              <w:left w:val="nil"/>
              <w:bottom w:val="single" w:sz="4" w:space="0" w:color="auto"/>
              <w:right w:val="single" w:sz="4" w:space="0" w:color="auto"/>
            </w:tcBorders>
            <w:shd w:val="clear" w:color="auto" w:fill="DDF1F3"/>
            <w:noWrap/>
            <w:vAlign w:val="center"/>
            <w:hideMark/>
          </w:tcPr>
          <w:p w14:paraId="00DD7C1E"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2,690</w:t>
            </w:r>
          </w:p>
        </w:tc>
        <w:tc>
          <w:tcPr>
            <w:tcW w:w="993" w:type="dxa"/>
            <w:tcBorders>
              <w:top w:val="nil"/>
              <w:left w:val="nil"/>
              <w:bottom w:val="single" w:sz="4" w:space="0" w:color="auto"/>
              <w:right w:val="single" w:sz="4" w:space="0" w:color="auto"/>
            </w:tcBorders>
            <w:shd w:val="clear" w:color="auto" w:fill="DDF1F3"/>
            <w:noWrap/>
            <w:vAlign w:val="center"/>
            <w:hideMark/>
          </w:tcPr>
          <w:p w14:paraId="4BEF4A4A"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1,407</w:t>
            </w:r>
          </w:p>
        </w:tc>
        <w:tc>
          <w:tcPr>
            <w:tcW w:w="850" w:type="dxa"/>
            <w:tcBorders>
              <w:top w:val="nil"/>
              <w:left w:val="nil"/>
              <w:bottom w:val="single" w:sz="4" w:space="0" w:color="auto"/>
              <w:right w:val="single" w:sz="4" w:space="0" w:color="auto"/>
            </w:tcBorders>
            <w:shd w:val="clear" w:color="auto" w:fill="DDF1F3"/>
            <w:noWrap/>
            <w:vAlign w:val="center"/>
            <w:hideMark/>
          </w:tcPr>
          <w:p w14:paraId="3601C5FC"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1,057</w:t>
            </w:r>
          </w:p>
        </w:tc>
        <w:tc>
          <w:tcPr>
            <w:tcW w:w="1134" w:type="dxa"/>
            <w:tcBorders>
              <w:top w:val="nil"/>
              <w:left w:val="nil"/>
              <w:bottom w:val="single" w:sz="4" w:space="0" w:color="auto"/>
              <w:right w:val="single" w:sz="8" w:space="0" w:color="auto"/>
            </w:tcBorders>
            <w:shd w:val="clear" w:color="auto" w:fill="DDF1F3"/>
            <w:noWrap/>
            <w:vAlign w:val="center"/>
            <w:hideMark/>
          </w:tcPr>
          <w:p w14:paraId="7D15365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20,436</w:t>
            </w:r>
          </w:p>
        </w:tc>
      </w:tr>
      <w:tr w:rsidR="00B7630E" w:rsidRPr="003A00CB" w14:paraId="50662518"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62B9E803"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Chronic Kidney Disease</w:t>
            </w:r>
          </w:p>
        </w:tc>
        <w:tc>
          <w:tcPr>
            <w:tcW w:w="992" w:type="dxa"/>
            <w:tcBorders>
              <w:top w:val="nil"/>
              <w:left w:val="nil"/>
              <w:bottom w:val="single" w:sz="4" w:space="0" w:color="auto"/>
              <w:right w:val="single" w:sz="4" w:space="0" w:color="auto"/>
            </w:tcBorders>
            <w:shd w:val="clear" w:color="auto" w:fill="DDF1F3"/>
            <w:noWrap/>
            <w:vAlign w:val="center"/>
            <w:hideMark/>
          </w:tcPr>
          <w:p w14:paraId="1106B108"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1,089</w:t>
            </w:r>
          </w:p>
        </w:tc>
        <w:tc>
          <w:tcPr>
            <w:tcW w:w="939" w:type="dxa"/>
            <w:tcBorders>
              <w:top w:val="nil"/>
              <w:left w:val="nil"/>
              <w:bottom w:val="single" w:sz="4" w:space="0" w:color="auto"/>
              <w:right w:val="single" w:sz="4" w:space="0" w:color="auto"/>
            </w:tcBorders>
            <w:shd w:val="clear" w:color="auto" w:fill="DDF1F3"/>
            <w:noWrap/>
            <w:vAlign w:val="center"/>
            <w:hideMark/>
          </w:tcPr>
          <w:p w14:paraId="48C22FA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3,401</w:t>
            </w:r>
          </w:p>
        </w:tc>
        <w:tc>
          <w:tcPr>
            <w:tcW w:w="904" w:type="dxa"/>
            <w:tcBorders>
              <w:top w:val="nil"/>
              <w:left w:val="nil"/>
              <w:bottom w:val="single" w:sz="4" w:space="0" w:color="auto"/>
              <w:right w:val="single" w:sz="4" w:space="0" w:color="auto"/>
            </w:tcBorders>
            <w:shd w:val="clear" w:color="auto" w:fill="DDF1F3"/>
            <w:noWrap/>
            <w:vAlign w:val="center"/>
            <w:hideMark/>
          </w:tcPr>
          <w:p w14:paraId="5CAA4EB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4,224</w:t>
            </w:r>
          </w:p>
        </w:tc>
        <w:tc>
          <w:tcPr>
            <w:tcW w:w="992" w:type="dxa"/>
            <w:tcBorders>
              <w:top w:val="nil"/>
              <w:left w:val="nil"/>
              <w:bottom w:val="single" w:sz="4" w:space="0" w:color="auto"/>
              <w:right w:val="single" w:sz="4" w:space="0" w:color="auto"/>
            </w:tcBorders>
            <w:shd w:val="clear" w:color="auto" w:fill="DDF1F3"/>
            <w:noWrap/>
            <w:vAlign w:val="center"/>
            <w:hideMark/>
          </w:tcPr>
          <w:p w14:paraId="0C9B904A"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3,373</w:t>
            </w:r>
          </w:p>
        </w:tc>
        <w:tc>
          <w:tcPr>
            <w:tcW w:w="993" w:type="dxa"/>
            <w:tcBorders>
              <w:top w:val="nil"/>
              <w:left w:val="nil"/>
              <w:bottom w:val="single" w:sz="4" w:space="0" w:color="auto"/>
              <w:right w:val="single" w:sz="4" w:space="0" w:color="auto"/>
            </w:tcBorders>
            <w:shd w:val="clear" w:color="auto" w:fill="DDF1F3"/>
            <w:noWrap/>
            <w:vAlign w:val="center"/>
            <w:hideMark/>
          </w:tcPr>
          <w:p w14:paraId="46FB2260"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2,147</w:t>
            </w:r>
          </w:p>
        </w:tc>
        <w:tc>
          <w:tcPr>
            <w:tcW w:w="850" w:type="dxa"/>
            <w:tcBorders>
              <w:top w:val="nil"/>
              <w:left w:val="nil"/>
              <w:bottom w:val="single" w:sz="4" w:space="0" w:color="auto"/>
              <w:right w:val="single" w:sz="4" w:space="0" w:color="auto"/>
            </w:tcBorders>
            <w:shd w:val="clear" w:color="auto" w:fill="DDF1F3"/>
            <w:noWrap/>
            <w:vAlign w:val="center"/>
            <w:hideMark/>
          </w:tcPr>
          <w:p w14:paraId="2B629F4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1,748</w:t>
            </w:r>
          </w:p>
        </w:tc>
        <w:tc>
          <w:tcPr>
            <w:tcW w:w="1134" w:type="dxa"/>
            <w:tcBorders>
              <w:top w:val="nil"/>
              <w:left w:val="nil"/>
              <w:bottom w:val="single" w:sz="4" w:space="0" w:color="auto"/>
              <w:right w:val="single" w:sz="8" w:space="0" w:color="auto"/>
            </w:tcBorders>
            <w:shd w:val="clear" w:color="auto" w:fill="DDF1F3"/>
            <w:noWrap/>
            <w:vAlign w:val="center"/>
            <w:hideMark/>
          </w:tcPr>
          <w:p w14:paraId="01846D6A"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15,982</w:t>
            </w:r>
          </w:p>
        </w:tc>
      </w:tr>
      <w:tr w:rsidR="00B7630E" w:rsidRPr="003A00CB" w14:paraId="4EEF50A9"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79A9DC4A"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COPD</w:t>
            </w:r>
          </w:p>
        </w:tc>
        <w:tc>
          <w:tcPr>
            <w:tcW w:w="992" w:type="dxa"/>
            <w:tcBorders>
              <w:top w:val="nil"/>
              <w:left w:val="nil"/>
              <w:bottom w:val="single" w:sz="4" w:space="0" w:color="auto"/>
              <w:right w:val="single" w:sz="4" w:space="0" w:color="auto"/>
            </w:tcBorders>
            <w:shd w:val="clear" w:color="auto" w:fill="DDF1F3"/>
            <w:noWrap/>
            <w:vAlign w:val="center"/>
            <w:hideMark/>
          </w:tcPr>
          <w:p w14:paraId="0474EEA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805</w:t>
            </w:r>
          </w:p>
        </w:tc>
        <w:tc>
          <w:tcPr>
            <w:tcW w:w="939" w:type="dxa"/>
            <w:tcBorders>
              <w:top w:val="nil"/>
              <w:left w:val="nil"/>
              <w:bottom w:val="single" w:sz="4" w:space="0" w:color="auto"/>
              <w:right w:val="single" w:sz="4" w:space="0" w:color="auto"/>
            </w:tcBorders>
            <w:shd w:val="clear" w:color="auto" w:fill="DDF1F3"/>
            <w:noWrap/>
            <w:vAlign w:val="center"/>
            <w:hideMark/>
          </w:tcPr>
          <w:p w14:paraId="14F3781F"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1,574</w:t>
            </w:r>
          </w:p>
        </w:tc>
        <w:tc>
          <w:tcPr>
            <w:tcW w:w="904" w:type="dxa"/>
            <w:tcBorders>
              <w:top w:val="nil"/>
              <w:left w:val="nil"/>
              <w:bottom w:val="single" w:sz="4" w:space="0" w:color="auto"/>
              <w:right w:val="single" w:sz="4" w:space="0" w:color="auto"/>
            </w:tcBorders>
            <w:shd w:val="clear" w:color="auto" w:fill="DDF1F3"/>
            <w:noWrap/>
            <w:vAlign w:val="center"/>
            <w:hideMark/>
          </w:tcPr>
          <w:p w14:paraId="5B540ABC"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1,708</w:t>
            </w:r>
          </w:p>
        </w:tc>
        <w:tc>
          <w:tcPr>
            <w:tcW w:w="992" w:type="dxa"/>
            <w:tcBorders>
              <w:top w:val="nil"/>
              <w:left w:val="nil"/>
              <w:bottom w:val="single" w:sz="4" w:space="0" w:color="auto"/>
              <w:right w:val="single" w:sz="4" w:space="0" w:color="auto"/>
            </w:tcBorders>
            <w:shd w:val="clear" w:color="auto" w:fill="DDF1F3"/>
            <w:noWrap/>
            <w:vAlign w:val="center"/>
            <w:hideMark/>
          </w:tcPr>
          <w:p w14:paraId="422CC775"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1,469</w:t>
            </w:r>
          </w:p>
        </w:tc>
        <w:tc>
          <w:tcPr>
            <w:tcW w:w="993" w:type="dxa"/>
            <w:tcBorders>
              <w:top w:val="nil"/>
              <w:left w:val="nil"/>
              <w:bottom w:val="single" w:sz="4" w:space="0" w:color="auto"/>
              <w:right w:val="single" w:sz="4" w:space="0" w:color="auto"/>
            </w:tcBorders>
            <w:shd w:val="clear" w:color="auto" w:fill="DDF1F3"/>
            <w:noWrap/>
            <w:vAlign w:val="center"/>
            <w:hideMark/>
          </w:tcPr>
          <w:p w14:paraId="4AECA254"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975</w:t>
            </w:r>
          </w:p>
        </w:tc>
        <w:tc>
          <w:tcPr>
            <w:tcW w:w="850" w:type="dxa"/>
            <w:tcBorders>
              <w:top w:val="nil"/>
              <w:left w:val="nil"/>
              <w:bottom w:val="single" w:sz="4" w:space="0" w:color="auto"/>
              <w:right w:val="single" w:sz="4" w:space="0" w:color="auto"/>
            </w:tcBorders>
            <w:shd w:val="clear" w:color="auto" w:fill="DDF1F3"/>
            <w:noWrap/>
            <w:vAlign w:val="center"/>
            <w:hideMark/>
          </w:tcPr>
          <w:p w14:paraId="731C4DA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904</w:t>
            </w:r>
          </w:p>
        </w:tc>
        <w:tc>
          <w:tcPr>
            <w:tcW w:w="1134" w:type="dxa"/>
            <w:tcBorders>
              <w:top w:val="nil"/>
              <w:left w:val="nil"/>
              <w:bottom w:val="single" w:sz="4" w:space="0" w:color="auto"/>
              <w:right w:val="single" w:sz="8" w:space="0" w:color="auto"/>
            </w:tcBorders>
            <w:shd w:val="clear" w:color="auto" w:fill="DDF1F3"/>
            <w:noWrap/>
            <w:vAlign w:val="center"/>
            <w:hideMark/>
          </w:tcPr>
          <w:p w14:paraId="1FDBD10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7,435</w:t>
            </w:r>
          </w:p>
        </w:tc>
      </w:tr>
      <w:tr w:rsidR="00B7630E" w:rsidRPr="003A00CB" w14:paraId="2A83366A"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4DF6500A"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Coronary Heart Disease</w:t>
            </w:r>
          </w:p>
        </w:tc>
        <w:tc>
          <w:tcPr>
            <w:tcW w:w="992" w:type="dxa"/>
            <w:tcBorders>
              <w:top w:val="nil"/>
              <w:left w:val="nil"/>
              <w:bottom w:val="single" w:sz="4" w:space="0" w:color="auto"/>
              <w:right w:val="single" w:sz="4" w:space="0" w:color="auto"/>
            </w:tcBorders>
            <w:shd w:val="clear" w:color="auto" w:fill="DDF1F3"/>
            <w:noWrap/>
            <w:vAlign w:val="center"/>
            <w:hideMark/>
          </w:tcPr>
          <w:p w14:paraId="7D69780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17,795</w:t>
            </w:r>
          </w:p>
        </w:tc>
        <w:tc>
          <w:tcPr>
            <w:tcW w:w="939" w:type="dxa"/>
            <w:tcBorders>
              <w:top w:val="nil"/>
              <w:left w:val="nil"/>
              <w:bottom w:val="single" w:sz="4" w:space="0" w:color="auto"/>
              <w:right w:val="single" w:sz="4" w:space="0" w:color="auto"/>
            </w:tcBorders>
            <w:shd w:val="clear" w:color="auto" w:fill="DDF1F3"/>
            <w:noWrap/>
            <w:vAlign w:val="center"/>
            <w:hideMark/>
          </w:tcPr>
          <w:p w14:paraId="522DBF8A"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16,640</w:t>
            </w:r>
          </w:p>
        </w:tc>
        <w:tc>
          <w:tcPr>
            <w:tcW w:w="904" w:type="dxa"/>
            <w:tcBorders>
              <w:top w:val="nil"/>
              <w:left w:val="nil"/>
              <w:bottom w:val="single" w:sz="4" w:space="0" w:color="auto"/>
              <w:right w:val="single" w:sz="4" w:space="0" w:color="auto"/>
            </w:tcBorders>
            <w:shd w:val="clear" w:color="auto" w:fill="DDF1F3"/>
            <w:noWrap/>
            <w:vAlign w:val="center"/>
            <w:hideMark/>
          </w:tcPr>
          <w:p w14:paraId="4019F0A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10,461</w:t>
            </w:r>
          </w:p>
        </w:tc>
        <w:tc>
          <w:tcPr>
            <w:tcW w:w="992" w:type="dxa"/>
            <w:tcBorders>
              <w:top w:val="nil"/>
              <w:left w:val="nil"/>
              <w:bottom w:val="single" w:sz="4" w:space="0" w:color="auto"/>
              <w:right w:val="single" w:sz="4" w:space="0" w:color="auto"/>
            </w:tcBorders>
            <w:shd w:val="clear" w:color="auto" w:fill="DDF1F3"/>
            <w:noWrap/>
            <w:vAlign w:val="center"/>
            <w:hideMark/>
          </w:tcPr>
          <w:p w14:paraId="3E329A4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5,506</w:t>
            </w:r>
          </w:p>
        </w:tc>
        <w:tc>
          <w:tcPr>
            <w:tcW w:w="993" w:type="dxa"/>
            <w:tcBorders>
              <w:top w:val="nil"/>
              <w:left w:val="nil"/>
              <w:bottom w:val="single" w:sz="4" w:space="0" w:color="auto"/>
              <w:right w:val="single" w:sz="4" w:space="0" w:color="auto"/>
            </w:tcBorders>
            <w:shd w:val="clear" w:color="auto" w:fill="DDF1F3"/>
            <w:noWrap/>
            <w:vAlign w:val="center"/>
            <w:hideMark/>
          </w:tcPr>
          <w:p w14:paraId="36564F1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2,795</w:t>
            </w:r>
          </w:p>
        </w:tc>
        <w:tc>
          <w:tcPr>
            <w:tcW w:w="850" w:type="dxa"/>
            <w:tcBorders>
              <w:top w:val="nil"/>
              <w:left w:val="nil"/>
              <w:bottom w:val="single" w:sz="4" w:space="0" w:color="auto"/>
              <w:right w:val="single" w:sz="4" w:space="0" w:color="auto"/>
            </w:tcBorders>
            <w:shd w:val="clear" w:color="auto" w:fill="DDF1F3"/>
            <w:noWrap/>
            <w:vAlign w:val="center"/>
            <w:hideMark/>
          </w:tcPr>
          <w:p w14:paraId="282429E0"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1,997</w:t>
            </w:r>
          </w:p>
        </w:tc>
        <w:tc>
          <w:tcPr>
            <w:tcW w:w="1134" w:type="dxa"/>
            <w:tcBorders>
              <w:top w:val="nil"/>
              <w:left w:val="nil"/>
              <w:bottom w:val="single" w:sz="4" w:space="0" w:color="auto"/>
              <w:right w:val="single" w:sz="8" w:space="0" w:color="auto"/>
            </w:tcBorders>
            <w:shd w:val="clear" w:color="auto" w:fill="DDF1F3"/>
            <w:noWrap/>
            <w:vAlign w:val="center"/>
            <w:hideMark/>
          </w:tcPr>
          <w:p w14:paraId="0E674308"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55,194</w:t>
            </w:r>
          </w:p>
        </w:tc>
      </w:tr>
      <w:tr w:rsidR="00B7630E" w:rsidRPr="003A00CB" w14:paraId="54823577"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06CB564E"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Dementia</w:t>
            </w:r>
          </w:p>
        </w:tc>
        <w:tc>
          <w:tcPr>
            <w:tcW w:w="992" w:type="dxa"/>
            <w:tcBorders>
              <w:top w:val="nil"/>
              <w:left w:val="nil"/>
              <w:bottom w:val="single" w:sz="4" w:space="0" w:color="auto"/>
              <w:right w:val="single" w:sz="4" w:space="0" w:color="auto"/>
            </w:tcBorders>
            <w:shd w:val="clear" w:color="auto" w:fill="DDF1F3"/>
            <w:noWrap/>
            <w:vAlign w:val="center"/>
            <w:hideMark/>
          </w:tcPr>
          <w:p w14:paraId="41BAA0F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403</w:t>
            </w:r>
          </w:p>
        </w:tc>
        <w:tc>
          <w:tcPr>
            <w:tcW w:w="939" w:type="dxa"/>
            <w:tcBorders>
              <w:top w:val="nil"/>
              <w:left w:val="nil"/>
              <w:bottom w:val="single" w:sz="4" w:space="0" w:color="auto"/>
              <w:right w:val="single" w:sz="4" w:space="0" w:color="auto"/>
            </w:tcBorders>
            <w:shd w:val="clear" w:color="auto" w:fill="DDF1F3"/>
            <w:noWrap/>
            <w:vAlign w:val="center"/>
            <w:hideMark/>
          </w:tcPr>
          <w:p w14:paraId="2FBEDBA9"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625</w:t>
            </w:r>
          </w:p>
        </w:tc>
        <w:tc>
          <w:tcPr>
            <w:tcW w:w="904" w:type="dxa"/>
            <w:tcBorders>
              <w:top w:val="nil"/>
              <w:left w:val="nil"/>
              <w:bottom w:val="single" w:sz="4" w:space="0" w:color="auto"/>
              <w:right w:val="single" w:sz="4" w:space="0" w:color="auto"/>
            </w:tcBorders>
            <w:shd w:val="clear" w:color="auto" w:fill="DDF1F3"/>
            <w:noWrap/>
            <w:vAlign w:val="center"/>
            <w:hideMark/>
          </w:tcPr>
          <w:p w14:paraId="47FD9C64"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686</w:t>
            </w:r>
          </w:p>
        </w:tc>
        <w:tc>
          <w:tcPr>
            <w:tcW w:w="992" w:type="dxa"/>
            <w:tcBorders>
              <w:top w:val="nil"/>
              <w:left w:val="nil"/>
              <w:bottom w:val="single" w:sz="4" w:space="0" w:color="auto"/>
              <w:right w:val="single" w:sz="4" w:space="0" w:color="auto"/>
            </w:tcBorders>
            <w:shd w:val="clear" w:color="auto" w:fill="DDF1F3"/>
            <w:noWrap/>
            <w:vAlign w:val="center"/>
            <w:hideMark/>
          </w:tcPr>
          <w:p w14:paraId="6765726E"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614</w:t>
            </w:r>
          </w:p>
        </w:tc>
        <w:tc>
          <w:tcPr>
            <w:tcW w:w="993" w:type="dxa"/>
            <w:tcBorders>
              <w:top w:val="nil"/>
              <w:left w:val="nil"/>
              <w:bottom w:val="single" w:sz="4" w:space="0" w:color="auto"/>
              <w:right w:val="single" w:sz="4" w:space="0" w:color="auto"/>
            </w:tcBorders>
            <w:shd w:val="clear" w:color="auto" w:fill="DDF1F3"/>
            <w:noWrap/>
            <w:vAlign w:val="center"/>
            <w:hideMark/>
          </w:tcPr>
          <w:p w14:paraId="39E3D874"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448</w:t>
            </w:r>
          </w:p>
        </w:tc>
        <w:tc>
          <w:tcPr>
            <w:tcW w:w="850" w:type="dxa"/>
            <w:tcBorders>
              <w:top w:val="nil"/>
              <w:left w:val="nil"/>
              <w:bottom w:val="single" w:sz="4" w:space="0" w:color="auto"/>
              <w:right w:val="single" w:sz="4" w:space="0" w:color="auto"/>
            </w:tcBorders>
            <w:shd w:val="clear" w:color="auto" w:fill="DDF1F3"/>
            <w:noWrap/>
            <w:vAlign w:val="center"/>
            <w:hideMark/>
          </w:tcPr>
          <w:p w14:paraId="74F3A298"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475</w:t>
            </w:r>
          </w:p>
        </w:tc>
        <w:tc>
          <w:tcPr>
            <w:tcW w:w="1134" w:type="dxa"/>
            <w:tcBorders>
              <w:top w:val="nil"/>
              <w:left w:val="nil"/>
              <w:bottom w:val="single" w:sz="4" w:space="0" w:color="auto"/>
              <w:right w:val="single" w:sz="8" w:space="0" w:color="auto"/>
            </w:tcBorders>
            <w:shd w:val="clear" w:color="auto" w:fill="DDF1F3"/>
            <w:noWrap/>
            <w:vAlign w:val="center"/>
            <w:hideMark/>
          </w:tcPr>
          <w:p w14:paraId="41B193DC"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3,251</w:t>
            </w:r>
          </w:p>
        </w:tc>
      </w:tr>
      <w:tr w:rsidR="00B7630E" w:rsidRPr="003A00CB" w14:paraId="0741AEFA"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2249E834"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Depression</w:t>
            </w:r>
          </w:p>
        </w:tc>
        <w:tc>
          <w:tcPr>
            <w:tcW w:w="992" w:type="dxa"/>
            <w:tcBorders>
              <w:top w:val="nil"/>
              <w:left w:val="nil"/>
              <w:bottom w:val="single" w:sz="4" w:space="0" w:color="auto"/>
              <w:right w:val="single" w:sz="4" w:space="0" w:color="auto"/>
            </w:tcBorders>
            <w:shd w:val="clear" w:color="auto" w:fill="DDF1F3"/>
            <w:noWrap/>
            <w:vAlign w:val="center"/>
            <w:hideMark/>
          </w:tcPr>
          <w:p w14:paraId="085DE1C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29,856</w:t>
            </w:r>
          </w:p>
        </w:tc>
        <w:tc>
          <w:tcPr>
            <w:tcW w:w="939" w:type="dxa"/>
            <w:tcBorders>
              <w:top w:val="nil"/>
              <w:left w:val="nil"/>
              <w:bottom w:val="single" w:sz="4" w:space="0" w:color="auto"/>
              <w:right w:val="single" w:sz="4" w:space="0" w:color="auto"/>
            </w:tcBorders>
            <w:shd w:val="clear" w:color="auto" w:fill="DDF1F3"/>
            <w:noWrap/>
            <w:vAlign w:val="center"/>
            <w:hideMark/>
          </w:tcPr>
          <w:p w14:paraId="14ABE67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20,592</w:t>
            </w:r>
          </w:p>
        </w:tc>
        <w:tc>
          <w:tcPr>
            <w:tcW w:w="904" w:type="dxa"/>
            <w:tcBorders>
              <w:top w:val="nil"/>
              <w:left w:val="nil"/>
              <w:bottom w:val="single" w:sz="4" w:space="0" w:color="auto"/>
              <w:right w:val="single" w:sz="4" w:space="0" w:color="auto"/>
            </w:tcBorders>
            <w:shd w:val="clear" w:color="auto" w:fill="DDF1F3"/>
            <w:noWrap/>
            <w:vAlign w:val="center"/>
            <w:hideMark/>
          </w:tcPr>
          <w:p w14:paraId="21B616AA"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9,795</w:t>
            </w:r>
          </w:p>
        </w:tc>
        <w:tc>
          <w:tcPr>
            <w:tcW w:w="992" w:type="dxa"/>
            <w:tcBorders>
              <w:top w:val="nil"/>
              <w:left w:val="nil"/>
              <w:bottom w:val="single" w:sz="4" w:space="0" w:color="auto"/>
              <w:right w:val="single" w:sz="4" w:space="0" w:color="auto"/>
            </w:tcBorders>
            <w:shd w:val="clear" w:color="auto" w:fill="DDF1F3"/>
            <w:noWrap/>
            <w:vAlign w:val="center"/>
            <w:hideMark/>
          </w:tcPr>
          <w:p w14:paraId="619035A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4,493</w:t>
            </w:r>
          </w:p>
        </w:tc>
        <w:tc>
          <w:tcPr>
            <w:tcW w:w="993" w:type="dxa"/>
            <w:tcBorders>
              <w:top w:val="nil"/>
              <w:left w:val="nil"/>
              <w:bottom w:val="single" w:sz="4" w:space="0" w:color="auto"/>
              <w:right w:val="single" w:sz="4" w:space="0" w:color="auto"/>
            </w:tcBorders>
            <w:shd w:val="clear" w:color="auto" w:fill="DDF1F3"/>
            <w:noWrap/>
            <w:vAlign w:val="center"/>
            <w:hideMark/>
          </w:tcPr>
          <w:p w14:paraId="7466FC7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2,085</w:t>
            </w:r>
          </w:p>
        </w:tc>
        <w:tc>
          <w:tcPr>
            <w:tcW w:w="850" w:type="dxa"/>
            <w:tcBorders>
              <w:top w:val="nil"/>
              <w:left w:val="nil"/>
              <w:bottom w:val="single" w:sz="4" w:space="0" w:color="auto"/>
              <w:right w:val="single" w:sz="4" w:space="0" w:color="auto"/>
            </w:tcBorders>
            <w:shd w:val="clear" w:color="auto" w:fill="DDF1F3"/>
            <w:noWrap/>
            <w:vAlign w:val="center"/>
            <w:hideMark/>
          </w:tcPr>
          <w:p w14:paraId="2DF149C9"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1,502</w:t>
            </w:r>
          </w:p>
        </w:tc>
        <w:tc>
          <w:tcPr>
            <w:tcW w:w="1134" w:type="dxa"/>
            <w:tcBorders>
              <w:top w:val="nil"/>
              <w:left w:val="nil"/>
              <w:bottom w:val="single" w:sz="4" w:space="0" w:color="auto"/>
              <w:right w:val="single" w:sz="8" w:space="0" w:color="auto"/>
            </w:tcBorders>
            <w:shd w:val="clear" w:color="auto" w:fill="DDF1F3"/>
            <w:noWrap/>
            <w:vAlign w:val="center"/>
            <w:hideMark/>
          </w:tcPr>
          <w:p w14:paraId="1CA87FF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68,323</w:t>
            </w:r>
          </w:p>
        </w:tc>
      </w:tr>
      <w:tr w:rsidR="00B7630E" w:rsidRPr="003A00CB" w14:paraId="2473690F"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7DE25F8B"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Diabetes</w:t>
            </w:r>
          </w:p>
        </w:tc>
        <w:tc>
          <w:tcPr>
            <w:tcW w:w="992" w:type="dxa"/>
            <w:tcBorders>
              <w:top w:val="nil"/>
              <w:left w:val="nil"/>
              <w:bottom w:val="single" w:sz="4" w:space="0" w:color="auto"/>
              <w:right w:val="single" w:sz="4" w:space="0" w:color="auto"/>
            </w:tcBorders>
            <w:shd w:val="clear" w:color="auto" w:fill="DDF1F3"/>
            <w:noWrap/>
            <w:vAlign w:val="center"/>
            <w:hideMark/>
          </w:tcPr>
          <w:p w14:paraId="7078569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3,874</w:t>
            </w:r>
          </w:p>
        </w:tc>
        <w:tc>
          <w:tcPr>
            <w:tcW w:w="939" w:type="dxa"/>
            <w:tcBorders>
              <w:top w:val="nil"/>
              <w:left w:val="nil"/>
              <w:bottom w:val="single" w:sz="4" w:space="0" w:color="auto"/>
              <w:right w:val="single" w:sz="4" w:space="0" w:color="auto"/>
            </w:tcBorders>
            <w:shd w:val="clear" w:color="auto" w:fill="DDF1F3"/>
            <w:noWrap/>
            <w:vAlign w:val="center"/>
            <w:hideMark/>
          </w:tcPr>
          <w:p w14:paraId="539E21A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6,498</w:t>
            </w:r>
          </w:p>
        </w:tc>
        <w:tc>
          <w:tcPr>
            <w:tcW w:w="904" w:type="dxa"/>
            <w:tcBorders>
              <w:top w:val="nil"/>
              <w:left w:val="nil"/>
              <w:bottom w:val="single" w:sz="4" w:space="0" w:color="auto"/>
              <w:right w:val="single" w:sz="4" w:space="0" w:color="auto"/>
            </w:tcBorders>
            <w:shd w:val="clear" w:color="auto" w:fill="DDF1F3"/>
            <w:noWrap/>
            <w:vAlign w:val="center"/>
            <w:hideMark/>
          </w:tcPr>
          <w:p w14:paraId="747D5B2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5,990</w:t>
            </w:r>
          </w:p>
        </w:tc>
        <w:tc>
          <w:tcPr>
            <w:tcW w:w="992" w:type="dxa"/>
            <w:tcBorders>
              <w:top w:val="nil"/>
              <w:left w:val="nil"/>
              <w:bottom w:val="single" w:sz="4" w:space="0" w:color="auto"/>
              <w:right w:val="single" w:sz="4" w:space="0" w:color="auto"/>
            </w:tcBorders>
            <w:shd w:val="clear" w:color="auto" w:fill="DDF1F3"/>
            <w:noWrap/>
            <w:vAlign w:val="center"/>
            <w:hideMark/>
          </w:tcPr>
          <w:p w14:paraId="081DF6EE"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3,831</w:t>
            </w:r>
          </w:p>
        </w:tc>
        <w:tc>
          <w:tcPr>
            <w:tcW w:w="993" w:type="dxa"/>
            <w:tcBorders>
              <w:top w:val="nil"/>
              <w:left w:val="nil"/>
              <w:bottom w:val="single" w:sz="4" w:space="0" w:color="auto"/>
              <w:right w:val="single" w:sz="4" w:space="0" w:color="auto"/>
            </w:tcBorders>
            <w:shd w:val="clear" w:color="auto" w:fill="DDF1F3"/>
            <w:noWrap/>
            <w:vAlign w:val="center"/>
            <w:hideMark/>
          </w:tcPr>
          <w:p w14:paraId="0096B858"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2,102</w:t>
            </w:r>
          </w:p>
        </w:tc>
        <w:tc>
          <w:tcPr>
            <w:tcW w:w="850" w:type="dxa"/>
            <w:tcBorders>
              <w:top w:val="nil"/>
              <w:left w:val="nil"/>
              <w:bottom w:val="single" w:sz="4" w:space="0" w:color="auto"/>
              <w:right w:val="single" w:sz="4" w:space="0" w:color="auto"/>
            </w:tcBorders>
            <w:shd w:val="clear" w:color="auto" w:fill="DDF1F3"/>
            <w:noWrap/>
            <w:vAlign w:val="center"/>
            <w:hideMark/>
          </w:tcPr>
          <w:p w14:paraId="312ABE1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1,553</w:t>
            </w:r>
          </w:p>
        </w:tc>
        <w:tc>
          <w:tcPr>
            <w:tcW w:w="1134" w:type="dxa"/>
            <w:tcBorders>
              <w:top w:val="nil"/>
              <w:left w:val="nil"/>
              <w:bottom w:val="single" w:sz="4" w:space="0" w:color="auto"/>
              <w:right w:val="single" w:sz="8" w:space="0" w:color="auto"/>
            </w:tcBorders>
            <w:shd w:val="clear" w:color="auto" w:fill="DDF1F3"/>
            <w:noWrap/>
            <w:vAlign w:val="center"/>
            <w:hideMark/>
          </w:tcPr>
          <w:p w14:paraId="4FCA718F"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23,848</w:t>
            </w:r>
          </w:p>
        </w:tc>
      </w:tr>
      <w:tr w:rsidR="00B7630E" w:rsidRPr="003A00CB" w14:paraId="40E6D75E"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7A922808"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Epilepsy</w:t>
            </w:r>
          </w:p>
        </w:tc>
        <w:tc>
          <w:tcPr>
            <w:tcW w:w="992" w:type="dxa"/>
            <w:tcBorders>
              <w:top w:val="nil"/>
              <w:left w:val="nil"/>
              <w:bottom w:val="single" w:sz="4" w:space="0" w:color="auto"/>
              <w:right w:val="single" w:sz="4" w:space="0" w:color="auto"/>
            </w:tcBorders>
            <w:shd w:val="clear" w:color="auto" w:fill="DDF1F3"/>
            <w:noWrap/>
            <w:vAlign w:val="center"/>
            <w:hideMark/>
          </w:tcPr>
          <w:p w14:paraId="5416B4F7"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1,758</w:t>
            </w:r>
          </w:p>
        </w:tc>
        <w:tc>
          <w:tcPr>
            <w:tcW w:w="939" w:type="dxa"/>
            <w:tcBorders>
              <w:top w:val="nil"/>
              <w:left w:val="nil"/>
              <w:bottom w:val="single" w:sz="4" w:space="0" w:color="auto"/>
              <w:right w:val="single" w:sz="4" w:space="0" w:color="auto"/>
            </w:tcBorders>
            <w:shd w:val="clear" w:color="auto" w:fill="DDF1F3"/>
            <w:noWrap/>
            <w:vAlign w:val="center"/>
            <w:hideMark/>
          </w:tcPr>
          <w:p w14:paraId="06293D87"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1,589</w:t>
            </w:r>
          </w:p>
        </w:tc>
        <w:tc>
          <w:tcPr>
            <w:tcW w:w="904" w:type="dxa"/>
            <w:tcBorders>
              <w:top w:val="nil"/>
              <w:left w:val="nil"/>
              <w:bottom w:val="single" w:sz="4" w:space="0" w:color="auto"/>
              <w:right w:val="single" w:sz="4" w:space="0" w:color="auto"/>
            </w:tcBorders>
            <w:shd w:val="clear" w:color="auto" w:fill="DDF1F3"/>
            <w:noWrap/>
            <w:vAlign w:val="center"/>
            <w:hideMark/>
          </w:tcPr>
          <w:p w14:paraId="772A16B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841</w:t>
            </w:r>
          </w:p>
        </w:tc>
        <w:tc>
          <w:tcPr>
            <w:tcW w:w="992" w:type="dxa"/>
            <w:tcBorders>
              <w:top w:val="nil"/>
              <w:left w:val="nil"/>
              <w:bottom w:val="single" w:sz="4" w:space="0" w:color="auto"/>
              <w:right w:val="single" w:sz="4" w:space="0" w:color="auto"/>
            </w:tcBorders>
            <w:shd w:val="clear" w:color="auto" w:fill="DDF1F3"/>
            <w:noWrap/>
            <w:vAlign w:val="center"/>
            <w:hideMark/>
          </w:tcPr>
          <w:p w14:paraId="24B57C6A"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443</w:t>
            </w:r>
          </w:p>
        </w:tc>
        <w:tc>
          <w:tcPr>
            <w:tcW w:w="993" w:type="dxa"/>
            <w:tcBorders>
              <w:top w:val="nil"/>
              <w:left w:val="nil"/>
              <w:bottom w:val="single" w:sz="4" w:space="0" w:color="auto"/>
              <w:right w:val="single" w:sz="4" w:space="0" w:color="auto"/>
            </w:tcBorders>
            <w:shd w:val="clear" w:color="auto" w:fill="DDF1F3"/>
            <w:noWrap/>
            <w:vAlign w:val="center"/>
            <w:hideMark/>
          </w:tcPr>
          <w:p w14:paraId="6172A89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229</w:t>
            </w:r>
          </w:p>
        </w:tc>
        <w:tc>
          <w:tcPr>
            <w:tcW w:w="850" w:type="dxa"/>
            <w:tcBorders>
              <w:top w:val="nil"/>
              <w:left w:val="nil"/>
              <w:bottom w:val="single" w:sz="4" w:space="0" w:color="auto"/>
              <w:right w:val="single" w:sz="4" w:space="0" w:color="auto"/>
            </w:tcBorders>
            <w:shd w:val="clear" w:color="auto" w:fill="DDF1F3"/>
            <w:noWrap/>
            <w:vAlign w:val="center"/>
            <w:hideMark/>
          </w:tcPr>
          <w:p w14:paraId="06BA06D8"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196</w:t>
            </w:r>
          </w:p>
        </w:tc>
        <w:tc>
          <w:tcPr>
            <w:tcW w:w="1134" w:type="dxa"/>
            <w:tcBorders>
              <w:top w:val="nil"/>
              <w:left w:val="nil"/>
              <w:bottom w:val="single" w:sz="4" w:space="0" w:color="auto"/>
              <w:right w:val="single" w:sz="8" w:space="0" w:color="auto"/>
            </w:tcBorders>
            <w:shd w:val="clear" w:color="auto" w:fill="DDF1F3"/>
            <w:noWrap/>
            <w:vAlign w:val="center"/>
            <w:hideMark/>
          </w:tcPr>
          <w:p w14:paraId="29A52E1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5,056</w:t>
            </w:r>
          </w:p>
        </w:tc>
      </w:tr>
      <w:tr w:rsidR="00B7630E" w:rsidRPr="003A00CB" w14:paraId="48F1C83B"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72E0F9E7"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Heart Failure</w:t>
            </w:r>
          </w:p>
        </w:tc>
        <w:tc>
          <w:tcPr>
            <w:tcW w:w="992" w:type="dxa"/>
            <w:tcBorders>
              <w:top w:val="nil"/>
              <w:left w:val="nil"/>
              <w:bottom w:val="single" w:sz="4" w:space="0" w:color="auto"/>
              <w:right w:val="single" w:sz="4" w:space="0" w:color="auto"/>
            </w:tcBorders>
            <w:shd w:val="clear" w:color="auto" w:fill="DDF1F3"/>
            <w:noWrap/>
            <w:vAlign w:val="center"/>
            <w:hideMark/>
          </w:tcPr>
          <w:p w14:paraId="3BDFFB1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119</w:t>
            </w:r>
          </w:p>
        </w:tc>
        <w:tc>
          <w:tcPr>
            <w:tcW w:w="939" w:type="dxa"/>
            <w:tcBorders>
              <w:top w:val="nil"/>
              <w:left w:val="nil"/>
              <w:bottom w:val="single" w:sz="4" w:space="0" w:color="auto"/>
              <w:right w:val="single" w:sz="4" w:space="0" w:color="auto"/>
            </w:tcBorders>
            <w:shd w:val="clear" w:color="auto" w:fill="DDF1F3"/>
            <w:noWrap/>
            <w:vAlign w:val="center"/>
            <w:hideMark/>
          </w:tcPr>
          <w:p w14:paraId="1AAFA79A"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396</w:t>
            </w:r>
          </w:p>
        </w:tc>
        <w:tc>
          <w:tcPr>
            <w:tcW w:w="904" w:type="dxa"/>
            <w:tcBorders>
              <w:top w:val="nil"/>
              <w:left w:val="nil"/>
              <w:bottom w:val="single" w:sz="4" w:space="0" w:color="auto"/>
              <w:right w:val="single" w:sz="4" w:space="0" w:color="auto"/>
            </w:tcBorders>
            <w:shd w:val="clear" w:color="auto" w:fill="DDF1F3"/>
            <w:noWrap/>
            <w:vAlign w:val="center"/>
            <w:hideMark/>
          </w:tcPr>
          <w:p w14:paraId="5FBD6C0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698</w:t>
            </w:r>
          </w:p>
        </w:tc>
        <w:tc>
          <w:tcPr>
            <w:tcW w:w="992" w:type="dxa"/>
            <w:tcBorders>
              <w:top w:val="nil"/>
              <w:left w:val="nil"/>
              <w:bottom w:val="single" w:sz="4" w:space="0" w:color="auto"/>
              <w:right w:val="single" w:sz="4" w:space="0" w:color="auto"/>
            </w:tcBorders>
            <w:shd w:val="clear" w:color="auto" w:fill="DDF1F3"/>
            <w:noWrap/>
            <w:vAlign w:val="center"/>
            <w:hideMark/>
          </w:tcPr>
          <w:p w14:paraId="00E715E7"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868</w:t>
            </w:r>
          </w:p>
        </w:tc>
        <w:tc>
          <w:tcPr>
            <w:tcW w:w="993" w:type="dxa"/>
            <w:tcBorders>
              <w:top w:val="nil"/>
              <w:left w:val="nil"/>
              <w:bottom w:val="single" w:sz="4" w:space="0" w:color="auto"/>
              <w:right w:val="single" w:sz="4" w:space="0" w:color="auto"/>
            </w:tcBorders>
            <w:shd w:val="clear" w:color="auto" w:fill="DDF1F3"/>
            <w:noWrap/>
            <w:vAlign w:val="center"/>
            <w:hideMark/>
          </w:tcPr>
          <w:p w14:paraId="3C3FF6F7"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733</w:t>
            </w:r>
          </w:p>
        </w:tc>
        <w:tc>
          <w:tcPr>
            <w:tcW w:w="850" w:type="dxa"/>
            <w:tcBorders>
              <w:top w:val="nil"/>
              <w:left w:val="nil"/>
              <w:bottom w:val="single" w:sz="4" w:space="0" w:color="auto"/>
              <w:right w:val="single" w:sz="4" w:space="0" w:color="auto"/>
            </w:tcBorders>
            <w:shd w:val="clear" w:color="auto" w:fill="DDF1F3"/>
            <w:noWrap/>
            <w:vAlign w:val="center"/>
            <w:hideMark/>
          </w:tcPr>
          <w:p w14:paraId="7CF23679"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909</w:t>
            </w:r>
          </w:p>
        </w:tc>
        <w:tc>
          <w:tcPr>
            <w:tcW w:w="1134" w:type="dxa"/>
            <w:tcBorders>
              <w:top w:val="nil"/>
              <w:left w:val="nil"/>
              <w:bottom w:val="single" w:sz="4" w:space="0" w:color="auto"/>
              <w:right w:val="single" w:sz="8" w:space="0" w:color="auto"/>
            </w:tcBorders>
            <w:shd w:val="clear" w:color="auto" w:fill="DDF1F3"/>
            <w:noWrap/>
            <w:vAlign w:val="center"/>
            <w:hideMark/>
          </w:tcPr>
          <w:p w14:paraId="7320B5F7"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3,723</w:t>
            </w:r>
          </w:p>
        </w:tc>
      </w:tr>
      <w:tr w:rsidR="00B7630E" w:rsidRPr="003A00CB" w14:paraId="71EED045"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7E9B50E1"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Hypertension</w:t>
            </w:r>
          </w:p>
        </w:tc>
        <w:tc>
          <w:tcPr>
            <w:tcW w:w="992" w:type="dxa"/>
            <w:tcBorders>
              <w:top w:val="nil"/>
              <w:left w:val="nil"/>
              <w:bottom w:val="single" w:sz="4" w:space="0" w:color="auto"/>
              <w:right w:val="single" w:sz="4" w:space="0" w:color="auto"/>
            </w:tcBorders>
            <w:shd w:val="clear" w:color="auto" w:fill="DDF1F3"/>
            <w:noWrap/>
            <w:vAlign w:val="center"/>
            <w:hideMark/>
          </w:tcPr>
          <w:p w14:paraId="277AB29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16,901</w:t>
            </w:r>
          </w:p>
        </w:tc>
        <w:tc>
          <w:tcPr>
            <w:tcW w:w="939" w:type="dxa"/>
            <w:tcBorders>
              <w:top w:val="nil"/>
              <w:left w:val="nil"/>
              <w:bottom w:val="single" w:sz="4" w:space="0" w:color="auto"/>
              <w:right w:val="single" w:sz="4" w:space="0" w:color="auto"/>
            </w:tcBorders>
            <w:shd w:val="clear" w:color="auto" w:fill="DDF1F3"/>
            <w:noWrap/>
            <w:vAlign w:val="center"/>
            <w:hideMark/>
          </w:tcPr>
          <w:p w14:paraId="2921FF3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19,551</w:t>
            </w:r>
          </w:p>
        </w:tc>
        <w:tc>
          <w:tcPr>
            <w:tcW w:w="904" w:type="dxa"/>
            <w:tcBorders>
              <w:top w:val="nil"/>
              <w:left w:val="nil"/>
              <w:bottom w:val="single" w:sz="4" w:space="0" w:color="auto"/>
              <w:right w:val="single" w:sz="4" w:space="0" w:color="auto"/>
            </w:tcBorders>
            <w:shd w:val="clear" w:color="auto" w:fill="DDF1F3"/>
            <w:noWrap/>
            <w:vAlign w:val="center"/>
            <w:hideMark/>
          </w:tcPr>
          <w:p w14:paraId="18495300"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13,865</w:t>
            </w:r>
          </w:p>
        </w:tc>
        <w:tc>
          <w:tcPr>
            <w:tcW w:w="992" w:type="dxa"/>
            <w:tcBorders>
              <w:top w:val="nil"/>
              <w:left w:val="nil"/>
              <w:bottom w:val="single" w:sz="4" w:space="0" w:color="auto"/>
              <w:right w:val="single" w:sz="4" w:space="0" w:color="auto"/>
            </w:tcBorders>
            <w:shd w:val="clear" w:color="auto" w:fill="DDF1F3"/>
            <w:noWrap/>
            <w:vAlign w:val="center"/>
            <w:hideMark/>
          </w:tcPr>
          <w:p w14:paraId="5001F54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7,514</w:t>
            </w:r>
          </w:p>
        </w:tc>
        <w:tc>
          <w:tcPr>
            <w:tcW w:w="993" w:type="dxa"/>
            <w:tcBorders>
              <w:top w:val="nil"/>
              <w:left w:val="nil"/>
              <w:bottom w:val="single" w:sz="4" w:space="0" w:color="auto"/>
              <w:right w:val="single" w:sz="4" w:space="0" w:color="auto"/>
            </w:tcBorders>
            <w:shd w:val="clear" w:color="auto" w:fill="DDF1F3"/>
            <w:noWrap/>
            <w:vAlign w:val="center"/>
            <w:hideMark/>
          </w:tcPr>
          <w:p w14:paraId="762C5DB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3,592</w:t>
            </w:r>
          </w:p>
        </w:tc>
        <w:tc>
          <w:tcPr>
            <w:tcW w:w="850" w:type="dxa"/>
            <w:tcBorders>
              <w:top w:val="nil"/>
              <w:left w:val="nil"/>
              <w:bottom w:val="single" w:sz="4" w:space="0" w:color="auto"/>
              <w:right w:val="single" w:sz="4" w:space="0" w:color="auto"/>
            </w:tcBorders>
            <w:shd w:val="clear" w:color="auto" w:fill="DDF1F3"/>
            <w:noWrap/>
            <w:vAlign w:val="center"/>
            <w:hideMark/>
          </w:tcPr>
          <w:p w14:paraId="1F133D8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2,365</w:t>
            </w:r>
          </w:p>
        </w:tc>
        <w:tc>
          <w:tcPr>
            <w:tcW w:w="1134" w:type="dxa"/>
            <w:tcBorders>
              <w:top w:val="nil"/>
              <w:left w:val="nil"/>
              <w:bottom w:val="single" w:sz="4" w:space="0" w:color="auto"/>
              <w:right w:val="single" w:sz="8" w:space="0" w:color="auto"/>
            </w:tcBorders>
            <w:shd w:val="clear" w:color="auto" w:fill="DDF1F3"/>
            <w:noWrap/>
            <w:vAlign w:val="center"/>
            <w:hideMark/>
          </w:tcPr>
          <w:p w14:paraId="402BF8A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63,788</w:t>
            </w:r>
          </w:p>
        </w:tc>
      </w:tr>
      <w:tr w:rsidR="00B7630E" w:rsidRPr="003A00CB" w14:paraId="42855DEF"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71B8CA58"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Serious Mental Illness</w:t>
            </w:r>
          </w:p>
        </w:tc>
        <w:tc>
          <w:tcPr>
            <w:tcW w:w="992" w:type="dxa"/>
            <w:tcBorders>
              <w:top w:val="nil"/>
              <w:left w:val="nil"/>
              <w:bottom w:val="single" w:sz="4" w:space="0" w:color="auto"/>
              <w:right w:val="single" w:sz="4" w:space="0" w:color="auto"/>
            </w:tcBorders>
            <w:shd w:val="clear" w:color="auto" w:fill="DDF1F3"/>
            <w:noWrap/>
            <w:vAlign w:val="center"/>
            <w:hideMark/>
          </w:tcPr>
          <w:p w14:paraId="593785B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577</w:t>
            </w:r>
          </w:p>
        </w:tc>
        <w:tc>
          <w:tcPr>
            <w:tcW w:w="939" w:type="dxa"/>
            <w:tcBorders>
              <w:top w:val="nil"/>
              <w:left w:val="nil"/>
              <w:bottom w:val="single" w:sz="4" w:space="0" w:color="auto"/>
              <w:right w:val="single" w:sz="4" w:space="0" w:color="auto"/>
            </w:tcBorders>
            <w:shd w:val="clear" w:color="auto" w:fill="DDF1F3"/>
            <w:noWrap/>
            <w:vAlign w:val="center"/>
            <w:hideMark/>
          </w:tcPr>
          <w:p w14:paraId="4212493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1,188</w:t>
            </w:r>
          </w:p>
        </w:tc>
        <w:tc>
          <w:tcPr>
            <w:tcW w:w="904" w:type="dxa"/>
            <w:tcBorders>
              <w:top w:val="nil"/>
              <w:left w:val="nil"/>
              <w:bottom w:val="single" w:sz="4" w:space="0" w:color="auto"/>
              <w:right w:val="single" w:sz="4" w:space="0" w:color="auto"/>
            </w:tcBorders>
            <w:shd w:val="clear" w:color="auto" w:fill="DDF1F3"/>
            <w:noWrap/>
            <w:vAlign w:val="center"/>
            <w:hideMark/>
          </w:tcPr>
          <w:p w14:paraId="528F037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848</w:t>
            </w:r>
          </w:p>
        </w:tc>
        <w:tc>
          <w:tcPr>
            <w:tcW w:w="992" w:type="dxa"/>
            <w:tcBorders>
              <w:top w:val="nil"/>
              <w:left w:val="nil"/>
              <w:bottom w:val="single" w:sz="4" w:space="0" w:color="auto"/>
              <w:right w:val="single" w:sz="4" w:space="0" w:color="auto"/>
            </w:tcBorders>
            <w:shd w:val="clear" w:color="auto" w:fill="DDF1F3"/>
            <w:noWrap/>
            <w:vAlign w:val="center"/>
            <w:hideMark/>
          </w:tcPr>
          <w:p w14:paraId="5383DEB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465</w:t>
            </w:r>
          </w:p>
        </w:tc>
        <w:tc>
          <w:tcPr>
            <w:tcW w:w="993" w:type="dxa"/>
            <w:tcBorders>
              <w:top w:val="nil"/>
              <w:left w:val="nil"/>
              <w:bottom w:val="single" w:sz="4" w:space="0" w:color="auto"/>
              <w:right w:val="single" w:sz="4" w:space="0" w:color="auto"/>
            </w:tcBorders>
            <w:shd w:val="clear" w:color="auto" w:fill="DDF1F3"/>
            <w:noWrap/>
            <w:vAlign w:val="center"/>
            <w:hideMark/>
          </w:tcPr>
          <w:p w14:paraId="0503019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226</w:t>
            </w:r>
          </w:p>
        </w:tc>
        <w:tc>
          <w:tcPr>
            <w:tcW w:w="850" w:type="dxa"/>
            <w:tcBorders>
              <w:top w:val="nil"/>
              <w:left w:val="nil"/>
              <w:bottom w:val="single" w:sz="4" w:space="0" w:color="auto"/>
              <w:right w:val="single" w:sz="4" w:space="0" w:color="auto"/>
            </w:tcBorders>
            <w:shd w:val="clear" w:color="auto" w:fill="DDF1F3"/>
            <w:noWrap/>
            <w:vAlign w:val="center"/>
            <w:hideMark/>
          </w:tcPr>
          <w:p w14:paraId="5F600CA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170</w:t>
            </w:r>
          </w:p>
        </w:tc>
        <w:tc>
          <w:tcPr>
            <w:tcW w:w="1134" w:type="dxa"/>
            <w:tcBorders>
              <w:top w:val="nil"/>
              <w:left w:val="nil"/>
              <w:bottom w:val="single" w:sz="4" w:space="0" w:color="auto"/>
              <w:right w:val="single" w:sz="8" w:space="0" w:color="auto"/>
            </w:tcBorders>
            <w:shd w:val="clear" w:color="auto" w:fill="DDF1F3"/>
            <w:noWrap/>
            <w:vAlign w:val="center"/>
            <w:hideMark/>
          </w:tcPr>
          <w:p w14:paraId="02D1B7D0"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3,474</w:t>
            </w:r>
          </w:p>
        </w:tc>
      </w:tr>
      <w:tr w:rsidR="00B7630E" w:rsidRPr="003A00CB" w14:paraId="431123AC"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11717C96"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Stroke</w:t>
            </w:r>
          </w:p>
        </w:tc>
        <w:tc>
          <w:tcPr>
            <w:tcW w:w="992" w:type="dxa"/>
            <w:tcBorders>
              <w:top w:val="nil"/>
              <w:left w:val="nil"/>
              <w:bottom w:val="single" w:sz="4" w:space="0" w:color="auto"/>
              <w:right w:val="single" w:sz="4" w:space="0" w:color="auto"/>
            </w:tcBorders>
            <w:shd w:val="clear" w:color="auto" w:fill="DDF1F3"/>
            <w:noWrap/>
            <w:vAlign w:val="center"/>
            <w:hideMark/>
          </w:tcPr>
          <w:p w14:paraId="49C53A0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745</w:t>
            </w:r>
          </w:p>
        </w:tc>
        <w:tc>
          <w:tcPr>
            <w:tcW w:w="939" w:type="dxa"/>
            <w:tcBorders>
              <w:top w:val="nil"/>
              <w:left w:val="nil"/>
              <w:bottom w:val="single" w:sz="4" w:space="0" w:color="auto"/>
              <w:right w:val="single" w:sz="4" w:space="0" w:color="auto"/>
            </w:tcBorders>
            <w:shd w:val="clear" w:color="auto" w:fill="DDF1F3"/>
            <w:noWrap/>
            <w:vAlign w:val="center"/>
            <w:hideMark/>
          </w:tcPr>
          <w:p w14:paraId="2E5090A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1,577</w:t>
            </w:r>
          </w:p>
        </w:tc>
        <w:tc>
          <w:tcPr>
            <w:tcW w:w="904" w:type="dxa"/>
            <w:tcBorders>
              <w:top w:val="nil"/>
              <w:left w:val="nil"/>
              <w:bottom w:val="single" w:sz="4" w:space="0" w:color="auto"/>
              <w:right w:val="single" w:sz="4" w:space="0" w:color="auto"/>
            </w:tcBorders>
            <w:shd w:val="clear" w:color="auto" w:fill="DDF1F3"/>
            <w:noWrap/>
            <w:vAlign w:val="center"/>
            <w:hideMark/>
          </w:tcPr>
          <w:p w14:paraId="63C9927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1,922</w:t>
            </w:r>
          </w:p>
        </w:tc>
        <w:tc>
          <w:tcPr>
            <w:tcW w:w="992" w:type="dxa"/>
            <w:tcBorders>
              <w:top w:val="nil"/>
              <w:left w:val="nil"/>
              <w:bottom w:val="single" w:sz="4" w:space="0" w:color="auto"/>
              <w:right w:val="single" w:sz="4" w:space="0" w:color="auto"/>
            </w:tcBorders>
            <w:shd w:val="clear" w:color="auto" w:fill="DDF1F3"/>
            <w:noWrap/>
            <w:vAlign w:val="center"/>
            <w:hideMark/>
          </w:tcPr>
          <w:p w14:paraId="47056DA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1,584</w:t>
            </w:r>
          </w:p>
        </w:tc>
        <w:tc>
          <w:tcPr>
            <w:tcW w:w="993" w:type="dxa"/>
            <w:tcBorders>
              <w:top w:val="nil"/>
              <w:left w:val="nil"/>
              <w:bottom w:val="single" w:sz="4" w:space="0" w:color="auto"/>
              <w:right w:val="single" w:sz="4" w:space="0" w:color="auto"/>
            </w:tcBorders>
            <w:shd w:val="clear" w:color="auto" w:fill="DDF1F3"/>
            <w:noWrap/>
            <w:vAlign w:val="center"/>
            <w:hideMark/>
          </w:tcPr>
          <w:p w14:paraId="364C4189"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1,069</w:t>
            </w:r>
          </w:p>
        </w:tc>
        <w:tc>
          <w:tcPr>
            <w:tcW w:w="850" w:type="dxa"/>
            <w:tcBorders>
              <w:top w:val="nil"/>
              <w:left w:val="nil"/>
              <w:bottom w:val="single" w:sz="4" w:space="0" w:color="auto"/>
              <w:right w:val="single" w:sz="4" w:space="0" w:color="auto"/>
            </w:tcBorders>
            <w:shd w:val="clear" w:color="auto" w:fill="DDF1F3"/>
            <w:noWrap/>
            <w:vAlign w:val="center"/>
            <w:hideMark/>
          </w:tcPr>
          <w:p w14:paraId="267B028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1,019</w:t>
            </w:r>
          </w:p>
        </w:tc>
        <w:tc>
          <w:tcPr>
            <w:tcW w:w="1134" w:type="dxa"/>
            <w:tcBorders>
              <w:top w:val="nil"/>
              <w:left w:val="nil"/>
              <w:bottom w:val="single" w:sz="4" w:space="0" w:color="auto"/>
              <w:right w:val="single" w:sz="8" w:space="0" w:color="auto"/>
            </w:tcBorders>
            <w:shd w:val="clear" w:color="auto" w:fill="DDF1F3"/>
            <w:noWrap/>
            <w:vAlign w:val="center"/>
            <w:hideMark/>
          </w:tcPr>
          <w:p w14:paraId="581BF19E"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7,916</w:t>
            </w:r>
          </w:p>
        </w:tc>
      </w:tr>
      <w:tr w:rsidR="00B7630E" w:rsidRPr="003A00CB" w14:paraId="7BFD6248"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03925F32"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Palliative Care</w:t>
            </w:r>
          </w:p>
        </w:tc>
        <w:tc>
          <w:tcPr>
            <w:tcW w:w="992" w:type="dxa"/>
            <w:tcBorders>
              <w:top w:val="nil"/>
              <w:left w:val="nil"/>
              <w:bottom w:val="single" w:sz="4" w:space="0" w:color="auto"/>
              <w:right w:val="single" w:sz="4" w:space="0" w:color="auto"/>
            </w:tcBorders>
            <w:shd w:val="clear" w:color="auto" w:fill="DDF1F3"/>
            <w:noWrap/>
            <w:vAlign w:val="center"/>
            <w:hideMark/>
          </w:tcPr>
          <w:p w14:paraId="215AAF3F"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117</w:t>
            </w:r>
          </w:p>
        </w:tc>
        <w:tc>
          <w:tcPr>
            <w:tcW w:w="939" w:type="dxa"/>
            <w:tcBorders>
              <w:top w:val="nil"/>
              <w:left w:val="nil"/>
              <w:bottom w:val="single" w:sz="4" w:space="0" w:color="auto"/>
              <w:right w:val="single" w:sz="4" w:space="0" w:color="auto"/>
            </w:tcBorders>
            <w:shd w:val="clear" w:color="auto" w:fill="DDF1F3"/>
            <w:noWrap/>
            <w:vAlign w:val="center"/>
            <w:hideMark/>
          </w:tcPr>
          <w:p w14:paraId="2F01D290"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372</w:t>
            </w:r>
          </w:p>
        </w:tc>
        <w:tc>
          <w:tcPr>
            <w:tcW w:w="904" w:type="dxa"/>
            <w:tcBorders>
              <w:top w:val="nil"/>
              <w:left w:val="nil"/>
              <w:bottom w:val="single" w:sz="4" w:space="0" w:color="auto"/>
              <w:right w:val="single" w:sz="4" w:space="0" w:color="auto"/>
            </w:tcBorders>
            <w:shd w:val="clear" w:color="auto" w:fill="DDF1F3"/>
            <w:noWrap/>
            <w:vAlign w:val="center"/>
            <w:hideMark/>
          </w:tcPr>
          <w:p w14:paraId="73F7AD8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456</w:t>
            </w:r>
          </w:p>
        </w:tc>
        <w:tc>
          <w:tcPr>
            <w:tcW w:w="992" w:type="dxa"/>
            <w:tcBorders>
              <w:top w:val="nil"/>
              <w:left w:val="nil"/>
              <w:bottom w:val="single" w:sz="4" w:space="0" w:color="auto"/>
              <w:right w:val="single" w:sz="4" w:space="0" w:color="auto"/>
            </w:tcBorders>
            <w:shd w:val="clear" w:color="auto" w:fill="DDF1F3"/>
            <w:noWrap/>
            <w:vAlign w:val="center"/>
            <w:hideMark/>
          </w:tcPr>
          <w:p w14:paraId="7FC8543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462</w:t>
            </w:r>
          </w:p>
        </w:tc>
        <w:tc>
          <w:tcPr>
            <w:tcW w:w="993" w:type="dxa"/>
            <w:tcBorders>
              <w:top w:val="nil"/>
              <w:left w:val="nil"/>
              <w:bottom w:val="single" w:sz="4" w:space="0" w:color="auto"/>
              <w:right w:val="single" w:sz="4" w:space="0" w:color="auto"/>
            </w:tcBorders>
            <w:shd w:val="clear" w:color="auto" w:fill="DDF1F3"/>
            <w:noWrap/>
            <w:vAlign w:val="center"/>
            <w:hideMark/>
          </w:tcPr>
          <w:p w14:paraId="43533205"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356</w:t>
            </w:r>
          </w:p>
        </w:tc>
        <w:tc>
          <w:tcPr>
            <w:tcW w:w="850" w:type="dxa"/>
            <w:tcBorders>
              <w:top w:val="nil"/>
              <w:left w:val="nil"/>
              <w:bottom w:val="single" w:sz="4" w:space="0" w:color="auto"/>
              <w:right w:val="single" w:sz="4" w:space="0" w:color="auto"/>
            </w:tcBorders>
            <w:shd w:val="clear" w:color="auto" w:fill="DDF1F3"/>
            <w:noWrap/>
            <w:vAlign w:val="center"/>
            <w:hideMark/>
          </w:tcPr>
          <w:p w14:paraId="69B2CFA4"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481</w:t>
            </w:r>
          </w:p>
        </w:tc>
        <w:tc>
          <w:tcPr>
            <w:tcW w:w="1134" w:type="dxa"/>
            <w:tcBorders>
              <w:top w:val="nil"/>
              <w:left w:val="nil"/>
              <w:bottom w:val="single" w:sz="4" w:space="0" w:color="auto"/>
              <w:right w:val="single" w:sz="8" w:space="0" w:color="auto"/>
            </w:tcBorders>
            <w:shd w:val="clear" w:color="auto" w:fill="DDF1F3"/>
            <w:noWrap/>
            <w:vAlign w:val="center"/>
            <w:hideMark/>
          </w:tcPr>
          <w:p w14:paraId="0BD4C104"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2,244</w:t>
            </w:r>
          </w:p>
        </w:tc>
      </w:tr>
      <w:tr w:rsidR="00B7630E" w:rsidRPr="003A00CB" w14:paraId="63E6E565"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42B06E53"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Atrial Fibrillation</w:t>
            </w:r>
          </w:p>
        </w:tc>
        <w:tc>
          <w:tcPr>
            <w:tcW w:w="992" w:type="dxa"/>
            <w:tcBorders>
              <w:top w:val="nil"/>
              <w:left w:val="nil"/>
              <w:bottom w:val="single" w:sz="4" w:space="0" w:color="auto"/>
              <w:right w:val="single" w:sz="4" w:space="0" w:color="auto"/>
            </w:tcBorders>
            <w:shd w:val="clear" w:color="auto" w:fill="DDF1F3"/>
            <w:noWrap/>
            <w:vAlign w:val="center"/>
            <w:hideMark/>
          </w:tcPr>
          <w:p w14:paraId="05853DE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1,137</w:t>
            </w:r>
          </w:p>
        </w:tc>
        <w:tc>
          <w:tcPr>
            <w:tcW w:w="939" w:type="dxa"/>
            <w:tcBorders>
              <w:top w:val="nil"/>
              <w:left w:val="nil"/>
              <w:bottom w:val="single" w:sz="4" w:space="0" w:color="auto"/>
              <w:right w:val="single" w:sz="4" w:space="0" w:color="auto"/>
            </w:tcBorders>
            <w:shd w:val="clear" w:color="auto" w:fill="DDF1F3"/>
            <w:noWrap/>
            <w:vAlign w:val="center"/>
            <w:hideMark/>
          </w:tcPr>
          <w:p w14:paraId="63A4489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2,240</w:t>
            </w:r>
          </w:p>
        </w:tc>
        <w:tc>
          <w:tcPr>
            <w:tcW w:w="904" w:type="dxa"/>
            <w:tcBorders>
              <w:top w:val="nil"/>
              <w:left w:val="nil"/>
              <w:bottom w:val="single" w:sz="4" w:space="0" w:color="auto"/>
              <w:right w:val="single" w:sz="4" w:space="0" w:color="auto"/>
            </w:tcBorders>
            <w:shd w:val="clear" w:color="auto" w:fill="DDF1F3"/>
            <w:noWrap/>
            <w:vAlign w:val="center"/>
            <w:hideMark/>
          </w:tcPr>
          <w:p w14:paraId="3080BC5E"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2,641</w:t>
            </w:r>
          </w:p>
        </w:tc>
        <w:tc>
          <w:tcPr>
            <w:tcW w:w="992" w:type="dxa"/>
            <w:tcBorders>
              <w:top w:val="nil"/>
              <w:left w:val="nil"/>
              <w:bottom w:val="single" w:sz="4" w:space="0" w:color="auto"/>
              <w:right w:val="single" w:sz="4" w:space="0" w:color="auto"/>
            </w:tcBorders>
            <w:shd w:val="clear" w:color="auto" w:fill="DDF1F3"/>
            <w:noWrap/>
            <w:vAlign w:val="center"/>
            <w:hideMark/>
          </w:tcPr>
          <w:p w14:paraId="55C725E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2,291</w:t>
            </w:r>
          </w:p>
        </w:tc>
        <w:tc>
          <w:tcPr>
            <w:tcW w:w="993" w:type="dxa"/>
            <w:tcBorders>
              <w:top w:val="nil"/>
              <w:left w:val="nil"/>
              <w:bottom w:val="single" w:sz="4" w:space="0" w:color="auto"/>
              <w:right w:val="single" w:sz="4" w:space="0" w:color="auto"/>
            </w:tcBorders>
            <w:shd w:val="clear" w:color="auto" w:fill="DDF1F3"/>
            <w:noWrap/>
            <w:vAlign w:val="center"/>
            <w:hideMark/>
          </w:tcPr>
          <w:p w14:paraId="540530B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1,502</w:t>
            </w:r>
          </w:p>
        </w:tc>
        <w:tc>
          <w:tcPr>
            <w:tcW w:w="850" w:type="dxa"/>
            <w:tcBorders>
              <w:top w:val="nil"/>
              <w:left w:val="nil"/>
              <w:bottom w:val="single" w:sz="4" w:space="0" w:color="auto"/>
              <w:right w:val="single" w:sz="4" w:space="0" w:color="auto"/>
            </w:tcBorders>
            <w:shd w:val="clear" w:color="auto" w:fill="DDF1F3"/>
            <w:noWrap/>
            <w:vAlign w:val="center"/>
            <w:hideMark/>
          </w:tcPr>
          <w:p w14:paraId="662B69C5"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1,368</w:t>
            </w:r>
          </w:p>
        </w:tc>
        <w:tc>
          <w:tcPr>
            <w:tcW w:w="1134" w:type="dxa"/>
            <w:tcBorders>
              <w:top w:val="nil"/>
              <w:left w:val="nil"/>
              <w:bottom w:val="single" w:sz="4" w:space="0" w:color="auto"/>
              <w:right w:val="single" w:sz="8" w:space="0" w:color="auto"/>
            </w:tcBorders>
            <w:shd w:val="clear" w:color="auto" w:fill="DDF1F3"/>
            <w:noWrap/>
            <w:vAlign w:val="center"/>
            <w:hideMark/>
          </w:tcPr>
          <w:p w14:paraId="2A85A3BA"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11,179</w:t>
            </w:r>
          </w:p>
        </w:tc>
      </w:tr>
      <w:tr w:rsidR="00B7630E" w:rsidRPr="003A00CB" w14:paraId="5E3C59B6"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2BFB30D4"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Rheumatoid Arthritis</w:t>
            </w:r>
          </w:p>
        </w:tc>
        <w:tc>
          <w:tcPr>
            <w:tcW w:w="992" w:type="dxa"/>
            <w:tcBorders>
              <w:top w:val="nil"/>
              <w:left w:val="nil"/>
              <w:bottom w:val="single" w:sz="4" w:space="0" w:color="auto"/>
              <w:right w:val="single" w:sz="4" w:space="0" w:color="auto"/>
            </w:tcBorders>
            <w:shd w:val="clear" w:color="auto" w:fill="DDF1F3"/>
            <w:noWrap/>
            <w:vAlign w:val="center"/>
            <w:hideMark/>
          </w:tcPr>
          <w:p w14:paraId="5E8D066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686</w:t>
            </w:r>
          </w:p>
        </w:tc>
        <w:tc>
          <w:tcPr>
            <w:tcW w:w="939" w:type="dxa"/>
            <w:tcBorders>
              <w:top w:val="nil"/>
              <w:left w:val="nil"/>
              <w:bottom w:val="single" w:sz="4" w:space="0" w:color="auto"/>
              <w:right w:val="single" w:sz="4" w:space="0" w:color="auto"/>
            </w:tcBorders>
            <w:shd w:val="clear" w:color="auto" w:fill="DDF1F3"/>
            <w:noWrap/>
            <w:vAlign w:val="center"/>
            <w:hideMark/>
          </w:tcPr>
          <w:p w14:paraId="633AE7D8"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791</w:t>
            </w:r>
          </w:p>
        </w:tc>
        <w:tc>
          <w:tcPr>
            <w:tcW w:w="904" w:type="dxa"/>
            <w:tcBorders>
              <w:top w:val="nil"/>
              <w:left w:val="nil"/>
              <w:bottom w:val="single" w:sz="4" w:space="0" w:color="auto"/>
              <w:right w:val="single" w:sz="4" w:space="0" w:color="auto"/>
            </w:tcBorders>
            <w:shd w:val="clear" w:color="auto" w:fill="DDF1F3"/>
            <w:noWrap/>
            <w:vAlign w:val="center"/>
            <w:hideMark/>
          </w:tcPr>
          <w:p w14:paraId="65DD282D"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688</w:t>
            </w:r>
          </w:p>
        </w:tc>
        <w:tc>
          <w:tcPr>
            <w:tcW w:w="992" w:type="dxa"/>
            <w:tcBorders>
              <w:top w:val="nil"/>
              <w:left w:val="nil"/>
              <w:bottom w:val="single" w:sz="4" w:space="0" w:color="auto"/>
              <w:right w:val="single" w:sz="4" w:space="0" w:color="auto"/>
            </w:tcBorders>
            <w:shd w:val="clear" w:color="auto" w:fill="DDF1F3"/>
            <w:noWrap/>
            <w:vAlign w:val="center"/>
            <w:hideMark/>
          </w:tcPr>
          <w:p w14:paraId="705B36F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414</w:t>
            </w:r>
          </w:p>
        </w:tc>
        <w:tc>
          <w:tcPr>
            <w:tcW w:w="993" w:type="dxa"/>
            <w:tcBorders>
              <w:top w:val="nil"/>
              <w:left w:val="nil"/>
              <w:bottom w:val="single" w:sz="4" w:space="0" w:color="auto"/>
              <w:right w:val="single" w:sz="4" w:space="0" w:color="auto"/>
            </w:tcBorders>
            <w:shd w:val="clear" w:color="auto" w:fill="DDF1F3"/>
            <w:noWrap/>
            <w:vAlign w:val="center"/>
            <w:hideMark/>
          </w:tcPr>
          <w:p w14:paraId="76587BC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247</w:t>
            </w:r>
          </w:p>
        </w:tc>
        <w:tc>
          <w:tcPr>
            <w:tcW w:w="850" w:type="dxa"/>
            <w:tcBorders>
              <w:top w:val="nil"/>
              <w:left w:val="nil"/>
              <w:bottom w:val="single" w:sz="4" w:space="0" w:color="auto"/>
              <w:right w:val="single" w:sz="4" w:space="0" w:color="auto"/>
            </w:tcBorders>
            <w:shd w:val="clear" w:color="auto" w:fill="DDF1F3"/>
            <w:noWrap/>
            <w:vAlign w:val="center"/>
            <w:hideMark/>
          </w:tcPr>
          <w:p w14:paraId="3B920179"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207</w:t>
            </w:r>
          </w:p>
        </w:tc>
        <w:tc>
          <w:tcPr>
            <w:tcW w:w="1134" w:type="dxa"/>
            <w:tcBorders>
              <w:top w:val="nil"/>
              <w:left w:val="nil"/>
              <w:bottom w:val="single" w:sz="4" w:space="0" w:color="auto"/>
              <w:right w:val="single" w:sz="8" w:space="0" w:color="auto"/>
            </w:tcBorders>
            <w:shd w:val="clear" w:color="auto" w:fill="DDF1F3"/>
            <w:noWrap/>
            <w:vAlign w:val="center"/>
            <w:hideMark/>
          </w:tcPr>
          <w:p w14:paraId="6B4F59FE"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3,033</w:t>
            </w:r>
          </w:p>
        </w:tc>
      </w:tr>
      <w:tr w:rsidR="00B7630E" w:rsidRPr="003A00CB" w14:paraId="628A9625" w14:textId="77777777" w:rsidTr="00B7630E">
        <w:trPr>
          <w:trHeight w:val="300"/>
        </w:trPr>
        <w:tc>
          <w:tcPr>
            <w:tcW w:w="2967" w:type="dxa"/>
            <w:tcBorders>
              <w:top w:val="nil"/>
              <w:left w:val="single" w:sz="8" w:space="0" w:color="auto"/>
              <w:bottom w:val="single" w:sz="4" w:space="0" w:color="auto"/>
              <w:right w:val="single" w:sz="4" w:space="0" w:color="auto"/>
            </w:tcBorders>
            <w:shd w:val="clear" w:color="auto" w:fill="DDF1F3"/>
            <w:noWrap/>
            <w:vAlign w:val="bottom"/>
            <w:hideMark/>
          </w:tcPr>
          <w:p w14:paraId="4C4A7F72"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Peripheral Arterial Disease</w:t>
            </w:r>
          </w:p>
        </w:tc>
        <w:tc>
          <w:tcPr>
            <w:tcW w:w="992" w:type="dxa"/>
            <w:tcBorders>
              <w:top w:val="nil"/>
              <w:left w:val="nil"/>
              <w:bottom w:val="single" w:sz="4" w:space="0" w:color="auto"/>
              <w:right w:val="single" w:sz="4" w:space="0" w:color="auto"/>
            </w:tcBorders>
            <w:shd w:val="clear" w:color="auto" w:fill="DDF1F3"/>
            <w:noWrap/>
            <w:vAlign w:val="center"/>
            <w:hideMark/>
          </w:tcPr>
          <w:p w14:paraId="61081A9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160</w:t>
            </w:r>
          </w:p>
        </w:tc>
        <w:tc>
          <w:tcPr>
            <w:tcW w:w="939" w:type="dxa"/>
            <w:tcBorders>
              <w:top w:val="nil"/>
              <w:left w:val="nil"/>
              <w:bottom w:val="single" w:sz="4" w:space="0" w:color="auto"/>
              <w:right w:val="single" w:sz="4" w:space="0" w:color="auto"/>
            </w:tcBorders>
            <w:shd w:val="clear" w:color="auto" w:fill="DDF1F3"/>
            <w:noWrap/>
            <w:vAlign w:val="center"/>
            <w:hideMark/>
          </w:tcPr>
          <w:p w14:paraId="0EF02AEF"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291</w:t>
            </w:r>
          </w:p>
        </w:tc>
        <w:tc>
          <w:tcPr>
            <w:tcW w:w="904" w:type="dxa"/>
            <w:tcBorders>
              <w:top w:val="nil"/>
              <w:left w:val="nil"/>
              <w:bottom w:val="single" w:sz="4" w:space="0" w:color="auto"/>
              <w:right w:val="single" w:sz="4" w:space="0" w:color="auto"/>
            </w:tcBorders>
            <w:shd w:val="clear" w:color="auto" w:fill="DDF1F3"/>
            <w:noWrap/>
            <w:vAlign w:val="center"/>
            <w:hideMark/>
          </w:tcPr>
          <w:p w14:paraId="2EABC8C6"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394</w:t>
            </w:r>
          </w:p>
        </w:tc>
        <w:tc>
          <w:tcPr>
            <w:tcW w:w="992" w:type="dxa"/>
            <w:tcBorders>
              <w:top w:val="nil"/>
              <w:left w:val="nil"/>
              <w:bottom w:val="single" w:sz="4" w:space="0" w:color="auto"/>
              <w:right w:val="single" w:sz="4" w:space="0" w:color="auto"/>
            </w:tcBorders>
            <w:shd w:val="clear" w:color="auto" w:fill="DDF1F3"/>
            <w:noWrap/>
            <w:vAlign w:val="center"/>
            <w:hideMark/>
          </w:tcPr>
          <w:p w14:paraId="0F422561"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413</w:t>
            </w:r>
          </w:p>
        </w:tc>
        <w:tc>
          <w:tcPr>
            <w:tcW w:w="993" w:type="dxa"/>
            <w:tcBorders>
              <w:top w:val="nil"/>
              <w:left w:val="nil"/>
              <w:bottom w:val="single" w:sz="4" w:space="0" w:color="auto"/>
              <w:right w:val="single" w:sz="4" w:space="0" w:color="auto"/>
            </w:tcBorders>
            <w:shd w:val="clear" w:color="auto" w:fill="DDF1F3"/>
            <w:noWrap/>
            <w:vAlign w:val="center"/>
            <w:hideMark/>
          </w:tcPr>
          <w:p w14:paraId="77A0BEB8"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304</w:t>
            </w:r>
          </w:p>
        </w:tc>
        <w:tc>
          <w:tcPr>
            <w:tcW w:w="850" w:type="dxa"/>
            <w:tcBorders>
              <w:top w:val="nil"/>
              <w:left w:val="nil"/>
              <w:bottom w:val="single" w:sz="4" w:space="0" w:color="auto"/>
              <w:right w:val="single" w:sz="4" w:space="0" w:color="auto"/>
            </w:tcBorders>
            <w:shd w:val="clear" w:color="auto" w:fill="DDF1F3"/>
            <w:noWrap/>
            <w:vAlign w:val="center"/>
            <w:hideMark/>
          </w:tcPr>
          <w:p w14:paraId="6CC199CB"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373</w:t>
            </w:r>
          </w:p>
        </w:tc>
        <w:tc>
          <w:tcPr>
            <w:tcW w:w="1134" w:type="dxa"/>
            <w:tcBorders>
              <w:top w:val="nil"/>
              <w:left w:val="nil"/>
              <w:bottom w:val="single" w:sz="4" w:space="0" w:color="auto"/>
              <w:right w:val="single" w:sz="8" w:space="0" w:color="auto"/>
            </w:tcBorders>
            <w:shd w:val="clear" w:color="auto" w:fill="DDF1F3"/>
            <w:noWrap/>
            <w:vAlign w:val="center"/>
            <w:hideMark/>
          </w:tcPr>
          <w:p w14:paraId="5A35F1D0"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1,935</w:t>
            </w:r>
          </w:p>
        </w:tc>
      </w:tr>
      <w:tr w:rsidR="00B7630E" w:rsidRPr="003A00CB" w14:paraId="1564A8E6" w14:textId="77777777" w:rsidTr="00B7630E">
        <w:trPr>
          <w:trHeight w:val="315"/>
        </w:trPr>
        <w:tc>
          <w:tcPr>
            <w:tcW w:w="2967" w:type="dxa"/>
            <w:tcBorders>
              <w:top w:val="nil"/>
              <w:left w:val="single" w:sz="8" w:space="0" w:color="auto"/>
              <w:bottom w:val="nil"/>
              <w:right w:val="single" w:sz="4" w:space="0" w:color="auto"/>
            </w:tcBorders>
            <w:shd w:val="clear" w:color="auto" w:fill="DDF1F3"/>
            <w:noWrap/>
            <w:vAlign w:val="bottom"/>
            <w:hideMark/>
          </w:tcPr>
          <w:p w14:paraId="79AF049F" w14:textId="77777777" w:rsidR="003A00CB" w:rsidRPr="003A00CB" w:rsidRDefault="003A00CB" w:rsidP="003A00CB">
            <w:pPr>
              <w:spacing w:before="0" w:after="0" w:line="240" w:lineRule="auto"/>
              <w:rPr>
                <w:rFonts w:ascii="Arial" w:eastAsia="Times New Roman" w:hAnsi="Arial"/>
                <w:color w:val="000000"/>
                <w:sz w:val="20"/>
                <w:szCs w:val="20"/>
              </w:rPr>
            </w:pPr>
            <w:r w:rsidRPr="003A00CB">
              <w:rPr>
                <w:rFonts w:ascii="Arial" w:eastAsia="Times New Roman" w:hAnsi="Arial"/>
                <w:color w:val="000000"/>
                <w:sz w:val="20"/>
                <w:szCs w:val="20"/>
              </w:rPr>
              <w:t>Learning Disability</w:t>
            </w:r>
          </w:p>
        </w:tc>
        <w:tc>
          <w:tcPr>
            <w:tcW w:w="992" w:type="dxa"/>
            <w:tcBorders>
              <w:top w:val="nil"/>
              <w:left w:val="nil"/>
              <w:bottom w:val="nil"/>
              <w:right w:val="single" w:sz="4" w:space="0" w:color="auto"/>
            </w:tcBorders>
            <w:shd w:val="clear" w:color="auto" w:fill="DDF1F3"/>
            <w:noWrap/>
            <w:vAlign w:val="center"/>
            <w:hideMark/>
          </w:tcPr>
          <w:p w14:paraId="4A513947"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1,071</w:t>
            </w:r>
          </w:p>
        </w:tc>
        <w:tc>
          <w:tcPr>
            <w:tcW w:w="939" w:type="dxa"/>
            <w:tcBorders>
              <w:top w:val="nil"/>
              <w:left w:val="nil"/>
              <w:bottom w:val="nil"/>
              <w:right w:val="single" w:sz="4" w:space="0" w:color="auto"/>
            </w:tcBorders>
            <w:shd w:val="clear" w:color="auto" w:fill="DDF1F3"/>
            <w:noWrap/>
            <w:vAlign w:val="center"/>
            <w:hideMark/>
          </w:tcPr>
          <w:p w14:paraId="290F39D4"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723</w:t>
            </w:r>
          </w:p>
        </w:tc>
        <w:tc>
          <w:tcPr>
            <w:tcW w:w="904" w:type="dxa"/>
            <w:tcBorders>
              <w:top w:val="nil"/>
              <w:left w:val="nil"/>
              <w:bottom w:val="nil"/>
              <w:right w:val="single" w:sz="4" w:space="0" w:color="auto"/>
            </w:tcBorders>
            <w:shd w:val="clear" w:color="auto" w:fill="DDF1F3"/>
            <w:noWrap/>
            <w:vAlign w:val="center"/>
            <w:hideMark/>
          </w:tcPr>
          <w:p w14:paraId="482A361C"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355</w:t>
            </w:r>
          </w:p>
        </w:tc>
        <w:tc>
          <w:tcPr>
            <w:tcW w:w="992" w:type="dxa"/>
            <w:tcBorders>
              <w:top w:val="nil"/>
              <w:left w:val="nil"/>
              <w:bottom w:val="nil"/>
              <w:right w:val="single" w:sz="4" w:space="0" w:color="auto"/>
            </w:tcBorders>
            <w:shd w:val="clear" w:color="auto" w:fill="DDF1F3"/>
            <w:noWrap/>
            <w:vAlign w:val="center"/>
            <w:hideMark/>
          </w:tcPr>
          <w:p w14:paraId="166A9D93"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135</w:t>
            </w:r>
          </w:p>
        </w:tc>
        <w:tc>
          <w:tcPr>
            <w:tcW w:w="993" w:type="dxa"/>
            <w:tcBorders>
              <w:top w:val="nil"/>
              <w:left w:val="nil"/>
              <w:bottom w:val="nil"/>
              <w:right w:val="single" w:sz="4" w:space="0" w:color="auto"/>
            </w:tcBorders>
            <w:shd w:val="clear" w:color="auto" w:fill="DDF1F3"/>
            <w:noWrap/>
            <w:vAlign w:val="center"/>
            <w:hideMark/>
          </w:tcPr>
          <w:p w14:paraId="132BDC3C"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66</w:t>
            </w:r>
          </w:p>
        </w:tc>
        <w:tc>
          <w:tcPr>
            <w:tcW w:w="850" w:type="dxa"/>
            <w:tcBorders>
              <w:top w:val="nil"/>
              <w:left w:val="nil"/>
              <w:bottom w:val="nil"/>
              <w:right w:val="single" w:sz="4" w:space="0" w:color="auto"/>
            </w:tcBorders>
            <w:shd w:val="clear" w:color="auto" w:fill="DDF1F3"/>
            <w:noWrap/>
            <w:vAlign w:val="center"/>
            <w:hideMark/>
          </w:tcPr>
          <w:p w14:paraId="14AC9662"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31</w:t>
            </w:r>
          </w:p>
        </w:tc>
        <w:tc>
          <w:tcPr>
            <w:tcW w:w="1134" w:type="dxa"/>
            <w:tcBorders>
              <w:top w:val="nil"/>
              <w:left w:val="nil"/>
              <w:bottom w:val="nil"/>
              <w:right w:val="single" w:sz="8" w:space="0" w:color="auto"/>
            </w:tcBorders>
            <w:shd w:val="clear" w:color="auto" w:fill="DDF1F3"/>
            <w:noWrap/>
            <w:vAlign w:val="center"/>
            <w:hideMark/>
          </w:tcPr>
          <w:p w14:paraId="3C11E400" w14:textId="77777777" w:rsidR="003A00CB" w:rsidRPr="003A00CB" w:rsidRDefault="003A00CB" w:rsidP="003A00CB">
            <w:pPr>
              <w:spacing w:before="0" w:after="0" w:line="240" w:lineRule="auto"/>
              <w:jc w:val="center"/>
              <w:rPr>
                <w:rFonts w:ascii="Arial" w:eastAsia="Times New Roman" w:hAnsi="Arial"/>
                <w:color w:val="000000"/>
                <w:sz w:val="20"/>
                <w:szCs w:val="20"/>
              </w:rPr>
            </w:pPr>
            <w:r w:rsidRPr="003A00CB">
              <w:rPr>
                <w:rFonts w:ascii="Arial" w:eastAsia="Times New Roman" w:hAnsi="Arial"/>
                <w:color w:val="000000"/>
                <w:sz w:val="20"/>
                <w:szCs w:val="20"/>
              </w:rPr>
              <w:t>2,381</w:t>
            </w:r>
          </w:p>
        </w:tc>
      </w:tr>
      <w:tr w:rsidR="00B7630E" w:rsidRPr="003A00CB" w14:paraId="78BE8475" w14:textId="77777777" w:rsidTr="00B7630E">
        <w:trPr>
          <w:trHeight w:val="300"/>
        </w:trPr>
        <w:tc>
          <w:tcPr>
            <w:tcW w:w="2967" w:type="dxa"/>
            <w:tcBorders>
              <w:top w:val="single" w:sz="8" w:space="0" w:color="auto"/>
              <w:left w:val="single" w:sz="8" w:space="0" w:color="auto"/>
              <w:bottom w:val="single" w:sz="4" w:space="0" w:color="auto"/>
              <w:right w:val="single" w:sz="4" w:space="0" w:color="auto"/>
            </w:tcBorders>
            <w:shd w:val="clear" w:color="auto" w:fill="2D7C82"/>
            <w:noWrap/>
            <w:vAlign w:val="bottom"/>
            <w:hideMark/>
          </w:tcPr>
          <w:p w14:paraId="51B02B50" w14:textId="77777777" w:rsidR="003A00CB" w:rsidRPr="003A00CB" w:rsidRDefault="003A00CB" w:rsidP="003A00CB">
            <w:pPr>
              <w:spacing w:before="0" w:after="0" w:line="240" w:lineRule="auto"/>
              <w:rPr>
                <w:rFonts w:ascii="Calibri" w:eastAsia="Times New Roman" w:hAnsi="Calibri" w:cs="Calibri"/>
                <w:b/>
                <w:bCs/>
                <w:color w:val="FFFFFF" w:themeColor="background1"/>
                <w:sz w:val="22"/>
                <w:szCs w:val="22"/>
              </w:rPr>
            </w:pPr>
            <w:r w:rsidRPr="003A00CB">
              <w:rPr>
                <w:rFonts w:ascii="Calibri" w:eastAsia="Times New Roman" w:hAnsi="Calibri" w:cs="Calibri"/>
                <w:b/>
                <w:bCs/>
                <w:color w:val="FFFFFF" w:themeColor="background1"/>
                <w:sz w:val="22"/>
                <w:szCs w:val="22"/>
              </w:rPr>
              <w:t xml:space="preserve">LTC Count (West Kent </w:t>
            </w:r>
            <w:bookmarkStart w:id="83" w:name="_Int_YJdnvzIz"/>
            <w:r w:rsidRPr="003A00CB">
              <w:rPr>
                <w:rFonts w:ascii="Calibri" w:eastAsia="Times New Roman" w:hAnsi="Calibri" w:cs="Calibri"/>
                <w:b/>
                <w:bCs/>
                <w:color w:val="FFFFFF" w:themeColor="background1"/>
                <w:sz w:val="22"/>
                <w:szCs w:val="22"/>
              </w:rPr>
              <w:t>HCP</w:t>
            </w:r>
            <w:bookmarkEnd w:id="83"/>
            <w:r w:rsidRPr="003A00CB">
              <w:rPr>
                <w:rFonts w:ascii="Calibri" w:eastAsia="Times New Roman" w:hAnsi="Calibri" w:cs="Calibri"/>
                <w:b/>
                <w:bCs/>
                <w:color w:val="FFFFFF" w:themeColor="background1"/>
                <w:sz w:val="22"/>
                <w:szCs w:val="22"/>
              </w:rPr>
              <w:t xml:space="preserve"> Pop)</w:t>
            </w:r>
          </w:p>
        </w:tc>
        <w:tc>
          <w:tcPr>
            <w:tcW w:w="992" w:type="dxa"/>
            <w:tcBorders>
              <w:top w:val="single" w:sz="8" w:space="0" w:color="auto"/>
              <w:left w:val="nil"/>
              <w:bottom w:val="single" w:sz="4" w:space="0" w:color="auto"/>
              <w:right w:val="single" w:sz="4" w:space="0" w:color="auto"/>
            </w:tcBorders>
            <w:shd w:val="clear" w:color="auto" w:fill="2D7C82"/>
            <w:noWrap/>
            <w:vAlign w:val="center"/>
            <w:hideMark/>
          </w:tcPr>
          <w:p w14:paraId="6E7A78E5" w14:textId="77777777" w:rsidR="003A00CB" w:rsidRPr="003A00CB" w:rsidRDefault="003A00CB" w:rsidP="003A00CB">
            <w:pPr>
              <w:spacing w:before="0" w:after="0" w:line="240" w:lineRule="auto"/>
              <w:jc w:val="center"/>
              <w:rPr>
                <w:rFonts w:ascii="Arial" w:eastAsia="Times New Roman" w:hAnsi="Arial"/>
                <w:b/>
                <w:bCs/>
                <w:color w:val="FFFFFF" w:themeColor="background1"/>
                <w:sz w:val="20"/>
                <w:szCs w:val="20"/>
              </w:rPr>
            </w:pPr>
            <w:r w:rsidRPr="003A00CB">
              <w:rPr>
                <w:rFonts w:ascii="Arial" w:eastAsia="Times New Roman" w:hAnsi="Arial"/>
                <w:b/>
                <w:bCs/>
                <w:color w:val="FFFFFF" w:themeColor="background1"/>
                <w:sz w:val="20"/>
                <w:szCs w:val="20"/>
              </w:rPr>
              <w:t>1</w:t>
            </w:r>
          </w:p>
        </w:tc>
        <w:tc>
          <w:tcPr>
            <w:tcW w:w="939" w:type="dxa"/>
            <w:tcBorders>
              <w:top w:val="single" w:sz="8" w:space="0" w:color="auto"/>
              <w:left w:val="nil"/>
              <w:bottom w:val="single" w:sz="4" w:space="0" w:color="auto"/>
              <w:right w:val="single" w:sz="4" w:space="0" w:color="auto"/>
            </w:tcBorders>
            <w:shd w:val="clear" w:color="auto" w:fill="2D7C82"/>
            <w:noWrap/>
            <w:vAlign w:val="center"/>
            <w:hideMark/>
          </w:tcPr>
          <w:p w14:paraId="6B7CEB6A" w14:textId="77777777" w:rsidR="003A00CB" w:rsidRPr="003A00CB" w:rsidRDefault="003A00CB" w:rsidP="003A00CB">
            <w:pPr>
              <w:spacing w:before="0" w:after="0" w:line="240" w:lineRule="auto"/>
              <w:jc w:val="center"/>
              <w:rPr>
                <w:rFonts w:ascii="Arial" w:eastAsia="Times New Roman" w:hAnsi="Arial"/>
                <w:b/>
                <w:bCs/>
                <w:color w:val="FFFFFF" w:themeColor="background1"/>
                <w:sz w:val="20"/>
                <w:szCs w:val="20"/>
              </w:rPr>
            </w:pPr>
            <w:r w:rsidRPr="003A00CB">
              <w:rPr>
                <w:rFonts w:ascii="Arial" w:eastAsia="Times New Roman" w:hAnsi="Arial"/>
                <w:b/>
                <w:bCs/>
                <w:color w:val="FFFFFF" w:themeColor="background1"/>
                <w:sz w:val="20"/>
                <w:szCs w:val="20"/>
              </w:rPr>
              <w:t>2</w:t>
            </w:r>
          </w:p>
        </w:tc>
        <w:tc>
          <w:tcPr>
            <w:tcW w:w="904" w:type="dxa"/>
            <w:tcBorders>
              <w:top w:val="single" w:sz="8" w:space="0" w:color="auto"/>
              <w:left w:val="nil"/>
              <w:bottom w:val="single" w:sz="4" w:space="0" w:color="auto"/>
              <w:right w:val="single" w:sz="4" w:space="0" w:color="auto"/>
            </w:tcBorders>
            <w:shd w:val="clear" w:color="auto" w:fill="2D7C82"/>
            <w:noWrap/>
            <w:vAlign w:val="center"/>
            <w:hideMark/>
          </w:tcPr>
          <w:p w14:paraId="32603606" w14:textId="77777777" w:rsidR="003A00CB" w:rsidRPr="003A00CB" w:rsidRDefault="003A00CB" w:rsidP="003A00CB">
            <w:pPr>
              <w:spacing w:before="0" w:after="0" w:line="240" w:lineRule="auto"/>
              <w:jc w:val="center"/>
              <w:rPr>
                <w:rFonts w:ascii="Arial" w:eastAsia="Times New Roman" w:hAnsi="Arial"/>
                <w:b/>
                <w:bCs/>
                <w:color w:val="FFFFFF" w:themeColor="background1"/>
                <w:sz w:val="20"/>
                <w:szCs w:val="20"/>
              </w:rPr>
            </w:pPr>
            <w:r w:rsidRPr="003A00CB">
              <w:rPr>
                <w:rFonts w:ascii="Arial" w:eastAsia="Times New Roman" w:hAnsi="Arial"/>
                <w:b/>
                <w:bCs/>
                <w:color w:val="FFFFFF" w:themeColor="background1"/>
                <w:sz w:val="20"/>
                <w:szCs w:val="20"/>
              </w:rPr>
              <w:t>3</w:t>
            </w:r>
          </w:p>
        </w:tc>
        <w:tc>
          <w:tcPr>
            <w:tcW w:w="992" w:type="dxa"/>
            <w:tcBorders>
              <w:top w:val="single" w:sz="8" w:space="0" w:color="auto"/>
              <w:left w:val="nil"/>
              <w:bottom w:val="single" w:sz="4" w:space="0" w:color="auto"/>
              <w:right w:val="single" w:sz="4" w:space="0" w:color="auto"/>
            </w:tcBorders>
            <w:shd w:val="clear" w:color="auto" w:fill="2D7C82"/>
            <w:noWrap/>
            <w:vAlign w:val="center"/>
            <w:hideMark/>
          </w:tcPr>
          <w:p w14:paraId="3005490A" w14:textId="77777777" w:rsidR="003A00CB" w:rsidRPr="003A00CB" w:rsidRDefault="003A00CB" w:rsidP="003A00CB">
            <w:pPr>
              <w:spacing w:before="0" w:after="0" w:line="240" w:lineRule="auto"/>
              <w:jc w:val="center"/>
              <w:rPr>
                <w:rFonts w:ascii="Arial" w:eastAsia="Times New Roman" w:hAnsi="Arial"/>
                <w:b/>
                <w:bCs/>
                <w:color w:val="FFFFFF" w:themeColor="background1"/>
                <w:sz w:val="20"/>
                <w:szCs w:val="20"/>
              </w:rPr>
            </w:pPr>
            <w:r w:rsidRPr="003A00CB">
              <w:rPr>
                <w:rFonts w:ascii="Arial" w:eastAsia="Times New Roman" w:hAnsi="Arial"/>
                <w:b/>
                <w:bCs/>
                <w:color w:val="FFFFFF" w:themeColor="background1"/>
                <w:sz w:val="20"/>
                <w:szCs w:val="20"/>
              </w:rPr>
              <w:t>4</w:t>
            </w:r>
          </w:p>
        </w:tc>
        <w:tc>
          <w:tcPr>
            <w:tcW w:w="993" w:type="dxa"/>
            <w:tcBorders>
              <w:top w:val="single" w:sz="8" w:space="0" w:color="auto"/>
              <w:left w:val="nil"/>
              <w:bottom w:val="single" w:sz="4" w:space="0" w:color="auto"/>
              <w:right w:val="single" w:sz="4" w:space="0" w:color="auto"/>
            </w:tcBorders>
            <w:shd w:val="clear" w:color="auto" w:fill="2D7C82"/>
            <w:noWrap/>
            <w:vAlign w:val="center"/>
            <w:hideMark/>
          </w:tcPr>
          <w:p w14:paraId="55CFDBB3" w14:textId="77777777" w:rsidR="003A00CB" w:rsidRPr="003A00CB" w:rsidRDefault="003A00CB" w:rsidP="003A00CB">
            <w:pPr>
              <w:spacing w:before="0" w:after="0" w:line="240" w:lineRule="auto"/>
              <w:jc w:val="center"/>
              <w:rPr>
                <w:rFonts w:ascii="Arial" w:eastAsia="Times New Roman" w:hAnsi="Arial"/>
                <w:b/>
                <w:bCs/>
                <w:color w:val="FFFFFF" w:themeColor="background1"/>
                <w:sz w:val="20"/>
                <w:szCs w:val="20"/>
              </w:rPr>
            </w:pPr>
            <w:r w:rsidRPr="003A00CB">
              <w:rPr>
                <w:rFonts w:ascii="Arial" w:eastAsia="Times New Roman" w:hAnsi="Arial"/>
                <w:b/>
                <w:bCs/>
                <w:color w:val="FFFFFF" w:themeColor="background1"/>
                <w:sz w:val="20"/>
                <w:szCs w:val="20"/>
              </w:rPr>
              <w:t>5</w:t>
            </w:r>
          </w:p>
        </w:tc>
        <w:tc>
          <w:tcPr>
            <w:tcW w:w="850" w:type="dxa"/>
            <w:tcBorders>
              <w:top w:val="single" w:sz="8" w:space="0" w:color="auto"/>
              <w:left w:val="nil"/>
              <w:bottom w:val="single" w:sz="4" w:space="0" w:color="auto"/>
              <w:right w:val="single" w:sz="4" w:space="0" w:color="auto"/>
            </w:tcBorders>
            <w:shd w:val="clear" w:color="auto" w:fill="2D7C82"/>
            <w:noWrap/>
            <w:vAlign w:val="center"/>
            <w:hideMark/>
          </w:tcPr>
          <w:p w14:paraId="222C3E6B" w14:textId="77777777" w:rsidR="003A00CB" w:rsidRPr="003A00CB" w:rsidRDefault="003A00CB" w:rsidP="003A00CB">
            <w:pPr>
              <w:spacing w:before="0" w:after="0" w:line="240" w:lineRule="auto"/>
              <w:jc w:val="center"/>
              <w:rPr>
                <w:rFonts w:ascii="Arial" w:eastAsia="Times New Roman" w:hAnsi="Arial"/>
                <w:b/>
                <w:bCs/>
                <w:color w:val="FFFFFF" w:themeColor="background1"/>
                <w:sz w:val="20"/>
                <w:szCs w:val="20"/>
              </w:rPr>
            </w:pPr>
            <w:r w:rsidRPr="003A00CB">
              <w:rPr>
                <w:rFonts w:ascii="Arial" w:eastAsia="Times New Roman" w:hAnsi="Arial"/>
                <w:b/>
                <w:bCs/>
                <w:color w:val="FFFFFF" w:themeColor="background1"/>
                <w:sz w:val="20"/>
                <w:szCs w:val="20"/>
              </w:rPr>
              <w:t>6+</w:t>
            </w:r>
          </w:p>
        </w:tc>
        <w:tc>
          <w:tcPr>
            <w:tcW w:w="1134" w:type="dxa"/>
            <w:tcBorders>
              <w:top w:val="single" w:sz="8" w:space="0" w:color="auto"/>
              <w:left w:val="nil"/>
              <w:bottom w:val="single" w:sz="4" w:space="0" w:color="auto"/>
              <w:right w:val="single" w:sz="8" w:space="0" w:color="auto"/>
            </w:tcBorders>
            <w:shd w:val="clear" w:color="auto" w:fill="2D7C82"/>
            <w:noWrap/>
            <w:vAlign w:val="center"/>
            <w:hideMark/>
          </w:tcPr>
          <w:p w14:paraId="166340ED" w14:textId="77777777" w:rsidR="003A00CB" w:rsidRPr="003A00CB" w:rsidRDefault="003A00CB" w:rsidP="003A00CB">
            <w:pPr>
              <w:spacing w:before="0" w:after="0" w:line="240" w:lineRule="auto"/>
              <w:jc w:val="center"/>
              <w:rPr>
                <w:rFonts w:ascii="Arial" w:eastAsia="Times New Roman" w:hAnsi="Arial"/>
                <w:b/>
                <w:bCs/>
                <w:color w:val="FFFFFF" w:themeColor="background1"/>
                <w:sz w:val="20"/>
                <w:szCs w:val="20"/>
              </w:rPr>
            </w:pPr>
            <w:r w:rsidRPr="003A00CB">
              <w:rPr>
                <w:rFonts w:ascii="Arial" w:eastAsia="Times New Roman" w:hAnsi="Arial"/>
                <w:b/>
                <w:bCs/>
                <w:color w:val="FFFFFF" w:themeColor="background1"/>
                <w:sz w:val="20"/>
                <w:szCs w:val="20"/>
              </w:rPr>
              <w:t>Total</w:t>
            </w:r>
          </w:p>
        </w:tc>
      </w:tr>
      <w:tr w:rsidR="00B7630E" w:rsidRPr="003A00CB" w14:paraId="054840E3" w14:textId="77777777" w:rsidTr="00B7630E">
        <w:trPr>
          <w:trHeight w:val="315"/>
        </w:trPr>
        <w:tc>
          <w:tcPr>
            <w:tcW w:w="2967" w:type="dxa"/>
            <w:tcBorders>
              <w:top w:val="nil"/>
              <w:left w:val="single" w:sz="8" w:space="0" w:color="auto"/>
              <w:bottom w:val="single" w:sz="8" w:space="0" w:color="auto"/>
              <w:right w:val="single" w:sz="4" w:space="0" w:color="auto"/>
            </w:tcBorders>
            <w:shd w:val="clear" w:color="auto" w:fill="DDF1F3"/>
            <w:noWrap/>
            <w:vAlign w:val="bottom"/>
            <w:hideMark/>
          </w:tcPr>
          <w:p w14:paraId="3FEC7DD5" w14:textId="77777777" w:rsidR="003A00CB" w:rsidRPr="003A00CB" w:rsidRDefault="003A00CB" w:rsidP="003A00CB">
            <w:pPr>
              <w:spacing w:before="0" w:after="0" w:line="240" w:lineRule="auto"/>
              <w:rPr>
                <w:rFonts w:ascii="Arial" w:eastAsia="Times New Roman" w:hAnsi="Arial"/>
                <w:b/>
                <w:bCs/>
                <w:color w:val="000000"/>
                <w:sz w:val="20"/>
                <w:szCs w:val="20"/>
              </w:rPr>
            </w:pPr>
            <w:r w:rsidRPr="003A00CB">
              <w:rPr>
                <w:rFonts w:ascii="Arial" w:eastAsia="Times New Roman" w:hAnsi="Arial"/>
                <w:b/>
                <w:bCs/>
                <w:color w:val="000000"/>
                <w:sz w:val="20"/>
                <w:szCs w:val="20"/>
              </w:rPr>
              <w:t>West Kent Population</w:t>
            </w:r>
          </w:p>
        </w:tc>
        <w:tc>
          <w:tcPr>
            <w:tcW w:w="992" w:type="dxa"/>
            <w:tcBorders>
              <w:top w:val="nil"/>
              <w:left w:val="nil"/>
              <w:bottom w:val="single" w:sz="8" w:space="0" w:color="auto"/>
              <w:right w:val="single" w:sz="4" w:space="0" w:color="auto"/>
            </w:tcBorders>
            <w:shd w:val="clear" w:color="auto" w:fill="DDF1F3"/>
            <w:noWrap/>
            <w:vAlign w:val="center"/>
            <w:hideMark/>
          </w:tcPr>
          <w:p w14:paraId="6EA41BA2" w14:textId="77777777" w:rsidR="003A00CB" w:rsidRPr="003A00CB" w:rsidRDefault="003A00CB" w:rsidP="003A00CB">
            <w:pPr>
              <w:spacing w:before="0" w:after="0" w:line="240" w:lineRule="auto"/>
              <w:jc w:val="center"/>
              <w:rPr>
                <w:rFonts w:ascii="Arial" w:eastAsia="Times New Roman" w:hAnsi="Arial"/>
                <w:b/>
                <w:bCs/>
                <w:color w:val="000000"/>
                <w:sz w:val="20"/>
                <w:szCs w:val="20"/>
              </w:rPr>
            </w:pPr>
            <w:r w:rsidRPr="003A00CB">
              <w:rPr>
                <w:rFonts w:ascii="Arial" w:eastAsia="Times New Roman" w:hAnsi="Arial"/>
                <w:b/>
                <w:bCs/>
                <w:color w:val="000000"/>
                <w:sz w:val="20"/>
                <w:szCs w:val="20"/>
              </w:rPr>
              <w:t>273,837</w:t>
            </w:r>
          </w:p>
        </w:tc>
        <w:tc>
          <w:tcPr>
            <w:tcW w:w="939" w:type="dxa"/>
            <w:tcBorders>
              <w:top w:val="nil"/>
              <w:left w:val="nil"/>
              <w:bottom w:val="single" w:sz="8" w:space="0" w:color="auto"/>
              <w:right w:val="single" w:sz="4" w:space="0" w:color="auto"/>
            </w:tcBorders>
            <w:shd w:val="clear" w:color="auto" w:fill="DDF1F3"/>
            <w:noWrap/>
            <w:vAlign w:val="center"/>
            <w:hideMark/>
          </w:tcPr>
          <w:p w14:paraId="28C50C17" w14:textId="77777777" w:rsidR="003A00CB" w:rsidRPr="003A00CB" w:rsidRDefault="003A00CB" w:rsidP="003A00CB">
            <w:pPr>
              <w:spacing w:before="0" w:after="0" w:line="240" w:lineRule="auto"/>
              <w:jc w:val="center"/>
              <w:rPr>
                <w:rFonts w:ascii="Arial" w:eastAsia="Times New Roman" w:hAnsi="Arial"/>
                <w:b/>
                <w:bCs/>
                <w:color w:val="000000"/>
                <w:sz w:val="20"/>
                <w:szCs w:val="20"/>
              </w:rPr>
            </w:pPr>
            <w:r w:rsidRPr="003A00CB">
              <w:rPr>
                <w:rFonts w:ascii="Arial" w:eastAsia="Times New Roman" w:hAnsi="Arial"/>
                <w:b/>
                <w:bCs/>
                <w:color w:val="000000"/>
                <w:sz w:val="20"/>
                <w:szCs w:val="20"/>
              </w:rPr>
              <w:t>108,940</w:t>
            </w:r>
          </w:p>
        </w:tc>
        <w:tc>
          <w:tcPr>
            <w:tcW w:w="904" w:type="dxa"/>
            <w:tcBorders>
              <w:top w:val="nil"/>
              <w:left w:val="nil"/>
              <w:bottom w:val="single" w:sz="8" w:space="0" w:color="auto"/>
              <w:right w:val="single" w:sz="4" w:space="0" w:color="auto"/>
            </w:tcBorders>
            <w:shd w:val="clear" w:color="auto" w:fill="DDF1F3"/>
            <w:noWrap/>
            <w:vAlign w:val="center"/>
            <w:hideMark/>
          </w:tcPr>
          <w:p w14:paraId="2A6D9A1C" w14:textId="77777777" w:rsidR="003A00CB" w:rsidRPr="003A00CB" w:rsidRDefault="003A00CB" w:rsidP="003A00CB">
            <w:pPr>
              <w:spacing w:before="0" w:after="0" w:line="240" w:lineRule="auto"/>
              <w:jc w:val="center"/>
              <w:rPr>
                <w:rFonts w:ascii="Arial" w:eastAsia="Times New Roman" w:hAnsi="Arial"/>
                <w:b/>
                <w:bCs/>
                <w:color w:val="000000"/>
                <w:sz w:val="20"/>
                <w:szCs w:val="20"/>
              </w:rPr>
            </w:pPr>
            <w:r w:rsidRPr="003A00CB">
              <w:rPr>
                <w:rFonts w:ascii="Arial" w:eastAsia="Times New Roman" w:hAnsi="Arial"/>
                <w:b/>
                <w:bCs/>
                <w:color w:val="000000"/>
                <w:sz w:val="20"/>
                <w:szCs w:val="20"/>
              </w:rPr>
              <w:t>48,842</w:t>
            </w:r>
          </w:p>
        </w:tc>
        <w:tc>
          <w:tcPr>
            <w:tcW w:w="992" w:type="dxa"/>
            <w:tcBorders>
              <w:top w:val="nil"/>
              <w:left w:val="nil"/>
              <w:bottom w:val="single" w:sz="8" w:space="0" w:color="auto"/>
              <w:right w:val="single" w:sz="4" w:space="0" w:color="auto"/>
            </w:tcBorders>
            <w:shd w:val="clear" w:color="auto" w:fill="DDF1F3"/>
            <w:noWrap/>
            <w:vAlign w:val="center"/>
            <w:hideMark/>
          </w:tcPr>
          <w:p w14:paraId="49BDF026" w14:textId="77777777" w:rsidR="003A00CB" w:rsidRPr="003A00CB" w:rsidRDefault="003A00CB" w:rsidP="003A00CB">
            <w:pPr>
              <w:spacing w:before="0" w:after="0" w:line="240" w:lineRule="auto"/>
              <w:jc w:val="center"/>
              <w:rPr>
                <w:rFonts w:ascii="Arial" w:eastAsia="Times New Roman" w:hAnsi="Arial"/>
                <w:b/>
                <w:bCs/>
                <w:color w:val="000000"/>
                <w:sz w:val="20"/>
                <w:szCs w:val="20"/>
              </w:rPr>
            </w:pPr>
            <w:r w:rsidRPr="003A00CB">
              <w:rPr>
                <w:rFonts w:ascii="Arial" w:eastAsia="Times New Roman" w:hAnsi="Arial"/>
                <w:b/>
                <w:bCs/>
                <w:color w:val="000000"/>
                <w:sz w:val="20"/>
                <w:szCs w:val="20"/>
              </w:rPr>
              <w:t>22,071</w:t>
            </w:r>
          </w:p>
        </w:tc>
        <w:tc>
          <w:tcPr>
            <w:tcW w:w="993" w:type="dxa"/>
            <w:tcBorders>
              <w:top w:val="nil"/>
              <w:left w:val="nil"/>
              <w:bottom w:val="single" w:sz="8" w:space="0" w:color="auto"/>
              <w:right w:val="single" w:sz="4" w:space="0" w:color="auto"/>
            </w:tcBorders>
            <w:shd w:val="clear" w:color="auto" w:fill="DDF1F3"/>
            <w:noWrap/>
            <w:vAlign w:val="center"/>
            <w:hideMark/>
          </w:tcPr>
          <w:p w14:paraId="16B2C2B1" w14:textId="77777777" w:rsidR="003A00CB" w:rsidRPr="003A00CB" w:rsidRDefault="003A00CB" w:rsidP="003A00CB">
            <w:pPr>
              <w:spacing w:before="0" w:after="0" w:line="240" w:lineRule="auto"/>
              <w:jc w:val="center"/>
              <w:rPr>
                <w:rFonts w:ascii="Arial" w:eastAsia="Times New Roman" w:hAnsi="Arial"/>
                <w:b/>
                <w:bCs/>
                <w:color w:val="000000"/>
                <w:sz w:val="20"/>
                <w:szCs w:val="20"/>
              </w:rPr>
            </w:pPr>
            <w:r w:rsidRPr="003A00CB">
              <w:rPr>
                <w:rFonts w:ascii="Arial" w:eastAsia="Times New Roman" w:hAnsi="Arial"/>
                <w:b/>
                <w:bCs/>
                <w:color w:val="000000"/>
                <w:sz w:val="20"/>
                <w:szCs w:val="20"/>
              </w:rPr>
              <w:t>9,866</w:t>
            </w:r>
          </w:p>
        </w:tc>
        <w:tc>
          <w:tcPr>
            <w:tcW w:w="850" w:type="dxa"/>
            <w:tcBorders>
              <w:top w:val="nil"/>
              <w:left w:val="nil"/>
              <w:bottom w:val="single" w:sz="8" w:space="0" w:color="auto"/>
              <w:right w:val="single" w:sz="4" w:space="0" w:color="auto"/>
            </w:tcBorders>
            <w:shd w:val="clear" w:color="auto" w:fill="DDF1F3"/>
            <w:noWrap/>
            <w:vAlign w:val="center"/>
            <w:hideMark/>
          </w:tcPr>
          <w:p w14:paraId="62E3AE74" w14:textId="77777777" w:rsidR="003A00CB" w:rsidRPr="003A00CB" w:rsidRDefault="003A00CB" w:rsidP="003A00CB">
            <w:pPr>
              <w:spacing w:before="0" w:after="0" w:line="240" w:lineRule="auto"/>
              <w:jc w:val="center"/>
              <w:rPr>
                <w:rFonts w:ascii="Arial" w:eastAsia="Times New Roman" w:hAnsi="Arial"/>
                <w:b/>
                <w:bCs/>
                <w:color w:val="000000"/>
                <w:sz w:val="20"/>
                <w:szCs w:val="20"/>
              </w:rPr>
            </w:pPr>
            <w:r w:rsidRPr="003A00CB">
              <w:rPr>
                <w:rFonts w:ascii="Arial" w:eastAsia="Times New Roman" w:hAnsi="Arial"/>
                <w:b/>
                <w:bCs/>
                <w:color w:val="000000"/>
                <w:sz w:val="20"/>
                <w:szCs w:val="20"/>
              </w:rPr>
              <w:t>7,021</w:t>
            </w:r>
          </w:p>
        </w:tc>
        <w:tc>
          <w:tcPr>
            <w:tcW w:w="1134" w:type="dxa"/>
            <w:tcBorders>
              <w:top w:val="nil"/>
              <w:left w:val="nil"/>
              <w:bottom w:val="single" w:sz="8" w:space="0" w:color="auto"/>
              <w:right w:val="single" w:sz="8" w:space="0" w:color="auto"/>
            </w:tcBorders>
            <w:shd w:val="clear" w:color="auto" w:fill="DDF1F3"/>
            <w:noWrap/>
            <w:vAlign w:val="center"/>
            <w:hideMark/>
          </w:tcPr>
          <w:p w14:paraId="53A89425" w14:textId="77777777" w:rsidR="003A00CB" w:rsidRPr="003A00CB" w:rsidRDefault="003A00CB" w:rsidP="003A00CB">
            <w:pPr>
              <w:spacing w:before="0" w:after="0" w:line="240" w:lineRule="auto"/>
              <w:jc w:val="center"/>
              <w:rPr>
                <w:rFonts w:ascii="Arial" w:eastAsia="Times New Roman" w:hAnsi="Arial"/>
                <w:b/>
                <w:bCs/>
                <w:color w:val="000000"/>
                <w:sz w:val="20"/>
                <w:szCs w:val="20"/>
              </w:rPr>
            </w:pPr>
            <w:r w:rsidRPr="003A00CB">
              <w:rPr>
                <w:rFonts w:ascii="Arial" w:eastAsia="Times New Roman" w:hAnsi="Arial"/>
                <w:b/>
                <w:bCs/>
                <w:color w:val="000000"/>
                <w:sz w:val="20"/>
                <w:szCs w:val="20"/>
              </w:rPr>
              <w:t>470,577</w:t>
            </w:r>
          </w:p>
        </w:tc>
      </w:tr>
    </w:tbl>
    <w:p w14:paraId="074209FD" w14:textId="274E3E62" w:rsidR="00F03DB8" w:rsidRPr="00BD7F12" w:rsidRDefault="00F03DB8" w:rsidP="00041056">
      <w:r w:rsidRPr="00B7630E">
        <w:lastRenderedPageBreak/>
        <w:t xml:space="preserve">Figure </w:t>
      </w:r>
      <w:r w:rsidR="2DA0CD83">
        <w:t>5</w:t>
      </w:r>
      <w:r w:rsidR="00B3426A">
        <w:t>2</w:t>
      </w:r>
      <w:r w:rsidR="38E27352">
        <w:t xml:space="preserve"> </w:t>
      </w:r>
      <w:r>
        <w:t>shows ABC, The Ridge, Maidstone South, and Tonbridge PCNs having higher levels of multimorbidity compared to the West Kent average.</w:t>
      </w:r>
    </w:p>
    <w:p w14:paraId="0B85E6F6" w14:textId="6756B105" w:rsidR="00F03DB8" w:rsidRPr="00041056" w:rsidRDefault="00F03DB8" w:rsidP="00041056">
      <w:pPr>
        <w:rPr>
          <w:b/>
          <w:bCs/>
        </w:rPr>
      </w:pPr>
      <w:r w:rsidRPr="00DF1195">
        <w:rPr>
          <w:b/>
        </w:rPr>
        <w:t xml:space="preserve">Figure </w:t>
      </w:r>
      <w:r w:rsidR="4B150298" w:rsidRPr="00DF1195">
        <w:rPr>
          <w:b/>
        </w:rPr>
        <w:t>5</w:t>
      </w:r>
      <w:r w:rsidR="00B3426A">
        <w:rPr>
          <w:b/>
        </w:rPr>
        <w:t>2</w:t>
      </w:r>
      <w:r w:rsidR="009D4C73" w:rsidRPr="00DF1195">
        <w:rPr>
          <w:b/>
        </w:rPr>
        <w:t xml:space="preserve"> </w:t>
      </w:r>
      <w:r w:rsidR="00041056" w:rsidRPr="00DF1195">
        <w:rPr>
          <w:b/>
        </w:rPr>
        <w:t>Patients with 2 or more LTCs by West Kent PCN, September 2022</w:t>
      </w:r>
    </w:p>
    <w:p w14:paraId="2AFA19C0" w14:textId="4A09FD25" w:rsidR="004B3D2D" w:rsidRDefault="00F03DB8" w:rsidP="00041056">
      <w:pPr>
        <w:rPr>
          <w:rFonts w:ascii="Calibri" w:eastAsia="Calibri" w:hAnsi="Calibri" w:cs="Calibri"/>
          <w:color w:val="000000" w:themeColor="text1"/>
        </w:rPr>
      </w:pPr>
      <w:r>
        <w:rPr>
          <w:noProof/>
        </w:rPr>
        <w:drawing>
          <wp:inline distT="0" distB="0" distL="0" distR="0" wp14:anchorId="10D94B0A" wp14:editId="6FC2E3B7">
            <wp:extent cx="5123815" cy="3114675"/>
            <wp:effectExtent l="0" t="0" r="635" b="9525"/>
            <wp:docPr id="31" name="Picture 31" descr="15.5% of West Kent HCP residents are multimorbid, having two or more long-term conditions. There is variance by PCN, with ABC PCN having the highest at 17%, and Sevenoaks PCN the lowest at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15.5% of West Kent HCP residents are multimorbid, having two or more long-term conditions. There is variance by PCN, with ABC PCN having the highest at 17%, and Sevenoaks PCN the lowest at 1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27017" cy="3116621"/>
                    </a:xfrm>
                    <a:prstGeom prst="rect">
                      <a:avLst/>
                    </a:prstGeom>
                    <a:noFill/>
                  </pic:spPr>
                </pic:pic>
              </a:graphicData>
            </a:graphic>
          </wp:inline>
        </w:drawing>
      </w:r>
    </w:p>
    <w:p w14:paraId="7C415CAA" w14:textId="77777777" w:rsidR="004B3D2D" w:rsidRDefault="004B3D2D">
      <w:pPr>
        <w:spacing w:before="0" w:after="200"/>
        <w:rPr>
          <w:rFonts w:ascii="Calibri" w:eastAsia="Calibri" w:hAnsi="Calibri" w:cs="Calibri"/>
          <w:color w:val="000000" w:themeColor="text1"/>
        </w:rPr>
      </w:pPr>
      <w:r>
        <w:rPr>
          <w:rFonts w:ascii="Calibri" w:eastAsia="Calibri" w:hAnsi="Calibri" w:cs="Calibri"/>
          <w:color w:val="000000" w:themeColor="text1"/>
        </w:rPr>
        <w:br w:type="page"/>
      </w:r>
    </w:p>
    <w:p w14:paraId="40EB4808" w14:textId="77777777" w:rsidR="00F03DB8" w:rsidRPr="000F66BE" w:rsidRDefault="00F03DB8" w:rsidP="00041056">
      <w:pPr>
        <w:pStyle w:val="Heading1"/>
        <w:rPr>
          <w:rFonts w:eastAsia="Times New Roman"/>
        </w:rPr>
      </w:pPr>
      <w:bookmarkStart w:id="84" w:name="_Toc128133824"/>
      <w:r w:rsidRPr="5E4DB3C2">
        <w:rPr>
          <w:rFonts w:eastAsia="Times New Roman"/>
        </w:rPr>
        <w:lastRenderedPageBreak/>
        <w:t>Frailty</w:t>
      </w:r>
      <w:bookmarkEnd w:id="84"/>
    </w:p>
    <w:p w14:paraId="69375D55" w14:textId="4421BB7F" w:rsidR="00F03DB8" w:rsidRPr="00041056" w:rsidRDefault="00F03DB8" w:rsidP="00041056">
      <w:pPr>
        <w:spacing w:after="0" w:line="240" w:lineRule="auto"/>
        <w:textAlignment w:val="baseline"/>
        <w:rPr>
          <w:rFonts w:ascii="Segoe UI" w:eastAsia="Times New Roman" w:hAnsi="Segoe UI" w:cs="Segoe UI"/>
          <w:sz w:val="18"/>
          <w:szCs w:val="18"/>
        </w:rPr>
      </w:pPr>
      <w:r w:rsidRPr="5E4DB3C2">
        <w:rPr>
          <w:rFonts w:ascii="Calibri" w:eastAsia="Times New Roman" w:hAnsi="Calibri" w:cs="Calibri"/>
        </w:rPr>
        <w:t xml:space="preserve">The </w:t>
      </w:r>
      <w:hyperlink r:id="rId99" w:anchor=":~:text=The%20NHS%20Long%20Term%20Plan%20recognises%20that%20services%20are%20not,with%20frailty%20in%20the%20community.">
        <w:r w:rsidRPr="5E4DB3C2">
          <w:rPr>
            <w:rStyle w:val="Hyperlink"/>
            <w:rFonts w:ascii="Calibri" w:eastAsia="Times New Roman" w:hAnsi="Calibri" w:cs="Calibri"/>
          </w:rPr>
          <w:t>NHS Long Term Plan</w:t>
        </w:r>
      </w:hyperlink>
      <w:r w:rsidRPr="5E4DB3C2">
        <w:rPr>
          <w:rFonts w:ascii="Calibri" w:eastAsia="Times New Roman" w:hAnsi="Calibri" w:cs="Calibri"/>
        </w:rPr>
        <w:t xml:space="preserve"> addresses the need for more joined up and co-ordinated care for people living with frailty, with an emphasis on proactive care. It sets out an evidence-based framework ca</w:t>
      </w:r>
      <w:r w:rsidR="00C97A82">
        <w:rPr>
          <w:rFonts w:ascii="Calibri" w:eastAsia="Times New Roman" w:hAnsi="Calibri" w:cs="Calibri"/>
        </w:rPr>
        <w:t>s</w:t>
      </w:r>
      <w:r w:rsidRPr="5E4DB3C2">
        <w:rPr>
          <w:rFonts w:ascii="Calibri" w:eastAsia="Times New Roman" w:hAnsi="Calibri" w:cs="Calibri"/>
        </w:rPr>
        <w:t xml:space="preserve">e, to be delivered through the National Ageing Well Programme.  This describes 3 standards of care: a 2-hour standard for urgent care referrals; enhanced health in care homes including extra support to care home residents; and anticipatory care or ensuring early support to allow individuals to stay in their place of residence for as long as possible. The </w:t>
      </w:r>
      <w:hyperlink r:id="rId100">
        <w:r w:rsidRPr="5E4DB3C2">
          <w:rPr>
            <w:rStyle w:val="Hyperlink"/>
            <w:rFonts w:ascii="Calibri" w:eastAsia="Times New Roman" w:hAnsi="Calibri" w:cs="Calibri"/>
          </w:rPr>
          <w:t>NHS Right Care Frailty Toolkit</w:t>
        </w:r>
      </w:hyperlink>
      <w:r w:rsidRPr="5E4DB3C2">
        <w:rPr>
          <w:rFonts w:ascii="Calibri" w:eastAsia="Times New Roman" w:hAnsi="Calibri" w:cs="Calibri"/>
        </w:rPr>
        <w:t xml:space="preserve">  supports systems to understand the priorities in frailty care and key actions to take as shown in figure 5</w:t>
      </w:r>
      <w:r w:rsidR="00976237">
        <w:rPr>
          <w:rFonts w:ascii="Calibri" w:eastAsia="Times New Roman" w:hAnsi="Calibri" w:cs="Calibri"/>
        </w:rPr>
        <w:t>3</w:t>
      </w:r>
      <w:r w:rsidRPr="5E4DB3C2">
        <w:rPr>
          <w:rFonts w:ascii="Calibri" w:eastAsia="Times New Roman" w:hAnsi="Calibri" w:cs="Calibri"/>
        </w:rPr>
        <w:t>.</w:t>
      </w:r>
    </w:p>
    <w:p w14:paraId="0C0480D7" w14:textId="2BC050B3" w:rsidR="00F03DB8" w:rsidRPr="000F66BE" w:rsidRDefault="00F03DB8" w:rsidP="00041056">
      <w:pPr>
        <w:spacing w:after="0" w:line="240" w:lineRule="auto"/>
        <w:textAlignment w:val="baseline"/>
        <w:rPr>
          <w:rFonts w:ascii="Segoe UI" w:eastAsia="Times New Roman" w:hAnsi="Segoe UI" w:cs="Segoe UI"/>
          <w:sz w:val="18"/>
          <w:szCs w:val="18"/>
        </w:rPr>
      </w:pPr>
      <w:r w:rsidRPr="00DF1195">
        <w:rPr>
          <w:rFonts w:ascii="Calibri" w:eastAsia="Times New Roman" w:hAnsi="Calibri" w:cs="Calibri"/>
          <w:b/>
          <w:color w:val="000000" w:themeColor="text1"/>
        </w:rPr>
        <w:t>Figure 5</w:t>
      </w:r>
      <w:r w:rsidR="00B3426A">
        <w:rPr>
          <w:rFonts w:ascii="Calibri" w:eastAsia="Times New Roman" w:hAnsi="Calibri" w:cs="Calibri"/>
          <w:b/>
          <w:color w:val="000000" w:themeColor="text1"/>
        </w:rPr>
        <w:t>3</w:t>
      </w:r>
      <w:r w:rsidRPr="00DF1195">
        <w:rPr>
          <w:rFonts w:ascii="Calibri" w:eastAsia="Times New Roman" w:hAnsi="Calibri" w:cs="Calibri"/>
          <w:b/>
          <w:color w:val="000000" w:themeColor="text1"/>
        </w:rPr>
        <w:t xml:space="preserve"> NHS Right Care Frailty Toolkit: system improvement priorities</w:t>
      </w:r>
      <w:r w:rsidRPr="5E4DB3C2">
        <w:rPr>
          <w:rFonts w:ascii="Calibri" w:eastAsia="Times New Roman" w:hAnsi="Calibri" w:cs="Calibri"/>
          <w:b/>
          <w:bCs/>
          <w:color w:val="000000" w:themeColor="text1"/>
        </w:rPr>
        <w:t>  </w:t>
      </w:r>
      <w:r w:rsidRPr="5E4DB3C2">
        <w:rPr>
          <w:rFonts w:ascii="Calibri" w:eastAsia="Times New Roman" w:hAnsi="Calibri" w:cs="Calibri"/>
          <w:color w:val="000000" w:themeColor="text1"/>
        </w:rPr>
        <w:t> </w:t>
      </w:r>
    </w:p>
    <w:p w14:paraId="67C96003" w14:textId="48C22879" w:rsidR="00F03DB8" w:rsidRPr="000F66BE" w:rsidRDefault="00F03DB8" w:rsidP="00041056">
      <w:pPr>
        <w:spacing w:after="0" w:line="240" w:lineRule="auto"/>
        <w:textAlignment w:val="baseline"/>
        <w:rPr>
          <w:rFonts w:ascii="Segoe UI" w:eastAsia="Times New Roman" w:hAnsi="Segoe UI" w:cs="Segoe UI"/>
          <w:sz w:val="18"/>
          <w:szCs w:val="18"/>
        </w:rPr>
      </w:pPr>
      <w:r w:rsidRPr="000F66BE">
        <w:rPr>
          <w:rFonts w:ascii="Segoe UI" w:eastAsia="Times New Roman" w:hAnsi="Segoe UI" w:cs="Segoe UI"/>
          <w:noProof/>
          <w:color w:val="2B579A"/>
          <w:sz w:val="18"/>
          <w:szCs w:val="18"/>
          <w:shd w:val="clear" w:color="auto" w:fill="E6E6E6"/>
        </w:rPr>
        <w:drawing>
          <wp:inline distT="0" distB="0" distL="0" distR="0" wp14:anchorId="2A640434" wp14:editId="732BF1A8">
            <wp:extent cx="4735902" cy="3553763"/>
            <wp:effectExtent l="0" t="0" r="7620" b="8890"/>
            <wp:docPr id="22" name="Picture 22" descr="NHS Right Care Frailty Toolkit: system improvement priorities: Population segmentation, identification and stratification of frailty. Supporting people living with mild frailty and encouraging people to ‘age well.’ Supporting people living with moderate frailty. Supporting people living with severe frailty. Reducing hospital length of stay. Falls and fragility fractures. Delirium, dementia and cognitive disorder. Personalised care. Experience of care Self-assessment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NHS Right Care Frailty Toolkit: system improvement priorities: Population segmentation, identification and stratification of frailty. Supporting people living with mild frailty and encouraging people to ‘age well.’ Supporting people living with moderate frailty. Supporting people living with severe frailty. Reducing hospital length of stay. Falls and fragility fractures. Delirium, dementia and cognitive disorder. Personalised care. Experience of care Self-assessment questionnair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49098" cy="3563665"/>
                    </a:xfrm>
                    <a:prstGeom prst="rect">
                      <a:avLst/>
                    </a:prstGeom>
                    <a:noFill/>
                    <a:ln>
                      <a:noFill/>
                    </a:ln>
                  </pic:spPr>
                </pic:pic>
              </a:graphicData>
            </a:graphic>
          </wp:inline>
        </w:drawing>
      </w:r>
    </w:p>
    <w:p w14:paraId="557C165E" w14:textId="77777777" w:rsidR="00A35E5B" w:rsidRDefault="00F03DB8" w:rsidP="00041056">
      <w:pPr>
        <w:spacing w:after="0"/>
        <w:textAlignment w:val="baseline"/>
        <w:rPr>
          <w:rFonts w:ascii="Calibri" w:eastAsia="Times New Roman" w:hAnsi="Calibri" w:cs="Calibri"/>
        </w:rPr>
      </w:pPr>
      <w:r w:rsidRPr="5E4DB3C2">
        <w:rPr>
          <w:rFonts w:ascii="Calibri" w:eastAsia="Times New Roman" w:hAnsi="Calibri" w:cs="Calibri"/>
        </w:rPr>
        <w:t>Frailty is measured using the electronic Frailty Index (</w:t>
      </w:r>
      <w:proofErr w:type="spellStart"/>
      <w:r w:rsidRPr="5E4DB3C2">
        <w:rPr>
          <w:rFonts w:ascii="Calibri" w:eastAsia="Times New Roman" w:hAnsi="Calibri" w:cs="Calibri"/>
        </w:rPr>
        <w:t>eFI</w:t>
      </w:r>
      <w:proofErr w:type="spellEnd"/>
      <w:r w:rsidRPr="5E4DB3C2">
        <w:rPr>
          <w:rFonts w:ascii="Calibri" w:eastAsia="Times New Roman" w:hAnsi="Calibri" w:cs="Calibri"/>
        </w:rPr>
        <w:t xml:space="preserve">) or any other appropriate assessment tool. The </w:t>
      </w:r>
      <w:proofErr w:type="spellStart"/>
      <w:r w:rsidRPr="5E4DB3C2">
        <w:rPr>
          <w:rFonts w:ascii="Calibri" w:eastAsia="Times New Roman" w:hAnsi="Calibri" w:cs="Calibri"/>
        </w:rPr>
        <w:t>eFI</w:t>
      </w:r>
      <w:proofErr w:type="spellEnd"/>
      <w:r w:rsidRPr="5E4DB3C2">
        <w:rPr>
          <w:rFonts w:ascii="Calibri" w:eastAsia="Times New Roman" w:hAnsi="Calibri" w:cs="Calibri"/>
        </w:rPr>
        <w:t xml:space="preserve"> is a risk stratification tool and not intended to be used as a diagnostic tool. It uses routine health record data to automatically calculate a score which can identify whether a person in likely to be fit or living with mild, moderate, or severe frailty. The common 'frailty syndromes' are falls, immobility, delirium, incontinence, and side effects of medication. People with frailty are at risk of falls. They are also at risk of developing conditions such as anxiety and depression and are more likely to have unplanned hospital admissions. </w:t>
      </w:r>
    </w:p>
    <w:p w14:paraId="337553D1" w14:textId="627FA223" w:rsidR="00F03DB8" w:rsidRPr="000F66BE" w:rsidRDefault="00F03DB8" w:rsidP="00041056">
      <w:pPr>
        <w:spacing w:after="0"/>
        <w:textAlignment w:val="baseline"/>
        <w:rPr>
          <w:rFonts w:ascii="Segoe UI" w:eastAsia="Times New Roman" w:hAnsi="Segoe UI" w:cs="Segoe UI"/>
          <w:sz w:val="18"/>
          <w:szCs w:val="18"/>
        </w:rPr>
      </w:pPr>
      <w:r w:rsidRPr="5E4DB3C2">
        <w:rPr>
          <w:rFonts w:ascii="Calibri" w:eastAsia="Times New Roman" w:hAnsi="Calibri" w:cs="Calibri"/>
        </w:rPr>
        <w:t xml:space="preserve">Identifying people with frailty and improving their care and support are therefore priorities for the health and care system. The NHS Long Term Plan outlines how people identified as having the greatest risks and needs will be offered targeted support for both their physical and mental health needs, including frailty. It also includes an aim for all major A&amp;E </w:t>
      </w:r>
      <w:r w:rsidRPr="5E4DB3C2">
        <w:rPr>
          <w:rFonts w:ascii="Calibri" w:eastAsia="Times New Roman" w:hAnsi="Calibri" w:cs="Calibri"/>
        </w:rPr>
        <w:lastRenderedPageBreak/>
        <w:t xml:space="preserve">departments to set up an acute frailty service to ensure people with frailty receive the most appropriate care quickly. </w:t>
      </w:r>
    </w:p>
    <w:p w14:paraId="371D5503" w14:textId="5E915C64" w:rsidR="00F03DB8" w:rsidRPr="000F66BE" w:rsidRDefault="00F03DB8" w:rsidP="00041056">
      <w:pPr>
        <w:spacing w:after="0"/>
        <w:textAlignment w:val="baseline"/>
        <w:rPr>
          <w:rFonts w:ascii="Segoe UI" w:eastAsia="Times New Roman" w:hAnsi="Segoe UI" w:cs="Segoe UI"/>
          <w:sz w:val="18"/>
          <w:szCs w:val="18"/>
        </w:rPr>
      </w:pPr>
      <w:r w:rsidRPr="15853314">
        <w:rPr>
          <w:rFonts w:ascii="Calibri" w:eastAsia="Times New Roman" w:hAnsi="Calibri" w:cs="Calibri"/>
        </w:rPr>
        <w:t xml:space="preserve">Maidstone &amp; Tunbridge Wells NHS Trust has a </w:t>
      </w:r>
      <w:r w:rsidR="00FD05F5" w:rsidRPr="15853314">
        <w:rPr>
          <w:rFonts w:ascii="Calibri" w:eastAsia="Times New Roman" w:hAnsi="Calibri" w:cs="Calibri"/>
        </w:rPr>
        <w:t>26-bed</w:t>
      </w:r>
      <w:r w:rsidRPr="15853314">
        <w:rPr>
          <w:rFonts w:ascii="Calibri" w:eastAsia="Times New Roman" w:hAnsi="Calibri" w:cs="Calibri"/>
        </w:rPr>
        <w:t xml:space="preserve"> ward for treating elderly patients. They also have the Acute Frailty Unit which holds up to </w:t>
      </w:r>
      <w:r w:rsidR="00A86697" w:rsidRPr="15853314">
        <w:rPr>
          <w:rFonts w:ascii="Calibri" w:eastAsia="Times New Roman" w:hAnsi="Calibri" w:cs="Calibri"/>
        </w:rPr>
        <w:t>8-day</w:t>
      </w:r>
      <w:r w:rsidRPr="15853314">
        <w:rPr>
          <w:rFonts w:ascii="Calibri" w:eastAsia="Times New Roman" w:hAnsi="Calibri" w:cs="Calibri"/>
        </w:rPr>
        <w:t xml:space="preserve"> case patients at a time. It allows the patient to be assessed and discharged on the same day, with the possibility of care being put in place if it is needed by the patient.  </w:t>
      </w:r>
    </w:p>
    <w:p w14:paraId="7B5336FE" w14:textId="24EC84EC" w:rsidR="00F03DB8" w:rsidRPr="000F66BE" w:rsidRDefault="00F03DB8" w:rsidP="00041056">
      <w:pPr>
        <w:spacing w:after="0"/>
        <w:textAlignment w:val="baseline"/>
        <w:rPr>
          <w:rFonts w:ascii="Calibri" w:eastAsia="Times New Roman" w:hAnsi="Calibri" w:cs="Calibri"/>
          <w:color w:val="000000" w:themeColor="text1"/>
        </w:rPr>
      </w:pPr>
      <w:r w:rsidRPr="000F66BE">
        <w:rPr>
          <w:rFonts w:ascii="Calibri" w:eastAsia="Times New Roman" w:hAnsi="Calibri" w:cs="Calibri"/>
        </w:rPr>
        <w:t>Table 9 and figures 5</w:t>
      </w:r>
      <w:r w:rsidR="00B3426A">
        <w:rPr>
          <w:rFonts w:ascii="Calibri" w:eastAsia="Times New Roman" w:hAnsi="Calibri" w:cs="Calibri"/>
        </w:rPr>
        <w:t>4</w:t>
      </w:r>
      <w:r w:rsidRPr="000F66BE">
        <w:rPr>
          <w:rFonts w:ascii="Calibri" w:eastAsia="Times New Roman" w:hAnsi="Calibri" w:cs="Calibri"/>
        </w:rPr>
        <w:t xml:space="preserve"> &amp; 5</w:t>
      </w:r>
      <w:r w:rsidR="00B3426A">
        <w:rPr>
          <w:rFonts w:ascii="Calibri" w:eastAsia="Times New Roman" w:hAnsi="Calibri" w:cs="Calibri"/>
        </w:rPr>
        <w:t>5</w:t>
      </w:r>
      <w:r w:rsidRPr="000F66BE">
        <w:rPr>
          <w:rFonts w:ascii="Calibri" w:eastAsia="Times New Roman" w:hAnsi="Calibri" w:cs="Calibri"/>
        </w:rPr>
        <w:t xml:space="preserve"> display data taken from the </w:t>
      </w:r>
      <w:r w:rsidR="001E4462">
        <w:rPr>
          <w:rFonts w:ascii="Calibri" w:eastAsia="Times New Roman" w:hAnsi="Calibri" w:cs="Calibri"/>
        </w:rPr>
        <w:t xml:space="preserve">NHS Digital </w:t>
      </w:r>
      <w:r w:rsidRPr="000F66BE">
        <w:rPr>
          <w:rFonts w:ascii="Calibri" w:eastAsia="Times New Roman" w:hAnsi="Calibri" w:cs="Calibri"/>
        </w:rPr>
        <w:t xml:space="preserve">Population &amp; Person insight dashboard covering the nine PCNs in the West Kent HCP area. </w:t>
      </w:r>
      <w:r w:rsidRPr="000F66BE">
        <w:rPr>
          <w:rFonts w:ascii="Calibri" w:eastAsia="Times New Roman" w:hAnsi="Calibri" w:cs="Calibri"/>
          <w:color w:val="000000"/>
          <w:shd w:val="clear" w:color="auto" w:fill="FFFFFF"/>
        </w:rPr>
        <w:t>Selected data has been taken from the above illustrations to highlight key aspects in the HCPs PCNs. Increases in the percentage of annual change are seen in Maidstone Central PCN and Tunbridge Wells PCN. The remaining PCNs show small or marginal reductions against the Kent and England annual change. Trends from OBH analyses indicate Maidstone Central and South PCNs showing higher incidence in readmissions for frailty and dementia.</w:t>
      </w:r>
    </w:p>
    <w:p w14:paraId="5BC3C58A" w14:textId="400ADAAD" w:rsidR="00F03DB8" w:rsidRPr="00051202" w:rsidRDefault="00F03DB8" w:rsidP="00F03DB8">
      <w:pPr>
        <w:spacing w:after="0" w:line="240" w:lineRule="auto"/>
        <w:jc w:val="both"/>
        <w:textAlignment w:val="baseline"/>
        <w:rPr>
          <w:rFonts w:ascii="Calibri" w:eastAsia="Times New Roman" w:hAnsi="Calibri" w:cs="Calibri"/>
          <w:b/>
          <w:bCs/>
          <w:color w:val="000000" w:themeColor="text1"/>
        </w:rPr>
      </w:pPr>
      <w:r w:rsidRPr="00051202">
        <w:rPr>
          <w:rFonts w:ascii="Calibri" w:eastAsia="Times New Roman" w:hAnsi="Calibri" w:cs="Calibri"/>
          <w:b/>
          <w:bCs/>
          <w:color w:val="000000" w:themeColor="text1"/>
        </w:rPr>
        <w:t>Table 9</w:t>
      </w:r>
      <w:r w:rsidR="00051202" w:rsidRPr="00051202">
        <w:rPr>
          <w:rFonts w:ascii="Calibri" w:eastAsia="Times New Roman" w:hAnsi="Calibri" w:cs="Calibri"/>
          <w:b/>
          <w:bCs/>
          <w:color w:val="000000" w:themeColor="text1"/>
        </w:rPr>
        <w:t xml:space="preserve"> </w:t>
      </w:r>
      <w:r w:rsidR="00051202" w:rsidRPr="00051202">
        <w:rPr>
          <w:rFonts w:ascii="Calibri" w:eastAsia="Times New Roman" w:hAnsi="Calibri" w:cs="Calibri"/>
          <w:b/>
          <w:bCs/>
        </w:rPr>
        <w:t>Population &amp; Person insight dashboard covering</w:t>
      </w:r>
      <w:r w:rsidR="00051202">
        <w:rPr>
          <w:rFonts w:ascii="Calibri" w:eastAsia="Times New Roman" w:hAnsi="Calibri" w:cs="Calibri"/>
          <w:b/>
          <w:bCs/>
        </w:rPr>
        <w:t xml:space="preserve"> frailty and dementia in</w:t>
      </w:r>
      <w:r w:rsidR="00051202" w:rsidRPr="00051202">
        <w:rPr>
          <w:rFonts w:ascii="Calibri" w:eastAsia="Times New Roman" w:hAnsi="Calibri" w:cs="Calibri"/>
          <w:b/>
          <w:bCs/>
        </w:rPr>
        <w:t xml:space="preserve"> West Kent </w:t>
      </w:r>
      <w:r w:rsidR="00051202">
        <w:rPr>
          <w:rFonts w:ascii="Calibri" w:eastAsia="Times New Roman" w:hAnsi="Calibri" w:cs="Calibri"/>
          <w:b/>
          <w:bCs/>
        </w:rPr>
        <w:t>PCNs</w:t>
      </w:r>
    </w:p>
    <w:tbl>
      <w:tblPr>
        <w:tblW w:w="9422" w:type="dxa"/>
        <w:tblInd w:w="-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91"/>
        <w:gridCol w:w="1491"/>
        <w:gridCol w:w="1101"/>
        <w:gridCol w:w="1204"/>
        <w:gridCol w:w="974"/>
        <w:gridCol w:w="1071"/>
        <w:gridCol w:w="1590"/>
      </w:tblGrid>
      <w:tr w:rsidR="00F03DB8" w:rsidRPr="000F66BE" w14:paraId="3EC43CA0" w14:textId="77777777" w:rsidTr="005531C0">
        <w:trPr>
          <w:trHeight w:val="270"/>
        </w:trPr>
        <w:tc>
          <w:tcPr>
            <w:tcW w:w="1991" w:type="dxa"/>
            <w:shd w:val="clear" w:color="auto" w:fill="2D7D82"/>
            <w:vAlign w:val="bottom"/>
            <w:hideMark/>
          </w:tcPr>
          <w:p w14:paraId="007E323A" w14:textId="3A0E81D6" w:rsidR="00F03DB8" w:rsidRPr="00F55026" w:rsidRDefault="00F03DB8" w:rsidP="00F55026">
            <w:pPr>
              <w:jc w:val="center"/>
              <w:textAlignment w:val="baseline"/>
              <w:rPr>
                <w:rFonts w:eastAsia="Times New Roman" w:cstheme="minorHAnsi"/>
                <w:b/>
                <w:bCs/>
                <w:color w:val="FFFFFF" w:themeColor="background1"/>
              </w:rPr>
            </w:pPr>
            <w:r w:rsidRPr="00F55026">
              <w:rPr>
                <w:rFonts w:eastAsia="Times New Roman" w:cstheme="minorHAnsi"/>
                <w:b/>
                <w:bCs/>
                <w:color w:val="FFFFFF" w:themeColor="background1"/>
              </w:rPr>
              <w:t>Area </w:t>
            </w:r>
          </w:p>
        </w:tc>
        <w:tc>
          <w:tcPr>
            <w:tcW w:w="1491" w:type="dxa"/>
            <w:shd w:val="clear" w:color="auto" w:fill="2D7D82"/>
            <w:vAlign w:val="bottom"/>
            <w:hideMark/>
          </w:tcPr>
          <w:p w14:paraId="04598E8D" w14:textId="5997AECE" w:rsidR="00F03DB8" w:rsidRPr="00F55026" w:rsidRDefault="00F03DB8" w:rsidP="00F55026">
            <w:pPr>
              <w:jc w:val="center"/>
              <w:textAlignment w:val="baseline"/>
              <w:rPr>
                <w:rFonts w:eastAsia="Times New Roman" w:cstheme="minorHAnsi"/>
                <w:b/>
                <w:bCs/>
                <w:color w:val="FFFFFF" w:themeColor="background1"/>
              </w:rPr>
            </w:pPr>
            <w:r w:rsidRPr="00F55026">
              <w:rPr>
                <w:rFonts w:eastAsia="Times New Roman" w:cstheme="minorHAnsi"/>
                <w:b/>
                <w:bCs/>
                <w:color w:val="FFFFFF" w:themeColor="background1"/>
              </w:rPr>
              <w:t>Percentage of registered population </w:t>
            </w:r>
          </w:p>
        </w:tc>
        <w:tc>
          <w:tcPr>
            <w:tcW w:w="1101" w:type="dxa"/>
            <w:shd w:val="clear" w:color="auto" w:fill="2D7D82"/>
            <w:vAlign w:val="bottom"/>
            <w:hideMark/>
          </w:tcPr>
          <w:p w14:paraId="7ABE6287" w14:textId="2B19FA4A" w:rsidR="00F03DB8" w:rsidRPr="00F55026" w:rsidRDefault="00F03DB8" w:rsidP="00F55026">
            <w:pPr>
              <w:jc w:val="center"/>
              <w:textAlignment w:val="baseline"/>
              <w:rPr>
                <w:rFonts w:eastAsia="Times New Roman" w:cstheme="minorHAnsi"/>
                <w:b/>
                <w:bCs/>
                <w:color w:val="FFFFFF" w:themeColor="background1"/>
              </w:rPr>
            </w:pPr>
            <w:r w:rsidRPr="00F55026">
              <w:rPr>
                <w:rFonts w:eastAsia="Times New Roman" w:cstheme="minorHAnsi"/>
                <w:b/>
                <w:bCs/>
                <w:color w:val="FFFFFF" w:themeColor="background1"/>
              </w:rPr>
              <w:t>% of annual change </w:t>
            </w:r>
          </w:p>
        </w:tc>
        <w:tc>
          <w:tcPr>
            <w:tcW w:w="1204" w:type="dxa"/>
            <w:shd w:val="clear" w:color="auto" w:fill="2D7D82"/>
            <w:vAlign w:val="bottom"/>
            <w:hideMark/>
          </w:tcPr>
          <w:p w14:paraId="74D6E04A" w14:textId="1EA3C07A" w:rsidR="00F03DB8" w:rsidRPr="00F55026" w:rsidRDefault="00F03DB8" w:rsidP="00F55026">
            <w:pPr>
              <w:jc w:val="center"/>
              <w:textAlignment w:val="baseline"/>
              <w:rPr>
                <w:rFonts w:eastAsia="Times New Roman" w:cstheme="minorBidi"/>
                <w:b/>
                <w:color w:val="FFFFFF" w:themeColor="background1"/>
              </w:rPr>
            </w:pPr>
            <w:r w:rsidRPr="740CDBE4">
              <w:rPr>
                <w:rFonts w:eastAsia="Times New Roman" w:cstheme="minorBidi"/>
                <w:b/>
                <w:color w:val="FFFFFF" w:themeColor="background1"/>
              </w:rPr>
              <w:t xml:space="preserve">% </w:t>
            </w:r>
            <w:bookmarkStart w:id="85" w:name="_Int_GPa9KVIt"/>
            <w:r w:rsidRPr="740CDBE4">
              <w:rPr>
                <w:rFonts w:eastAsia="Times New Roman" w:cstheme="minorBidi"/>
                <w:b/>
                <w:color w:val="FFFFFF" w:themeColor="background1"/>
              </w:rPr>
              <w:t>IMD</w:t>
            </w:r>
            <w:bookmarkEnd w:id="85"/>
            <w:r w:rsidRPr="740CDBE4">
              <w:rPr>
                <w:rFonts w:eastAsia="Times New Roman" w:cstheme="minorBidi"/>
                <w:b/>
                <w:color w:val="FFFFFF" w:themeColor="background1"/>
              </w:rPr>
              <w:t xml:space="preserve"> bottom </w:t>
            </w:r>
          </w:p>
        </w:tc>
        <w:tc>
          <w:tcPr>
            <w:tcW w:w="974" w:type="dxa"/>
            <w:shd w:val="clear" w:color="auto" w:fill="2D7D82"/>
            <w:vAlign w:val="bottom"/>
            <w:hideMark/>
          </w:tcPr>
          <w:p w14:paraId="72677296" w14:textId="0B1BC8C3" w:rsidR="00F03DB8" w:rsidRPr="00F55026" w:rsidRDefault="00F03DB8" w:rsidP="00F55026">
            <w:pPr>
              <w:jc w:val="center"/>
              <w:textAlignment w:val="baseline"/>
              <w:rPr>
                <w:rFonts w:eastAsia="Times New Roman" w:cstheme="minorBidi"/>
                <w:b/>
                <w:color w:val="FFFFFF" w:themeColor="background1"/>
              </w:rPr>
            </w:pPr>
            <w:r w:rsidRPr="740CDBE4">
              <w:rPr>
                <w:rFonts w:eastAsia="Times New Roman" w:cstheme="minorBidi"/>
                <w:b/>
                <w:color w:val="FFFFFF" w:themeColor="background1"/>
              </w:rPr>
              <w:t xml:space="preserve">% 5+ </w:t>
            </w:r>
            <w:bookmarkStart w:id="86" w:name="_Int_FMyUMIdI"/>
            <w:r w:rsidRPr="740CDBE4">
              <w:rPr>
                <w:rFonts w:eastAsia="Times New Roman" w:cstheme="minorBidi"/>
                <w:b/>
                <w:color w:val="FFFFFF" w:themeColor="background1"/>
              </w:rPr>
              <w:t>LTCs</w:t>
            </w:r>
            <w:bookmarkEnd w:id="86"/>
            <w:r w:rsidRPr="740CDBE4">
              <w:rPr>
                <w:rFonts w:eastAsia="Times New Roman" w:cstheme="minorBidi"/>
                <w:b/>
                <w:color w:val="FFFFFF" w:themeColor="background1"/>
              </w:rPr>
              <w:t> </w:t>
            </w:r>
          </w:p>
        </w:tc>
        <w:tc>
          <w:tcPr>
            <w:tcW w:w="1071" w:type="dxa"/>
            <w:shd w:val="clear" w:color="auto" w:fill="2D7D82"/>
            <w:vAlign w:val="bottom"/>
            <w:hideMark/>
          </w:tcPr>
          <w:p w14:paraId="05A3E081" w14:textId="43F19C68" w:rsidR="00F03DB8" w:rsidRPr="00F55026" w:rsidRDefault="00F03DB8" w:rsidP="00F55026">
            <w:pPr>
              <w:jc w:val="center"/>
              <w:textAlignment w:val="baseline"/>
              <w:rPr>
                <w:rFonts w:eastAsia="Times New Roman" w:cstheme="minorHAnsi"/>
                <w:b/>
                <w:bCs/>
                <w:color w:val="FFFFFF" w:themeColor="background1"/>
              </w:rPr>
            </w:pPr>
            <w:r w:rsidRPr="00F55026">
              <w:rPr>
                <w:rFonts w:eastAsia="Times New Roman" w:cstheme="minorHAnsi"/>
                <w:b/>
                <w:bCs/>
                <w:color w:val="FFFFFF" w:themeColor="background1"/>
              </w:rPr>
              <w:t>% of annual acute cost </w:t>
            </w:r>
          </w:p>
        </w:tc>
        <w:tc>
          <w:tcPr>
            <w:tcW w:w="1590" w:type="dxa"/>
            <w:shd w:val="clear" w:color="auto" w:fill="2D7D82"/>
            <w:vAlign w:val="bottom"/>
            <w:hideMark/>
          </w:tcPr>
          <w:p w14:paraId="7AE859A6" w14:textId="21461760" w:rsidR="00F03DB8" w:rsidRPr="00F55026" w:rsidRDefault="00C12550" w:rsidP="00F55026">
            <w:pPr>
              <w:jc w:val="center"/>
              <w:textAlignment w:val="baseline"/>
              <w:rPr>
                <w:rFonts w:eastAsia="Times New Roman" w:cstheme="minorHAnsi"/>
                <w:b/>
                <w:bCs/>
                <w:color w:val="FFFFFF" w:themeColor="background1"/>
              </w:rPr>
            </w:pPr>
            <w:r>
              <w:rPr>
                <w:rFonts w:eastAsia="Times New Roman" w:cstheme="minorHAnsi"/>
                <w:b/>
                <w:bCs/>
                <w:color w:val="FFFFFF" w:themeColor="background1"/>
              </w:rPr>
              <w:t>Estimated a</w:t>
            </w:r>
            <w:r w:rsidR="00F03DB8" w:rsidRPr="00F55026">
              <w:rPr>
                <w:rFonts w:eastAsia="Times New Roman" w:cstheme="minorHAnsi"/>
                <w:b/>
                <w:bCs/>
                <w:color w:val="FFFFFF" w:themeColor="background1"/>
              </w:rPr>
              <w:t>cute cost </w:t>
            </w:r>
          </w:p>
        </w:tc>
      </w:tr>
      <w:tr w:rsidR="00F03DB8" w:rsidRPr="000F66BE" w14:paraId="5BA725B6" w14:textId="77777777" w:rsidTr="005531C0">
        <w:trPr>
          <w:trHeight w:val="270"/>
        </w:trPr>
        <w:tc>
          <w:tcPr>
            <w:tcW w:w="1991" w:type="dxa"/>
            <w:shd w:val="clear" w:color="auto" w:fill="DDF1F3"/>
            <w:vAlign w:val="bottom"/>
            <w:hideMark/>
          </w:tcPr>
          <w:p w14:paraId="0956A1C4"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ABC  </w:t>
            </w:r>
          </w:p>
        </w:tc>
        <w:tc>
          <w:tcPr>
            <w:tcW w:w="1491" w:type="dxa"/>
            <w:shd w:val="clear" w:color="auto" w:fill="DDF1F3"/>
            <w:vAlign w:val="bottom"/>
            <w:hideMark/>
          </w:tcPr>
          <w:p w14:paraId="5B88954C" w14:textId="24D83487"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1.8% </w:t>
            </w:r>
          </w:p>
        </w:tc>
        <w:tc>
          <w:tcPr>
            <w:tcW w:w="1101" w:type="dxa"/>
            <w:shd w:val="clear" w:color="auto" w:fill="DDF1F3"/>
            <w:vAlign w:val="bottom"/>
            <w:hideMark/>
          </w:tcPr>
          <w:p w14:paraId="21D46E2F" w14:textId="1563E122"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-3.3% </w:t>
            </w:r>
          </w:p>
        </w:tc>
        <w:tc>
          <w:tcPr>
            <w:tcW w:w="1204" w:type="dxa"/>
            <w:shd w:val="clear" w:color="auto" w:fill="DDF1F3"/>
            <w:vAlign w:val="bottom"/>
            <w:hideMark/>
          </w:tcPr>
          <w:p w14:paraId="6D93D84A" w14:textId="33C090C5"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31.5% </w:t>
            </w:r>
          </w:p>
        </w:tc>
        <w:tc>
          <w:tcPr>
            <w:tcW w:w="974" w:type="dxa"/>
            <w:shd w:val="clear" w:color="auto" w:fill="DDF1F3"/>
            <w:vAlign w:val="bottom"/>
            <w:hideMark/>
          </w:tcPr>
          <w:p w14:paraId="5BDD7934" w14:textId="7D7EB0FA"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55.7% </w:t>
            </w:r>
          </w:p>
        </w:tc>
        <w:tc>
          <w:tcPr>
            <w:tcW w:w="1071" w:type="dxa"/>
            <w:shd w:val="clear" w:color="auto" w:fill="DDF1F3"/>
            <w:vAlign w:val="bottom"/>
            <w:hideMark/>
          </w:tcPr>
          <w:p w14:paraId="5A7FB680" w14:textId="005857BE"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17.6% </w:t>
            </w:r>
          </w:p>
        </w:tc>
        <w:tc>
          <w:tcPr>
            <w:tcW w:w="1590" w:type="dxa"/>
            <w:shd w:val="clear" w:color="auto" w:fill="DDF1F3"/>
            <w:vAlign w:val="bottom"/>
            <w:hideMark/>
          </w:tcPr>
          <w:p w14:paraId="70893AF1" w14:textId="582ABD4F"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£3,000,000 </w:t>
            </w:r>
          </w:p>
        </w:tc>
      </w:tr>
      <w:tr w:rsidR="00F03DB8" w:rsidRPr="000F66BE" w14:paraId="260308E5" w14:textId="77777777" w:rsidTr="005531C0">
        <w:trPr>
          <w:trHeight w:val="270"/>
        </w:trPr>
        <w:tc>
          <w:tcPr>
            <w:tcW w:w="1991" w:type="dxa"/>
            <w:shd w:val="clear" w:color="auto" w:fill="DDF1F3"/>
            <w:vAlign w:val="bottom"/>
            <w:hideMark/>
          </w:tcPr>
          <w:p w14:paraId="365EA231"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Maidstone Central  </w:t>
            </w:r>
          </w:p>
        </w:tc>
        <w:tc>
          <w:tcPr>
            <w:tcW w:w="1491" w:type="dxa"/>
            <w:shd w:val="clear" w:color="auto" w:fill="DDF1F3"/>
            <w:vAlign w:val="bottom"/>
            <w:hideMark/>
          </w:tcPr>
          <w:p w14:paraId="6780FAEE" w14:textId="7AAD5CC2"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1.8% </w:t>
            </w:r>
          </w:p>
        </w:tc>
        <w:tc>
          <w:tcPr>
            <w:tcW w:w="1101" w:type="dxa"/>
            <w:shd w:val="clear" w:color="auto" w:fill="DDF1F3"/>
            <w:vAlign w:val="bottom"/>
            <w:hideMark/>
          </w:tcPr>
          <w:p w14:paraId="5A276117" w14:textId="67CC7DA1"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9.8% </w:t>
            </w:r>
          </w:p>
        </w:tc>
        <w:tc>
          <w:tcPr>
            <w:tcW w:w="1204" w:type="dxa"/>
            <w:shd w:val="clear" w:color="auto" w:fill="DDF1F3"/>
            <w:vAlign w:val="bottom"/>
            <w:hideMark/>
          </w:tcPr>
          <w:p w14:paraId="33C48706" w14:textId="2AFC6CC5"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40.0% </w:t>
            </w:r>
          </w:p>
        </w:tc>
        <w:tc>
          <w:tcPr>
            <w:tcW w:w="974" w:type="dxa"/>
            <w:shd w:val="clear" w:color="auto" w:fill="DDF1F3"/>
            <w:vAlign w:val="bottom"/>
            <w:hideMark/>
          </w:tcPr>
          <w:p w14:paraId="157CB897" w14:textId="30E58EE5"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54.0% </w:t>
            </w:r>
          </w:p>
        </w:tc>
        <w:tc>
          <w:tcPr>
            <w:tcW w:w="1071" w:type="dxa"/>
            <w:shd w:val="clear" w:color="auto" w:fill="DDF1F3"/>
            <w:vAlign w:val="bottom"/>
            <w:hideMark/>
          </w:tcPr>
          <w:p w14:paraId="6CC2304D" w14:textId="71A7AC0C"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15.0% </w:t>
            </w:r>
          </w:p>
        </w:tc>
        <w:tc>
          <w:tcPr>
            <w:tcW w:w="1590" w:type="dxa"/>
            <w:shd w:val="clear" w:color="auto" w:fill="DDF1F3"/>
            <w:vAlign w:val="bottom"/>
            <w:hideMark/>
          </w:tcPr>
          <w:p w14:paraId="70C3E3B2" w14:textId="488045CA"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£3,000,000 </w:t>
            </w:r>
          </w:p>
        </w:tc>
      </w:tr>
      <w:tr w:rsidR="00F03DB8" w:rsidRPr="000F66BE" w14:paraId="5EE228BF" w14:textId="77777777" w:rsidTr="005531C0">
        <w:trPr>
          <w:trHeight w:val="270"/>
        </w:trPr>
        <w:tc>
          <w:tcPr>
            <w:tcW w:w="1991" w:type="dxa"/>
            <w:shd w:val="clear" w:color="auto" w:fill="DDF1F3"/>
            <w:vAlign w:val="bottom"/>
            <w:hideMark/>
          </w:tcPr>
          <w:p w14:paraId="5D78FBF3"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Malling  </w:t>
            </w:r>
          </w:p>
        </w:tc>
        <w:tc>
          <w:tcPr>
            <w:tcW w:w="1491" w:type="dxa"/>
            <w:shd w:val="clear" w:color="auto" w:fill="DDF1F3"/>
            <w:vAlign w:val="bottom"/>
            <w:hideMark/>
          </w:tcPr>
          <w:p w14:paraId="0566936A" w14:textId="7C0232EA"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1.2% </w:t>
            </w:r>
          </w:p>
        </w:tc>
        <w:tc>
          <w:tcPr>
            <w:tcW w:w="1101" w:type="dxa"/>
            <w:shd w:val="clear" w:color="auto" w:fill="DDF1F3"/>
            <w:vAlign w:val="bottom"/>
            <w:hideMark/>
          </w:tcPr>
          <w:p w14:paraId="4B31FFD5" w14:textId="7B6847B8"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-0.5% </w:t>
            </w:r>
          </w:p>
        </w:tc>
        <w:tc>
          <w:tcPr>
            <w:tcW w:w="1204" w:type="dxa"/>
            <w:shd w:val="clear" w:color="auto" w:fill="DDF1F3"/>
            <w:vAlign w:val="bottom"/>
            <w:hideMark/>
          </w:tcPr>
          <w:p w14:paraId="58305C4E" w14:textId="6A9462D7"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29.6% </w:t>
            </w:r>
          </w:p>
        </w:tc>
        <w:tc>
          <w:tcPr>
            <w:tcW w:w="974" w:type="dxa"/>
            <w:shd w:val="clear" w:color="auto" w:fill="DDF1F3"/>
            <w:vAlign w:val="bottom"/>
            <w:hideMark/>
          </w:tcPr>
          <w:p w14:paraId="5251F294" w14:textId="59A0BBD4"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48.5% </w:t>
            </w:r>
          </w:p>
        </w:tc>
        <w:tc>
          <w:tcPr>
            <w:tcW w:w="1071" w:type="dxa"/>
            <w:shd w:val="clear" w:color="auto" w:fill="DDF1F3"/>
            <w:vAlign w:val="bottom"/>
            <w:hideMark/>
          </w:tcPr>
          <w:p w14:paraId="2CD3F43B" w14:textId="0652992C"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13.2% </w:t>
            </w:r>
          </w:p>
        </w:tc>
        <w:tc>
          <w:tcPr>
            <w:tcW w:w="1590" w:type="dxa"/>
            <w:shd w:val="clear" w:color="auto" w:fill="DDF1F3"/>
            <w:vAlign w:val="bottom"/>
            <w:hideMark/>
          </w:tcPr>
          <w:p w14:paraId="5A4D3474" w14:textId="29CAE8B4"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£3,000,000 </w:t>
            </w:r>
          </w:p>
        </w:tc>
      </w:tr>
      <w:tr w:rsidR="00F03DB8" w:rsidRPr="000F66BE" w14:paraId="14E1D746" w14:textId="77777777" w:rsidTr="005531C0">
        <w:trPr>
          <w:trHeight w:val="270"/>
        </w:trPr>
        <w:tc>
          <w:tcPr>
            <w:tcW w:w="1991" w:type="dxa"/>
            <w:shd w:val="clear" w:color="auto" w:fill="DDF1F3"/>
            <w:vAlign w:val="bottom"/>
            <w:hideMark/>
          </w:tcPr>
          <w:p w14:paraId="254202BA"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Sevenoaks  </w:t>
            </w:r>
          </w:p>
        </w:tc>
        <w:tc>
          <w:tcPr>
            <w:tcW w:w="1491" w:type="dxa"/>
            <w:shd w:val="clear" w:color="auto" w:fill="DDF1F3"/>
            <w:vAlign w:val="bottom"/>
            <w:hideMark/>
          </w:tcPr>
          <w:p w14:paraId="706F5D27" w14:textId="684E1250"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1.7% </w:t>
            </w:r>
          </w:p>
        </w:tc>
        <w:tc>
          <w:tcPr>
            <w:tcW w:w="1101" w:type="dxa"/>
            <w:shd w:val="clear" w:color="auto" w:fill="DDF1F3"/>
            <w:vAlign w:val="bottom"/>
            <w:hideMark/>
          </w:tcPr>
          <w:p w14:paraId="7B559B39" w14:textId="16216780"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-1.8% </w:t>
            </w:r>
          </w:p>
        </w:tc>
        <w:tc>
          <w:tcPr>
            <w:tcW w:w="1204" w:type="dxa"/>
            <w:shd w:val="clear" w:color="auto" w:fill="DDF1F3"/>
            <w:vAlign w:val="bottom"/>
            <w:hideMark/>
          </w:tcPr>
          <w:p w14:paraId="1E30D5DE" w14:textId="1A8C4436"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50.7% </w:t>
            </w:r>
          </w:p>
        </w:tc>
        <w:tc>
          <w:tcPr>
            <w:tcW w:w="974" w:type="dxa"/>
            <w:shd w:val="clear" w:color="auto" w:fill="DDF1F3"/>
            <w:vAlign w:val="bottom"/>
            <w:hideMark/>
          </w:tcPr>
          <w:p w14:paraId="52895860" w14:textId="122193A0"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47.5% </w:t>
            </w:r>
          </w:p>
        </w:tc>
        <w:tc>
          <w:tcPr>
            <w:tcW w:w="1071" w:type="dxa"/>
            <w:shd w:val="clear" w:color="auto" w:fill="DDF1F3"/>
            <w:vAlign w:val="bottom"/>
            <w:hideMark/>
          </w:tcPr>
          <w:p w14:paraId="7A103396" w14:textId="2D2929F5"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16.2% </w:t>
            </w:r>
          </w:p>
        </w:tc>
        <w:tc>
          <w:tcPr>
            <w:tcW w:w="1590" w:type="dxa"/>
            <w:shd w:val="clear" w:color="auto" w:fill="DDF1F3"/>
            <w:vAlign w:val="bottom"/>
            <w:hideMark/>
          </w:tcPr>
          <w:p w14:paraId="5A980417" w14:textId="1F3B64C3"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£5,000,000 </w:t>
            </w:r>
          </w:p>
        </w:tc>
      </w:tr>
      <w:tr w:rsidR="00F03DB8" w:rsidRPr="000F66BE" w14:paraId="39554D9A" w14:textId="77777777" w:rsidTr="005531C0">
        <w:trPr>
          <w:trHeight w:val="270"/>
        </w:trPr>
        <w:tc>
          <w:tcPr>
            <w:tcW w:w="1991" w:type="dxa"/>
            <w:shd w:val="clear" w:color="auto" w:fill="DDF1F3"/>
            <w:vAlign w:val="bottom"/>
            <w:hideMark/>
          </w:tcPr>
          <w:p w14:paraId="370C6801"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South Maidstone  </w:t>
            </w:r>
          </w:p>
        </w:tc>
        <w:tc>
          <w:tcPr>
            <w:tcW w:w="1491" w:type="dxa"/>
            <w:shd w:val="clear" w:color="auto" w:fill="DDF1F3"/>
            <w:vAlign w:val="bottom"/>
            <w:hideMark/>
          </w:tcPr>
          <w:p w14:paraId="71FEC474" w14:textId="44954EA0"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1.5% </w:t>
            </w:r>
          </w:p>
        </w:tc>
        <w:tc>
          <w:tcPr>
            <w:tcW w:w="1101" w:type="dxa"/>
            <w:shd w:val="clear" w:color="auto" w:fill="DDF1F3"/>
            <w:vAlign w:val="bottom"/>
            <w:hideMark/>
          </w:tcPr>
          <w:p w14:paraId="55C38B07" w14:textId="2EF63C66"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-0.7% </w:t>
            </w:r>
          </w:p>
        </w:tc>
        <w:tc>
          <w:tcPr>
            <w:tcW w:w="1204" w:type="dxa"/>
            <w:shd w:val="clear" w:color="auto" w:fill="DDF1F3"/>
            <w:vAlign w:val="bottom"/>
            <w:hideMark/>
          </w:tcPr>
          <w:p w14:paraId="49B9732B" w14:textId="3777DA97"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27.3% </w:t>
            </w:r>
          </w:p>
        </w:tc>
        <w:tc>
          <w:tcPr>
            <w:tcW w:w="974" w:type="dxa"/>
            <w:shd w:val="clear" w:color="auto" w:fill="DDF1F3"/>
            <w:vAlign w:val="bottom"/>
            <w:hideMark/>
          </w:tcPr>
          <w:p w14:paraId="6A841A7A" w14:textId="0C099BEA"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50.7% </w:t>
            </w:r>
          </w:p>
        </w:tc>
        <w:tc>
          <w:tcPr>
            <w:tcW w:w="1071" w:type="dxa"/>
            <w:shd w:val="clear" w:color="auto" w:fill="DDF1F3"/>
            <w:vAlign w:val="bottom"/>
            <w:hideMark/>
          </w:tcPr>
          <w:p w14:paraId="68F89CB3" w14:textId="67AF174E"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14.1% </w:t>
            </w:r>
          </w:p>
        </w:tc>
        <w:tc>
          <w:tcPr>
            <w:tcW w:w="1590" w:type="dxa"/>
            <w:shd w:val="clear" w:color="auto" w:fill="DDF1F3"/>
            <w:vAlign w:val="bottom"/>
            <w:hideMark/>
          </w:tcPr>
          <w:p w14:paraId="24A06BD3" w14:textId="431DE720"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£3,000,000 </w:t>
            </w:r>
          </w:p>
        </w:tc>
      </w:tr>
      <w:tr w:rsidR="00F03DB8" w:rsidRPr="000F66BE" w14:paraId="1EBCED90" w14:textId="77777777" w:rsidTr="005531C0">
        <w:trPr>
          <w:trHeight w:val="270"/>
        </w:trPr>
        <w:tc>
          <w:tcPr>
            <w:tcW w:w="1991" w:type="dxa"/>
            <w:shd w:val="clear" w:color="auto" w:fill="DDF1F3"/>
            <w:vAlign w:val="bottom"/>
            <w:hideMark/>
          </w:tcPr>
          <w:p w14:paraId="188EDF85"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The Ridge  </w:t>
            </w:r>
          </w:p>
        </w:tc>
        <w:tc>
          <w:tcPr>
            <w:tcW w:w="1491" w:type="dxa"/>
            <w:shd w:val="clear" w:color="auto" w:fill="DDF1F3"/>
            <w:vAlign w:val="bottom"/>
            <w:hideMark/>
          </w:tcPr>
          <w:p w14:paraId="3C21AB3D" w14:textId="6D387DA8"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1.6% </w:t>
            </w:r>
          </w:p>
        </w:tc>
        <w:tc>
          <w:tcPr>
            <w:tcW w:w="1101" w:type="dxa"/>
            <w:shd w:val="clear" w:color="auto" w:fill="DDF1F3"/>
            <w:vAlign w:val="bottom"/>
            <w:hideMark/>
          </w:tcPr>
          <w:p w14:paraId="72B3064B" w14:textId="2B39775D"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-0.1% </w:t>
            </w:r>
          </w:p>
        </w:tc>
        <w:tc>
          <w:tcPr>
            <w:tcW w:w="1204" w:type="dxa"/>
            <w:shd w:val="clear" w:color="auto" w:fill="DDF1F3"/>
            <w:vAlign w:val="bottom"/>
            <w:hideMark/>
          </w:tcPr>
          <w:p w14:paraId="590561DB" w14:textId="56A502D3"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23.9% </w:t>
            </w:r>
          </w:p>
        </w:tc>
        <w:tc>
          <w:tcPr>
            <w:tcW w:w="974" w:type="dxa"/>
            <w:shd w:val="clear" w:color="auto" w:fill="DDF1F3"/>
            <w:vAlign w:val="bottom"/>
            <w:hideMark/>
          </w:tcPr>
          <w:p w14:paraId="3E87FD14" w14:textId="136A42E7"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47.6% </w:t>
            </w:r>
          </w:p>
        </w:tc>
        <w:tc>
          <w:tcPr>
            <w:tcW w:w="1071" w:type="dxa"/>
            <w:shd w:val="clear" w:color="auto" w:fill="DDF1F3"/>
            <w:vAlign w:val="bottom"/>
            <w:hideMark/>
          </w:tcPr>
          <w:p w14:paraId="0204BF09" w14:textId="6E95611F"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16.2% </w:t>
            </w:r>
          </w:p>
        </w:tc>
        <w:tc>
          <w:tcPr>
            <w:tcW w:w="1590" w:type="dxa"/>
            <w:shd w:val="clear" w:color="auto" w:fill="DDF1F3"/>
            <w:vAlign w:val="bottom"/>
            <w:hideMark/>
          </w:tcPr>
          <w:p w14:paraId="0B217CC9" w14:textId="73BBCDDB"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£3,000,000 </w:t>
            </w:r>
          </w:p>
        </w:tc>
      </w:tr>
      <w:tr w:rsidR="00F03DB8" w:rsidRPr="000F66BE" w14:paraId="3D80EDBE" w14:textId="77777777" w:rsidTr="005531C0">
        <w:trPr>
          <w:trHeight w:val="270"/>
        </w:trPr>
        <w:tc>
          <w:tcPr>
            <w:tcW w:w="1991" w:type="dxa"/>
            <w:shd w:val="clear" w:color="auto" w:fill="DDF1F3"/>
            <w:vAlign w:val="bottom"/>
            <w:hideMark/>
          </w:tcPr>
          <w:p w14:paraId="50F25CCF"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Tonbridge  </w:t>
            </w:r>
          </w:p>
        </w:tc>
        <w:tc>
          <w:tcPr>
            <w:tcW w:w="1491" w:type="dxa"/>
            <w:shd w:val="clear" w:color="auto" w:fill="DDF1F3"/>
            <w:vAlign w:val="bottom"/>
            <w:hideMark/>
          </w:tcPr>
          <w:p w14:paraId="7CDF41EE" w14:textId="06D54479"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1.6% </w:t>
            </w:r>
          </w:p>
        </w:tc>
        <w:tc>
          <w:tcPr>
            <w:tcW w:w="1101" w:type="dxa"/>
            <w:shd w:val="clear" w:color="auto" w:fill="DDF1F3"/>
            <w:vAlign w:val="bottom"/>
            <w:hideMark/>
          </w:tcPr>
          <w:p w14:paraId="1BF14FFC" w14:textId="3EB07773"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-1.7% </w:t>
            </w:r>
          </w:p>
        </w:tc>
        <w:tc>
          <w:tcPr>
            <w:tcW w:w="1204" w:type="dxa"/>
            <w:shd w:val="clear" w:color="auto" w:fill="DDF1F3"/>
            <w:vAlign w:val="bottom"/>
            <w:hideMark/>
          </w:tcPr>
          <w:p w14:paraId="1396283A" w14:textId="12E3580A"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31.8% </w:t>
            </w:r>
          </w:p>
        </w:tc>
        <w:tc>
          <w:tcPr>
            <w:tcW w:w="974" w:type="dxa"/>
            <w:shd w:val="clear" w:color="auto" w:fill="DDF1F3"/>
            <w:vAlign w:val="bottom"/>
            <w:hideMark/>
          </w:tcPr>
          <w:p w14:paraId="0291FCF6" w14:textId="36B52245"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46.2% </w:t>
            </w:r>
          </w:p>
        </w:tc>
        <w:tc>
          <w:tcPr>
            <w:tcW w:w="1071" w:type="dxa"/>
            <w:shd w:val="clear" w:color="auto" w:fill="DDF1F3"/>
            <w:vAlign w:val="bottom"/>
            <w:hideMark/>
          </w:tcPr>
          <w:p w14:paraId="35A20C36" w14:textId="5DF0721A"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15.9% </w:t>
            </w:r>
          </w:p>
        </w:tc>
        <w:tc>
          <w:tcPr>
            <w:tcW w:w="1590" w:type="dxa"/>
            <w:shd w:val="clear" w:color="auto" w:fill="DDF1F3"/>
            <w:vAlign w:val="bottom"/>
            <w:hideMark/>
          </w:tcPr>
          <w:p w14:paraId="24BB38DB" w14:textId="6C5642C2"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£4,000,000 </w:t>
            </w:r>
          </w:p>
        </w:tc>
      </w:tr>
      <w:tr w:rsidR="00F03DB8" w:rsidRPr="000F66BE" w14:paraId="6CE8F5E3" w14:textId="77777777" w:rsidTr="005531C0">
        <w:trPr>
          <w:trHeight w:val="270"/>
        </w:trPr>
        <w:tc>
          <w:tcPr>
            <w:tcW w:w="1991" w:type="dxa"/>
            <w:shd w:val="clear" w:color="auto" w:fill="DDF1F3"/>
            <w:vAlign w:val="bottom"/>
            <w:hideMark/>
          </w:tcPr>
          <w:p w14:paraId="162D771B"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Tunbridge Wells  </w:t>
            </w:r>
          </w:p>
        </w:tc>
        <w:tc>
          <w:tcPr>
            <w:tcW w:w="1491" w:type="dxa"/>
            <w:shd w:val="clear" w:color="auto" w:fill="DDF1F3"/>
            <w:vAlign w:val="bottom"/>
            <w:hideMark/>
          </w:tcPr>
          <w:p w14:paraId="693EFB8E" w14:textId="444BFB38"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1.7% </w:t>
            </w:r>
          </w:p>
        </w:tc>
        <w:tc>
          <w:tcPr>
            <w:tcW w:w="1101" w:type="dxa"/>
            <w:shd w:val="clear" w:color="auto" w:fill="DDF1F3"/>
            <w:vAlign w:val="bottom"/>
            <w:hideMark/>
          </w:tcPr>
          <w:p w14:paraId="304571FE" w14:textId="31F17F2B"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3.4% </w:t>
            </w:r>
          </w:p>
        </w:tc>
        <w:tc>
          <w:tcPr>
            <w:tcW w:w="1204" w:type="dxa"/>
            <w:shd w:val="clear" w:color="auto" w:fill="DDF1F3"/>
            <w:vAlign w:val="bottom"/>
            <w:hideMark/>
          </w:tcPr>
          <w:p w14:paraId="7332FD54" w14:textId="18A856B6"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60.0% </w:t>
            </w:r>
          </w:p>
        </w:tc>
        <w:tc>
          <w:tcPr>
            <w:tcW w:w="974" w:type="dxa"/>
            <w:shd w:val="clear" w:color="auto" w:fill="DDF1F3"/>
            <w:vAlign w:val="bottom"/>
            <w:hideMark/>
          </w:tcPr>
          <w:p w14:paraId="062D7A7A" w14:textId="0D133F8A"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48.8% </w:t>
            </w:r>
          </w:p>
        </w:tc>
        <w:tc>
          <w:tcPr>
            <w:tcW w:w="1071" w:type="dxa"/>
            <w:shd w:val="clear" w:color="auto" w:fill="DDF1F3"/>
            <w:vAlign w:val="bottom"/>
            <w:hideMark/>
          </w:tcPr>
          <w:p w14:paraId="19C050A5" w14:textId="3679462F"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15.9% </w:t>
            </w:r>
          </w:p>
        </w:tc>
        <w:tc>
          <w:tcPr>
            <w:tcW w:w="1590" w:type="dxa"/>
            <w:shd w:val="clear" w:color="auto" w:fill="DDF1F3"/>
            <w:vAlign w:val="bottom"/>
            <w:hideMark/>
          </w:tcPr>
          <w:p w14:paraId="01E297DF" w14:textId="658643A0"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£5,000,000 </w:t>
            </w:r>
          </w:p>
        </w:tc>
      </w:tr>
      <w:tr w:rsidR="00F03DB8" w:rsidRPr="000F66BE" w14:paraId="62151D2F" w14:textId="77777777" w:rsidTr="005531C0">
        <w:trPr>
          <w:trHeight w:val="270"/>
        </w:trPr>
        <w:tc>
          <w:tcPr>
            <w:tcW w:w="1991" w:type="dxa"/>
            <w:shd w:val="clear" w:color="auto" w:fill="DDF1F3"/>
            <w:vAlign w:val="bottom"/>
            <w:hideMark/>
          </w:tcPr>
          <w:p w14:paraId="402E084B"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Weald  </w:t>
            </w:r>
          </w:p>
        </w:tc>
        <w:tc>
          <w:tcPr>
            <w:tcW w:w="1491" w:type="dxa"/>
            <w:shd w:val="clear" w:color="auto" w:fill="DDF1F3"/>
            <w:vAlign w:val="bottom"/>
            <w:hideMark/>
          </w:tcPr>
          <w:p w14:paraId="4100F558" w14:textId="6ADD470F"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1.7% </w:t>
            </w:r>
          </w:p>
        </w:tc>
        <w:tc>
          <w:tcPr>
            <w:tcW w:w="1101" w:type="dxa"/>
            <w:shd w:val="clear" w:color="auto" w:fill="DDF1F3"/>
            <w:vAlign w:val="bottom"/>
            <w:hideMark/>
          </w:tcPr>
          <w:p w14:paraId="5CD1117A" w14:textId="45FC06E8"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-2.2% </w:t>
            </w:r>
          </w:p>
        </w:tc>
        <w:tc>
          <w:tcPr>
            <w:tcW w:w="1204" w:type="dxa"/>
            <w:shd w:val="clear" w:color="auto" w:fill="DDF1F3"/>
            <w:vAlign w:val="bottom"/>
            <w:hideMark/>
          </w:tcPr>
          <w:p w14:paraId="5B984D5C" w14:textId="70A1C0E1"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11.5% </w:t>
            </w:r>
          </w:p>
        </w:tc>
        <w:tc>
          <w:tcPr>
            <w:tcW w:w="974" w:type="dxa"/>
            <w:shd w:val="clear" w:color="auto" w:fill="DDF1F3"/>
            <w:vAlign w:val="bottom"/>
            <w:hideMark/>
          </w:tcPr>
          <w:p w14:paraId="7CDCACAB" w14:textId="08716656"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46.5% </w:t>
            </w:r>
          </w:p>
        </w:tc>
        <w:tc>
          <w:tcPr>
            <w:tcW w:w="1071" w:type="dxa"/>
            <w:shd w:val="clear" w:color="auto" w:fill="DDF1F3"/>
            <w:vAlign w:val="bottom"/>
            <w:hideMark/>
          </w:tcPr>
          <w:p w14:paraId="38D90BB1" w14:textId="016FA89E"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14.4% </w:t>
            </w:r>
          </w:p>
        </w:tc>
        <w:tc>
          <w:tcPr>
            <w:tcW w:w="1590" w:type="dxa"/>
            <w:shd w:val="clear" w:color="auto" w:fill="DDF1F3"/>
            <w:vAlign w:val="bottom"/>
            <w:hideMark/>
          </w:tcPr>
          <w:p w14:paraId="79A24A9B" w14:textId="33A471CB"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£3,000,000 </w:t>
            </w:r>
          </w:p>
        </w:tc>
      </w:tr>
      <w:tr w:rsidR="00F03DB8" w:rsidRPr="000F66BE" w14:paraId="2E665D46" w14:textId="77777777" w:rsidTr="005531C0">
        <w:trPr>
          <w:trHeight w:val="270"/>
        </w:trPr>
        <w:tc>
          <w:tcPr>
            <w:tcW w:w="1991" w:type="dxa"/>
            <w:shd w:val="clear" w:color="auto" w:fill="DDF1F3"/>
            <w:vAlign w:val="bottom"/>
            <w:hideMark/>
          </w:tcPr>
          <w:p w14:paraId="5F0D7E19"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Kent &amp; Medway  </w:t>
            </w:r>
          </w:p>
        </w:tc>
        <w:tc>
          <w:tcPr>
            <w:tcW w:w="1491" w:type="dxa"/>
            <w:shd w:val="clear" w:color="auto" w:fill="DDF1F3"/>
            <w:vAlign w:val="bottom"/>
            <w:hideMark/>
          </w:tcPr>
          <w:p w14:paraId="23AB5FBF" w14:textId="46AE3BA8"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1.6% </w:t>
            </w:r>
          </w:p>
        </w:tc>
        <w:tc>
          <w:tcPr>
            <w:tcW w:w="1101" w:type="dxa"/>
            <w:shd w:val="clear" w:color="auto" w:fill="DDF1F3"/>
            <w:vAlign w:val="bottom"/>
            <w:hideMark/>
          </w:tcPr>
          <w:p w14:paraId="0084F3FD" w14:textId="2533893E"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2.9% </w:t>
            </w:r>
          </w:p>
        </w:tc>
        <w:tc>
          <w:tcPr>
            <w:tcW w:w="1204" w:type="dxa"/>
            <w:shd w:val="clear" w:color="auto" w:fill="DDF1F3"/>
            <w:vAlign w:val="bottom"/>
            <w:hideMark/>
          </w:tcPr>
          <w:p w14:paraId="0790DCF9" w14:textId="4524CC37"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18.9% </w:t>
            </w:r>
          </w:p>
        </w:tc>
        <w:tc>
          <w:tcPr>
            <w:tcW w:w="974" w:type="dxa"/>
            <w:shd w:val="clear" w:color="auto" w:fill="DDF1F3"/>
            <w:vAlign w:val="bottom"/>
            <w:hideMark/>
          </w:tcPr>
          <w:p w14:paraId="5B79E871" w14:textId="2FBB38C4"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50.8% </w:t>
            </w:r>
          </w:p>
        </w:tc>
        <w:tc>
          <w:tcPr>
            <w:tcW w:w="1071" w:type="dxa"/>
            <w:shd w:val="clear" w:color="auto" w:fill="DDF1F3"/>
            <w:vAlign w:val="bottom"/>
            <w:hideMark/>
          </w:tcPr>
          <w:p w14:paraId="6ED70DED" w14:textId="3C7D886D"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14.3% </w:t>
            </w:r>
          </w:p>
        </w:tc>
        <w:tc>
          <w:tcPr>
            <w:tcW w:w="1590" w:type="dxa"/>
            <w:shd w:val="clear" w:color="auto" w:fill="DDF1F3"/>
            <w:vAlign w:val="bottom"/>
            <w:hideMark/>
          </w:tcPr>
          <w:p w14:paraId="4B3E4192" w14:textId="36E7938B"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£120,000,000 </w:t>
            </w:r>
          </w:p>
        </w:tc>
      </w:tr>
      <w:tr w:rsidR="00F03DB8" w:rsidRPr="000F66BE" w14:paraId="1CE78260" w14:textId="77777777" w:rsidTr="005531C0">
        <w:trPr>
          <w:trHeight w:val="270"/>
        </w:trPr>
        <w:tc>
          <w:tcPr>
            <w:tcW w:w="1991" w:type="dxa"/>
            <w:shd w:val="clear" w:color="auto" w:fill="DDF1F3"/>
            <w:vAlign w:val="bottom"/>
            <w:hideMark/>
          </w:tcPr>
          <w:p w14:paraId="28151B1A" w14:textId="77777777" w:rsidR="00F03DB8" w:rsidRPr="000F66BE" w:rsidRDefault="00F03DB8">
            <w:pPr>
              <w:jc w:val="both"/>
              <w:textAlignment w:val="baseline"/>
              <w:rPr>
                <w:rFonts w:eastAsia="Times New Roman" w:cstheme="minorHAnsi"/>
              </w:rPr>
            </w:pPr>
            <w:r w:rsidRPr="000F66BE">
              <w:rPr>
                <w:rFonts w:eastAsia="Times New Roman" w:cstheme="minorHAnsi"/>
                <w:color w:val="000000"/>
              </w:rPr>
              <w:t>England  </w:t>
            </w:r>
          </w:p>
        </w:tc>
        <w:tc>
          <w:tcPr>
            <w:tcW w:w="1491" w:type="dxa"/>
            <w:shd w:val="clear" w:color="auto" w:fill="DDF1F3"/>
            <w:vAlign w:val="bottom"/>
            <w:hideMark/>
          </w:tcPr>
          <w:p w14:paraId="4CBD71A9" w14:textId="6D13FC15"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1.4% </w:t>
            </w:r>
          </w:p>
        </w:tc>
        <w:tc>
          <w:tcPr>
            <w:tcW w:w="1101" w:type="dxa"/>
            <w:shd w:val="clear" w:color="auto" w:fill="DDF1F3"/>
            <w:vAlign w:val="bottom"/>
            <w:hideMark/>
          </w:tcPr>
          <w:p w14:paraId="1ABE4999" w14:textId="32BAA17F"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1.4% </w:t>
            </w:r>
          </w:p>
        </w:tc>
        <w:tc>
          <w:tcPr>
            <w:tcW w:w="1204" w:type="dxa"/>
            <w:shd w:val="clear" w:color="auto" w:fill="DDF1F3"/>
            <w:vAlign w:val="bottom"/>
            <w:hideMark/>
          </w:tcPr>
          <w:p w14:paraId="111A26F6" w14:textId="3CD26652"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20.4% </w:t>
            </w:r>
          </w:p>
        </w:tc>
        <w:tc>
          <w:tcPr>
            <w:tcW w:w="974" w:type="dxa"/>
            <w:shd w:val="clear" w:color="auto" w:fill="DDF1F3"/>
            <w:vAlign w:val="bottom"/>
            <w:hideMark/>
          </w:tcPr>
          <w:p w14:paraId="33555D92" w14:textId="6EAC21D1"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55.1% </w:t>
            </w:r>
          </w:p>
        </w:tc>
        <w:tc>
          <w:tcPr>
            <w:tcW w:w="1071" w:type="dxa"/>
            <w:shd w:val="clear" w:color="auto" w:fill="DDF1F3"/>
            <w:vAlign w:val="bottom"/>
            <w:hideMark/>
          </w:tcPr>
          <w:p w14:paraId="6CF37856" w14:textId="5C9A3A72"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14.6% </w:t>
            </w:r>
          </w:p>
        </w:tc>
        <w:tc>
          <w:tcPr>
            <w:tcW w:w="1590" w:type="dxa"/>
            <w:shd w:val="clear" w:color="auto" w:fill="DDF1F3"/>
            <w:vAlign w:val="bottom"/>
            <w:hideMark/>
          </w:tcPr>
          <w:p w14:paraId="535C7453" w14:textId="23C11A6E" w:rsidR="00F03DB8" w:rsidRPr="000F66BE" w:rsidRDefault="00F03DB8" w:rsidP="00F55026">
            <w:pPr>
              <w:jc w:val="center"/>
              <w:textAlignment w:val="baseline"/>
              <w:rPr>
                <w:rFonts w:eastAsia="Times New Roman" w:cstheme="minorHAnsi"/>
              </w:rPr>
            </w:pPr>
            <w:r w:rsidRPr="000F66BE">
              <w:rPr>
                <w:rFonts w:eastAsia="Times New Roman" w:cstheme="minorHAnsi"/>
                <w:color w:val="000000"/>
              </w:rPr>
              <w:t> </w:t>
            </w:r>
          </w:p>
        </w:tc>
      </w:tr>
    </w:tbl>
    <w:p w14:paraId="774B8463" w14:textId="77777777" w:rsidR="00A61537" w:rsidRDefault="00A61537">
      <w:pPr>
        <w:spacing w:before="0" w:after="200"/>
        <w:rPr>
          <w:rFonts w:ascii="Calibri" w:eastAsia="Times New Roman" w:hAnsi="Calibri" w:cs="Calibri"/>
          <w:b/>
          <w:bCs/>
          <w:color w:val="000000"/>
          <w:shd w:val="clear" w:color="auto" w:fill="FFFFFF"/>
        </w:rPr>
      </w:pPr>
      <w:r>
        <w:rPr>
          <w:rFonts w:ascii="Calibri" w:eastAsia="Times New Roman" w:hAnsi="Calibri" w:cs="Calibri"/>
          <w:b/>
          <w:bCs/>
          <w:color w:val="000000"/>
          <w:shd w:val="clear" w:color="auto" w:fill="FFFFFF"/>
        </w:rPr>
        <w:br w:type="page"/>
      </w:r>
    </w:p>
    <w:p w14:paraId="461008CA" w14:textId="22A6E27C" w:rsidR="00F03DB8" w:rsidRDefault="00F03DB8" w:rsidP="00DB40C5">
      <w:pPr>
        <w:spacing w:after="0" w:line="240" w:lineRule="auto"/>
        <w:textAlignment w:val="baseline"/>
        <w:rPr>
          <w:rFonts w:ascii="Calibri" w:eastAsia="Times New Roman" w:hAnsi="Calibri" w:cs="Calibri"/>
          <w:b/>
          <w:bCs/>
          <w:color w:val="000000" w:themeColor="text1"/>
        </w:rPr>
      </w:pPr>
      <w:r w:rsidRPr="000F66BE">
        <w:rPr>
          <w:rFonts w:ascii="Calibri" w:eastAsia="Times New Roman" w:hAnsi="Calibri" w:cs="Calibri"/>
          <w:b/>
          <w:bCs/>
          <w:color w:val="000000"/>
          <w:shd w:val="clear" w:color="auto" w:fill="FFFFFF"/>
        </w:rPr>
        <w:lastRenderedPageBreak/>
        <w:t>Figure 5</w:t>
      </w:r>
      <w:r w:rsidR="00B3426A">
        <w:rPr>
          <w:rFonts w:ascii="Calibri" w:eastAsia="Times New Roman" w:hAnsi="Calibri" w:cs="Calibri"/>
          <w:b/>
          <w:bCs/>
          <w:color w:val="000000"/>
          <w:shd w:val="clear" w:color="auto" w:fill="FFFFFF"/>
        </w:rPr>
        <w:t>4</w:t>
      </w:r>
      <w:r w:rsidRPr="000F66BE">
        <w:rPr>
          <w:rFonts w:ascii="Calibri" w:eastAsia="Times New Roman" w:hAnsi="Calibri" w:cs="Calibri"/>
          <w:b/>
          <w:bCs/>
          <w:color w:val="000000"/>
          <w:shd w:val="clear" w:color="auto" w:fill="FFFFFF"/>
        </w:rPr>
        <w:t xml:space="preserve"> </w:t>
      </w:r>
      <w:r w:rsidRPr="305ECFD1">
        <w:rPr>
          <w:rFonts w:ascii="Calibri" w:eastAsia="Times New Roman" w:hAnsi="Calibri" w:cs="Calibri"/>
          <w:b/>
          <w:bCs/>
          <w:color w:val="000000" w:themeColor="text1"/>
        </w:rPr>
        <w:t>Population &amp; Person Insight dashboard - Frailty and dementia</w:t>
      </w:r>
    </w:p>
    <w:p w14:paraId="2FF4D199" w14:textId="38BF5D82" w:rsidR="00F03DB8" w:rsidRPr="00051202" w:rsidRDefault="00F03DB8" w:rsidP="00DB40C5">
      <w:pPr>
        <w:spacing w:after="0" w:line="240" w:lineRule="auto"/>
        <w:textAlignment w:val="baseline"/>
        <w:rPr>
          <w:rFonts w:ascii="Calibri" w:eastAsia="Times New Roman" w:hAnsi="Calibri" w:cs="Calibri"/>
          <w:b/>
          <w:bCs/>
          <w:color w:val="000000" w:themeColor="text1"/>
        </w:rPr>
      </w:pPr>
      <w:r>
        <w:rPr>
          <w:noProof/>
        </w:rPr>
        <w:drawing>
          <wp:inline distT="0" distB="0" distL="0" distR="0" wp14:anchorId="1A063771" wp14:editId="56904A8F">
            <wp:extent cx="5840083" cy="3592305"/>
            <wp:effectExtent l="0" t="0" r="8890" b="8255"/>
            <wp:docPr id="21" name="Picture 21" descr="Data contained in table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ata contained in table 9. "/>
                    <pic:cNvPicPr/>
                  </pic:nvPicPr>
                  <pic:blipFill>
                    <a:blip r:embed="rId102">
                      <a:extLst>
                        <a:ext uri="{28A0092B-C50C-407E-A947-70E740481C1C}">
                          <a14:useLocalDpi xmlns:a14="http://schemas.microsoft.com/office/drawing/2010/main" val="0"/>
                        </a:ext>
                      </a:extLst>
                    </a:blip>
                    <a:stretch>
                      <a:fillRect/>
                    </a:stretch>
                  </pic:blipFill>
                  <pic:spPr>
                    <a:xfrm>
                      <a:off x="0" y="0"/>
                      <a:ext cx="5841009" cy="3592875"/>
                    </a:xfrm>
                    <a:prstGeom prst="rect">
                      <a:avLst/>
                    </a:prstGeom>
                  </pic:spPr>
                </pic:pic>
              </a:graphicData>
            </a:graphic>
          </wp:inline>
        </w:drawing>
      </w:r>
      <w:r w:rsidRPr="5E4DB3C2">
        <w:rPr>
          <w:rFonts w:ascii="Calibri" w:eastAsia="Times New Roman" w:hAnsi="Calibri" w:cs="Calibri"/>
        </w:rPr>
        <w:t> </w:t>
      </w:r>
      <w:r>
        <w:br/>
      </w:r>
      <w:r w:rsidRPr="5E4DB3C2">
        <w:rPr>
          <w:rFonts w:ascii="Calibri" w:eastAsia="Times New Roman" w:hAnsi="Calibri" w:cs="Calibri"/>
          <w:color w:val="000000" w:themeColor="text1"/>
        </w:rPr>
        <w:t> </w:t>
      </w:r>
      <w:r w:rsidRPr="5E4DB3C2">
        <w:rPr>
          <w:rFonts w:ascii="Calibri" w:eastAsia="Times New Roman" w:hAnsi="Calibri" w:cs="Calibri"/>
          <w:b/>
          <w:bCs/>
          <w:color w:val="000000" w:themeColor="text1"/>
        </w:rPr>
        <w:t xml:space="preserve"> Figure 5</w:t>
      </w:r>
      <w:r w:rsidR="00B3426A">
        <w:rPr>
          <w:rFonts w:ascii="Calibri" w:eastAsia="Times New Roman" w:hAnsi="Calibri" w:cs="Calibri"/>
          <w:b/>
          <w:bCs/>
          <w:color w:val="000000" w:themeColor="text1"/>
        </w:rPr>
        <w:t>5</w:t>
      </w:r>
      <w:r w:rsidRPr="5E4DB3C2">
        <w:rPr>
          <w:rFonts w:ascii="Calibri" w:eastAsia="Times New Roman" w:hAnsi="Calibri" w:cs="Calibri"/>
          <w:b/>
          <w:bCs/>
          <w:color w:val="000000" w:themeColor="text1"/>
        </w:rPr>
        <w:t xml:space="preserve"> Population &amp; Person Insight dashboard - Frailty and dementia</w:t>
      </w:r>
    </w:p>
    <w:p w14:paraId="18290791" w14:textId="63CB521C" w:rsidR="00F03DB8" w:rsidRPr="00051202" w:rsidRDefault="00F03DB8" w:rsidP="00DB40C5">
      <w:pPr>
        <w:spacing w:after="0" w:line="240" w:lineRule="auto"/>
        <w:textAlignment w:val="baseline"/>
        <w:rPr>
          <w:rFonts w:ascii="Segoe UI" w:eastAsia="Times New Roman" w:hAnsi="Segoe UI" w:cs="Segoe UI"/>
          <w:sz w:val="18"/>
          <w:szCs w:val="18"/>
        </w:rPr>
      </w:pPr>
      <w:r w:rsidRPr="000F66BE">
        <w:rPr>
          <w:rFonts w:ascii="Segoe UI" w:eastAsia="Times New Roman" w:hAnsi="Segoe UI" w:cs="Segoe UI"/>
          <w:noProof/>
          <w:color w:val="2B579A"/>
          <w:sz w:val="18"/>
          <w:szCs w:val="18"/>
          <w:shd w:val="clear" w:color="auto" w:fill="E6E6E6"/>
        </w:rPr>
        <w:drawing>
          <wp:inline distT="0" distB="0" distL="0" distR="0" wp14:anchorId="69DA50CC" wp14:editId="087BACA7">
            <wp:extent cx="5883968" cy="3407434"/>
            <wp:effectExtent l="0" t="0" r="2540" b="2540"/>
            <wp:docPr id="20" name="Picture 20" descr="Data contained in tabl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ata contained in tabl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885991" cy="3408606"/>
                    </a:xfrm>
                    <a:prstGeom prst="rect">
                      <a:avLst/>
                    </a:prstGeom>
                    <a:noFill/>
                    <a:ln>
                      <a:noFill/>
                    </a:ln>
                  </pic:spPr>
                </pic:pic>
              </a:graphicData>
            </a:graphic>
          </wp:inline>
        </w:drawing>
      </w:r>
      <w:r w:rsidRPr="000F66BE">
        <w:rPr>
          <w:rFonts w:ascii="Times New Roman" w:eastAsia="Times New Roman" w:hAnsi="Times New Roman" w:cs="Times New Roman"/>
        </w:rPr>
        <w:t> </w:t>
      </w:r>
    </w:p>
    <w:p w14:paraId="1C25A369" w14:textId="77777777" w:rsidR="00051202" w:rsidRDefault="00051202" w:rsidP="00DB40C5">
      <w:pPr>
        <w:spacing w:before="0" w:after="200"/>
        <w:rPr>
          <w:rFonts w:ascii="Calibri" w:eastAsia="Calibri" w:hAnsi="Calibri" w:cs="Calibri"/>
          <w:b/>
          <w:bCs/>
        </w:rPr>
      </w:pPr>
      <w:r>
        <w:rPr>
          <w:rFonts w:ascii="Calibri" w:eastAsia="Calibri" w:hAnsi="Calibri" w:cs="Calibri"/>
          <w:b/>
          <w:bCs/>
        </w:rPr>
        <w:br w:type="page"/>
      </w:r>
    </w:p>
    <w:p w14:paraId="791416F8" w14:textId="374C825D" w:rsidR="00F03DB8" w:rsidRPr="00051202" w:rsidRDefault="00F03DB8" w:rsidP="00DB40C5">
      <w:pPr>
        <w:rPr>
          <w:rFonts w:ascii="Calibri" w:eastAsia="Calibri" w:hAnsi="Calibri" w:cs="Calibri"/>
          <w:b/>
          <w:bCs/>
        </w:rPr>
      </w:pPr>
      <w:r w:rsidRPr="00051202">
        <w:rPr>
          <w:rFonts w:ascii="Calibri" w:eastAsia="Calibri" w:hAnsi="Calibri" w:cs="Calibri"/>
          <w:b/>
          <w:bCs/>
        </w:rPr>
        <w:lastRenderedPageBreak/>
        <w:t>Figure 5</w:t>
      </w:r>
      <w:r w:rsidR="00B3426A">
        <w:rPr>
          <w:rFonts w:ascii="Calibri" w:eastAsia="Calibri" w:hAnsi="Calibri" w:cs="Calibri"/>
          <w:b/>
          <w:bCs/>
        </w:rPr>
        <w:t>6</w:t>
      </w:r>
      <w:r w:rsidRPr="00051202">
        <w:rPr>
          <w:rFonts w:ascii="Calibri" w:eastAsia="Calibri" w:hAnsi="Calibri" w:cs="Calibri"/>
          <w:b/>
          <w:bCs/>
        </w:rPr>
        <w:t xml:space="preserve"> Emergency Readmissions in frail / dementia patients</w:t>
      </w:r>
      <w:r w:rsidR="00051202">
        <w:rPr>
          <w:rFonts w:ascii="Calibri" w:eastAsia="Calibri" w:hAnsi="Calibri" w:cs="Calibri"/>
          <w:b/>
          <w:bCs/>
        </w:rPr>
        <w:t xml:space="preserve"> in West Kent and Maidstone Central PCN, 2018-2022. </w:t>
      </w:r>
      <w:r w:rsidR="00051202" w:rsidRPr="00051202">
        <w:rPr>
          <w:rFonts w:ascii="Calibri" w:eastAsia="Calibri" w:hAnsi="Calibri" w:cs="Calibri"/>
        </w:rPr>
        <w:t>Source</w:t>
      </w:r>
      <w:r w:rsidR="00051202">
        <w:rPr>
          <w:rFonts w:ascii="Calibri" w:eastAsia="Calibri" w:hAnsi="Calibri" w:cs="Calibri"/>
        </w:rPr>
        <w:t>:</w:t>
      </w:r>
      <w:r w:rsidR="00051202" w:rsidRPr="00051202">
        <w:rPr>
          <w:rFonts w:ascii="Calibri" w:eastAsia="Calibri" w:hAnsi="Calibri" w:cs="Calibri"/>
        </w:rPr>
        <w:t xml:space="preserve"> OBH</w:t>
      </w:r>
    </w:p>
    <w:p w14:paraId="1E014211" w14:textId="29E82B51" w:rsidR="00F03DB8" w:rsidRDefault="00F03DB8" w:rsidP="00DB40C5">
      <w:pPr>
        <w:rPr>
          <w:rFonts w:ascii="Calibri" w:eastAsia="Calibri" w:hAnsi="Calibri" w:cs="Calibri"/>
        </w:rPr>
      </w:pPr>
      <w:r>
        <w:rPr>
          <w:noProof/>
        </w:rPr>
        <w:drawing>
          <wp:inline distT="0" distB="0" distL="0" distR="0" wp14:anchorId="6A87AEF1" wp14:editId="3F330ED8">
            <wp:extent cx="5723890" cy="3365500"/>
            <wp:effectExtent l="0" t="0" r="0" b="6350"/>
            <wp:docPr id="840438857" name="Picture 840438857" descr="Emergency Readmissions in frail / dementia patients in West Kent and Maidstone Central PCN, 2018-2022. Admissions are consistently higher in Maidstone compared to West Kent. There is an upward trend in Maidstone Central over the 4 years from about 18,000 admissions to 22,000. In West Kent the trend line is quite flat around 1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38857" name="Picture 840438857" descr="Emergency Readmissions in frail / dementia patients in West Kent and Maidstone Central PCN, 2018-2022. Admissions are consistently higher in Maidstone compared to West Kent. There is an upward trend in Maidstone Central over the 4 years from about 18,000 admissions to 22,000. In West Kent the trend line is quite flat around 17,000."/>
                    <pic:cNvPicPr/>
                  </pic:nvPicPr>
                  <pic:blipFill>
                    <a:blip r:embed="rId104">
                      <a:extLst>
                        <a:ext uri="{28A0092B-C50C-407E-A947-70E740481C1C}">
                          <a14:useLocalDpi xmlns:a14="http://schemas.microsoft.com/office/drawing/2010/main" val="0"/>
                        </a:ext>
                      </a:extLst>
                    </a:blip>
                    <a:stretch>
                      <a:fillRect/>
                    </a:stretch>
                  </pic:blipFill>
                  <pic:spPr>
                    <a:xfrm>
                      <a:off x="0" y="0"/>
                      <a:ext cx="5724526" cy="3365874"/>
                    </a:xfrm>
                    <a:prstGeom prst="rect">
                      <a:avLst/>
                    </a:prstGeom>
                  </pic:spPr>
                </pic:pic>
              </a:graphicData>
            </a:graphic>
          </wp:inline>
        </w:drawing>
      </w:r>
    </w:p>
    <w:p w14:paraId="31503D66" w14:textId="536B7B2A" w:rsidR="00F03DB8" w:rsidRDefault="00F03DB8" w:rsidP="00DB40C5">
      <w:pPr>
        <w:rPr>
          <w:rFonts w:ascii="Calibri" w:eastAsia="Calibri" w:hAnsi="Calibri" w:cs="Calibri"/>
        </w:rPr>
      </w:pPr>
      <w:r w:rsidRPr="00051202">
        <w:rPr>
          <w:rFonts w:ascii="Calibri" w:eastAsia="Calibri" w:hAnsi="Calibri" w:cs="Calibri"/>
          <w:b/>
          <w:bCs/>
        </w:rPr>
        <w:t>Figure 5</w:t>
      </w:r>
      <w:r w:rsidR="00B3426A">
        <w:rPr>
          <w:rFonts w:ascii="Calibri" w:eastAsia="Calibri" w:hAnsi="Calibri" w:cs="Calibri"/>
          <w:b/>
          <w:bCs/>
        </w:rPr>
        <w:t>7</w:t>
      </w:r>
      <w:r w:rsidRPr="00051202">
        <w:rPr>
          <w:rFonts w:ascii="Calibri" w:eastAsia="Calibri" w:hAnsi="Calibri" w:cs="Calibri"/>
          <w:b/>
          <w:bCs/>
        </w:rPr>
        <w:t xml:space="preserve"> Emergency Readmissions in frail / dementia patients</w:t>
      </w:r>
      <w:r w:rsidR="00002AB2">
        <w:rPr>
          <w:rFonts w:ascii="Calibri" w:eastAsia="Calibri" w:hAnsi="Calibri" w:cs="Calibri"/>
          <w:b/>
          <w:bCs/>
        </w:rPr>
        <w:t xml:space="preserve"> West Kent and South Maidstone PCN, 2018-2022</w:t>
      </w:r>
      <w:r w:rsidR="00051202">
        <w:rPr>
          <w:rFonts w:ascii="Calibri" w:eastAsia="Calibri" w:hAnsi="Calibri" w:cs="Calibri"/>
        </w:rPr>
        <w:t>. Source: OBH</w:t>
      </w:r>
    </w:p>
    <w:p w14:paraId="6E5046DF" w14:textId="77777777" w:rsidR="00F03DB8" w:rsidRDefault="00F03DB8" w:rsidP="00DB40C5">
      <w:pPr>
        <w:pStyle w:val="paragraph"/>
        <w:spacing w:before="0" w:beforeAutospacing="0" w:after="0" w:afterAutospacing="0" w:line="276" w:lineRule="auto"/>
      </w:pPr>
      <w:r>
        <w:rPr>
          <w:noProof/>
        </w:rPr>
        <w:drawing>
          <wp:inline distT="0" distB="0" distL="0" distR="0" wp14:anchorId="63679D2B" wp14:editId="199EB518">
            <wp:extent cx="5723890" cy="3390900"/>
            <wp:effectExtent l="0" t="0" r="0" b="0"/>
            <wp:docPr id="621506780" name="Picture 621506780" descr="Emergency Readmissions in frail / dementia patients in West Kent and South Maidstone PCN, 2018-2022. Admissions are generally higher in Maidstone compared to West Kent. There is an upward trend in South Maidstone over the 4 years from about 18,000 admissions to 20,000. In West Kent the trend line is quite flat around 1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06780" name="Picture 621506780" descr="Emergency Readmissions in frail / dementia patients in West Kent and South Maidstone PCN, 2018-2022. Admissions are generally higher in Maidstone compared to West Kent. There is an upward trend in South Maidstone over the 4 years from about 18,000 admissions to 20,000. In West Kent the trend line is quite flat around 17,000."/>
                    <pic:cNvPicPr/>
                  </pic:nvPicPr>
                  <pic:blipFill>
                    <a:blip r:embed="rId105">
                      <a:extLst>
                        <a:ext uri="{28A0092B-C50C-407E-A947-70E740481C1C}">
                          <a14:useLocalDpi xmlns:a14="http://schemas.microsoft.com/office/drawing/2010/main" val="0"/>
                        </a:ext>
                      </a:extLst>
                    </a:blip>
                    <a:stretch>
                      <a:fillRect/>
                    </a:stretch>
                  </pic:blipFill>
                  <pic:spPr>
                    <a:xfrm>
                      <a:off x="0" y="0"/>
                      <a:ext cx="5724528" cy="3391278"/>
                    </a:xfrm>
                    <a:prstGeom prst="rect">
                      <a:avLst/>
                    </a:prstGeom>
                  </pic:spPr>
                </pic:pic>
              </a:graphicData>
            </a:graphic>
          </wp:inline>
        </w:drawing>
      </w:r>
    </w:p>
    <w:p w14:paraId="77557E12" w14:textId="77777777" w:rsidR="00F03DB8" w:rsidRDefault="00F03DB8" w:rsidP="00DB40C5">
      <w:pPr>
        <w:pStyle w:val="paragraph"/>
        <w:spacing w:before="0" w:beforeAutospacing="0" w:after="0" w:afterAutospacing="0" w:line="276" w:lineRule="auto"/>
        <w:rPr>
          <w:b/>
          <w:bCs/>
        </w:rPr>
      </w:pPr>
    </w:p>
    <w:p w14:paraId="25D2815C" w14:textId="5ED4339C" w:rsidR="00271497" w:rsidRPr="00A61537" w:rsidRDefault="00271497" w:rsidP="00A61537">
      <w:pPr>
        <w:spacing w:after="0"/>
        <w:textAlignment w:val="baseline"/>
        <w:rPr>
          <w:rFonts w:ascii="Calibri" w:eastAsia="Calibri" w:hAnsi="Calibri" w:cs="Calibri"/>
          <w:color w:val="000000" w:themeColor="text1"/>
        </w:rPr>
      </w:pPr>
      <w:r>
        <w:rPr>
          <w:b/>
          <w:bCs/>
        </w:rPr>
        <w:br w:type="page"/>
      </w:r>
      <w:r w:rsidR="00857B83" w:rsidRPr="006949B5">
        <w:rPr>
          <w:rStyle w:val="normaltextrun"/>
          <w:rFonts w:ascii="Calibri" w:eastAsia="Calibri" w:hAnsi="Calibri" w:cs="Calibri"/>
          <w:color w:val="000000" w:themeColor="text1"/>
        </w:rPr>
        <w:lastRenderedPageBreak/>
        <w:t xml:space="preserve">A key interdependency in the frailty agenda is loneliness. Table 10 shows that approximately 35,272 individuals aged over 65 lived alone in West Kent in 2020, rising to 50,210 by 2040, proportionately affecting more females than </w:t>
      </w:r>
      <w:r w:rsidR="006949B5" w:rsidRPr="006949B5">
        <w:rPr>
          <w:rStyle w:val="normaltextrun"/>
          <w:rFonts w:ascii="Calibri" w:eastAsia="Calibri" w:hAnsi="Calibri" w:cs="Calibri"/>
          <w:color w:val="000000" w:themeColor="text1"/>
        </w:rPr>
        <w:t>males.</w:t>
      </w:r>
    </w:p>
    <w:p w14:paraId="460CE269" w14:textId="6FD97991" w:rsidR="00F03DB8" w:rsidRPr="006949B5" w:rsidRDefault="00F03DB8" w:rsidP="00DB40C5">
      <w:pPr>
        <w:pStyle w:val="paragraph"/>
        <w:spacing w:before="0" w:beforeAutospacing="0" w:after="0" w:afterAutospacing="0" w:line="276" w:lineRule="auto"/>
        <w:rPr>
          <w:rFonts w:ascii="Calibri" w:hAnsi="Calibri" w:cs="Calibri"/>
          <w:b/>
          <w:bCs/>
        </w:rPr>
      </w:pPr>
      <w:r w:rsidRPr="006949B5">
        <w:rPr>
          <w:rFonts w:ascii="Calibri" w:hAnsi="Calibri" w:cs="Calibri"/>
          <w:b/>
          <w:bCs/>
        </w:rPr>
        <w:t>Table 10</w:t>
      </w:r>
      <w:r w:rsidR="00051202" w:rsidRPr="006949B5">
        <w:rPr>
          <w:rFonts w:ascii="Calibri" w:hAnsi="Calibri" w:cs="Calibri"/>
          <w:b/>
          <w:bCs/>
        </w:rPr>
        <w:t xml:space="preserve"> number of people living alone in West Kent, 2020 projected to 2030 and 2040</w:t>
      </w:r>
    </w:p>
    <w:p w14:paraId="5E41C42C" w14:textId="416921C8" w:rsidR="463FDF54" w:rsidRDefault="463FDF54" w:rsidP="463E73C9">
      <w:pPr>
        <w:pStyle w:val="paragraph"/>
        <w:spacing w:before="0" w:beforeAutospacing="0" w:after="0" w:afterAutospacing="0" w:line="276" w:lineRule="auto"/>
      </w:pPr>
      <w:r w:rsidRPr="463E73C9">
        <w:rPr>
          <w:rFonts w:ascii="Calibri" w:eastAsia="Calibri" w:hAnsi="Calibri" w:cs="Calibri"/>
          <w:sz w:val="18"/>
          <w:szCs w:val="18"/>
        </w:rPr>
        <w:t>Source: Projecting Older People Population Information System</w:t>
      </w:r>
    </w:p>
    <w:tbl>
      <w:tblPr>
        <w:tblW w:w="8300" w:type="dxa"/>
        <w:tblInd w:w="113" w:type="dxa"/>
        <w:tblLook w:val="04A0" w:firstRow="1" w:lastRow="0" w:firstColumn="1" w:lastColumn="0" w:noHBand="0" w:noVBand="1"/>
      </w:tblPr>
      <w:tblGrid>
        <w:gridCol w:w="5524"/>
        <w:gridCol w:w="856"/>
        <w:gridCol w:w="960"/>
        <w:gridCol w:w="960"/>
      </w:tblGrid>
      <w:tr w:rsidR="00FF65ED" w:rsidRPr="00FF65ED" w14:paraId="13C21F1B" w14:textId="77777777" w:rsidTr="00271497">
        <w:trPr>
          <w:trHeight w:val="300"/>
        </w:trPr>
        <w:tc>
          <w:tcPr>
            <w:tcW w:w="5524" w:type="dxa"/>
            <w:tcBorders>
              <w:top w:val="single" w:sz="4" w:space="0" w:color="auto"/>
              <w:left w:val="single" w:sz="4" w:space="0" w:color="auto"/>
              <w:bottom w:val="single" w:sz="4" w:space="0" w:color="auto"/>
              <w:right w:val="single" w:sz="4" w:space="0" w:color="auto"/>
            </w:tcBorders>
            <w:shd w:val="clear" w:color="000000" w:fill="2D7C82"/>
            <w:noWrap/>
            <w:vAlign w:val="bottom"/>
            <w:hideMark/>
          </w:tcPr>
          <w:p w14:paraId="6662C879" w14:textId="77777777" w:rsidR="00FF65ED" w:rsidRPr="00FF65ED" w:rsidRDefault="00FF65ED" w:rsidP="00FF65ED">
            <w:pPr>
              <w:spacing w:before="0" w:after="0" w:line="240" w:lineRule="auto"/>
              <w:rPr>
                <w:rFonts w:ascii="Calibri" w:eastAsia="Times New Roman" w:hAnsi="Calibri" w:cs="Calibri"/>
                <w:b/>
                <w:bCs/>
                <w:color w:val="FFFFFF"/>
                <w:sz w:val="22"/>
                <w:szCs w:val="22"/>
              </w:rPr>
            </w:pPr>
            <w:r w:rsidRPr="00FF65ED">
              <w:rPr>
                <w:rFonts w:ascii="Calibri" w:eastAsia="Times New Roman" w:hAnsi="Calibri" w:cs="Calibri"/>
                <w:b/>
                <w:bCs/>
                <w:color w:val="FFFFFF"/>
                <w:sz w:val="22"/>
                <w:szCs w:val="22"/>
              </w:rPr>
              <w:t>Living alone in West Kent</w:t>
            </w:r>
          </w:p>
        </w:tc>
        <w:tc>
          <w:tcPr>
            <w:tcW w:w="856" w:type="dxa"/>
            <w:tcBorders>
              <w:top w:val="single" w:sz="4" w:space="0" w:color="auto"/>
              <w:left w:val="nil"/>
              <w:bottom w:val="single" w:sz="4" w:space="0" w:color="auto"/>
              <w:right w:val="single" w:sz="4" w:space="0" w:color="auto"/>
            </w:tcBorders>
            <w:shd w:val="clear" w:color="000000" w:fill="2D7C82"/>
            <w:noWrap/>
            <w:vAlign w:val="bottom"/>
            <w:hideMark/>
          </w:tcPr>
          <w:p w14:paraId="76B1AFDB" w14:textId="77777777" w:rsidR="00FF65ED" w:rsidRPr="00FF65ED" w:rsidRDefault="00FF65ED" w:rsidP="00857B83">
            <w:pPr>
              <w:spacing w:before="0" w:after="0" w:line="240" w:lineRule="auto"/>
              <w:jc w:val="center"/>
              <w:rPr>
                <w:rFonts w:ascii="Calibri" w:eastAsia="Times New Roman" w:hAnsi="Calibri" w:cs="Calibri"/>
                <w:b/>
                <w:bCs/>
                <w:color w:val="FFFFFF"/>
                <w:sz w:val="22"/>
                <w:szCs w:val="22"/>
              </w:rPr>
            </w:pPr>
            <w:r w:rsidRPr="00FF65ED">
              <w:rPr>
                <w:rFonts w:ascii="Calibri" w:eastAsia="Times New Roman" w:hAnsi="Calibri" w:cs="Calibri"/>
                <w:b/>
                <w:bCs/>
                <w:color w:val="FFFFFF"/>
                <w:sz w:val="22"/>
                <w:szCs w:val="22"/>
              </w:rPr>
              <w:t>2020</w:t>
            </w:r>
          </w:p>
        </w:tc>
        <w:tc>
          <w:tcPr>
            <w:tcW w:w="960" w:type="dxa"/>
            <w:tcBorders>
              <w:top w:val="single" w:sz="4" w:space="0" w:color="auto"/>
              <w:left w:val="nil"/>
              <w:bottom w:val="single" w:sz="4" w:space="0" w:color="auto"/>
              <w:right w:val="single" w:sz="4" w:space="0" w:color="auto"/>
            </w:tcBorders>
            <w:shd w:val="clear" w:color="000000" w:fill="2D7C82"/>
            <w:noWrap/>
            <w:vAlign w:val="bottom"/>
            <w:hideMark/>
          </w:tcPr>
          <w:p w14:paraId="19B465F6" w14:textId="77777777" w:rsidR="00FF65ED" w:rsidRPr="00FF65ED" w:rsidRDefault="00FF65ED" w:rsidP="00857B83">
            <w:pPr>
              <w:spacing w:before="0" w:after="0" w:line="240" w:lineRule="auto"/>
              <w:jc w:val="center"/>
              <w:rPr>
                <w:rFonts w:ascii="Calibri" w:eastAsia="Times New Roman" w:hAnsi="Calibri" w:cs="Calibri"/>
                <w:b/>
                <w:bCs/>
                <w:color w:val="FFFFFF"/>
                <w:sz w:val="22"/>
                <w:szCs w:val="22"/>
              </w:rPr>
            </w:pPr>
            <w:r w:rsidRPr="00FF65ED">
              <w:rPr>
                <w:rFonts w:ascii="Calibri" w:eastAsia="Times New Roman" w:hAnsi="Calibri" w:cs="Calibri"/>
                <w:b/>
                <w:bCs/>
                <w:color w:val="FFFFFF"/>
                <w:sz w:val="22"/>
                <w:szCs w:val="22"/>
              </w:rPr>
              <w:t>2030</w:t>
            </w:r>
          </w:p>
        </w:tc>
        <w:tc>
          <w:tcPr>
            <w:tcW w:w="960" w:type="dxa"/>
            <w:tcBorders>
              <w:top w:val="single" w:sz="4" w:space="0" w:color="auto"/>
              <w:left w:val="nil"/>
              <w:bottom w:val="single" w:sz="4" w:space="0" w:color="auto"/>
              <w:right w:val="single" w:sz="4" w:space="0" w:color="auto"/>
            </w:tcBorders>
            <w:shd w:val="clear" w:color="000000" w:fill="2D7C82"/>
            <w:noWrap/>
            <w:vAlign w:val="bottom"/>
            <w:hideMark/>
          </w:tcPr>
          <w:p w14:paraId="38B85C85" w14:textId="77777777" w:rsidR="00FF65ED" w:rsidRPr="00FF65ED" w:rsidRDefault="00FF65ED" w:rsidP="00857B83">
            <w:pPr>
              <w:spacing w:before="0" w:after="0" w:line="240" w:lineRule="auto"/>
              <w:jc w:val="center"/>
              <w:rPr>
                <w:rFonts w:ascii="Calibri" w:eastAsia="Times New Roman" w:hAnsi="Calibri" w:cs="Calibri"/>
                <w:b/>
                <w:bCs/>
                <w:color w:val="FFFFFF"/>
                <w:sz w:val="22"/>
                <w:szCs w:val="22"/>
              </w:rPr>
            </w:pPr>
            <w:r w:rsidRPr="00FF65ED">
              <w:rPr>
                <w:rFonts w:ascii="Calibri" w:eastAsia="Times New Roman" w:hAnsi="Calibri" w:cs="Calibri"/>
                <w:b/>
                <w:bCs/>
                <w:color w:val="FFFFFF"/>
                <w:sz w:val="22"/>
                <w:szCs w:val="22"/>
              </w:rPr>
              <w:t>2040</w:t>
            </w:r>
          </w:p>
        </w:tc>
      </w:tr>
      <w:tr w:rsidR="00FF65ED" w:rsidRPr="00FF65ED" w14:paraId="69642D53" w14:textId="77777777" w:rsidTr="00271497">
        <w:trPr>
          <w:trHeight w:val="300"/>
        </w:trPr>
        <w:tc>
          <w:tcPr>
            <w:tcW w:w="5524" w:type="dxa"/>
            <w:tcBorders>
              <w:top w:val="nil"/>
              <w:left w:val="single" w:sz="4" w:space="0" w:color="auto"/>
              <w:bottom w:val="single" w:sz="4" w:space="0" w:color="auto"/>
              <w:right w:val="single" w:sz="4" w:space="0" w:color="auto"/>
            </w:tcBorders>
            <w:shd w:val="clear" w:color="000000" w:fill="DDF1F3"/>
            <w:noWrap/>
            <w:vAlign w:val="bottom"/>
            <w:hideMark/>
          </w:tcPr>
          <w:p w14:paraId="192FF88C" w14:textId="77777777" w:rsidR="00FF65ED" w:rsidRPr="00FF65ED" w:rsidRDefault="00FF65ED" w:rsidP="00FF65ED">
            <w:pPr>
              <w:spacing w:before="0" w:after="0" w:line="240" w:lineRule="auto"/>
              <w:rPr>
                <w:rFonts w:ascii="Calibri" w:eastAsia="Times New Roman" w:hAnsi="Calibri" w:cs="Calibri"/>
                <w:color w:val="000000"/>
                <w:sz w:val="22"/>
                <w:szCs w:val="22"/>
              </w:rPr>
            </w:pPr>
            <w:r w:rsidRPr="00FF65ED">
              <w:rPr>
                <w:rFonts w:ascii="Calibri" w:eastAsia="Times New Roman" w:hAnsi="Calibri" w:cs="Calibri"/>
                <w:color w:val="000000"/>
                <w:sz w:val="22"/>
                <w:szCs w:val="22"/>
              </w:rPr>
              <w:t>Females aged 65-74 predicted to live alone</w:t>
            </w:r>
          </w:p>
        </w:tc>
        <w:tc>
          <w:tcPr>
            <w:tcW w:w="856" w:type="dxa"/>
            <w:tcBorders>
              <w:top w:val="nil"/>
              <w:left w:val="nil"/>
              <w:bottom w:val="single" w:sz="4" w:space="0" w:color="auto"/>
              <w:right w:val="single" w:sz="4" w:space="0" w:color="auto"/>
            </w:tcBorders>
            <w:shd w:val="clear" w:color="000000" w:fill="DDF1F3"/>
            <w:noWrap/>
            <w:vAlign w:val="bottom"/>
            <w:hideMark/>
          </w:tcPr>
          <w:p w14:paraId="605ECD01" w14:textId="2C786C89"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5</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400</w:t>
            </w:r>
          </w:p>
        </w:tc>
        <w:tc>
          <w:tcPr>
            <w:tcW w:w="960" w:type="dxa"/>
            <w:tcBorders>
              <w:top w:val="nil"/>
              <w:left w:val="nil"/>
              <w:bottom w:val="single" w:sz="4" w:space="0" w:color="auto"/>
              <w:right w:val="single" w:sz="4" w:space="0" w:color="auto"/>
            </w:tcBorders>
            <w:shd w:val="clear" w:color="000000" w:fill="DDF1F3"/>
            <w:noWrap/>
            <w:vAlign w:val="bottom"/>
            <w:hideMark/>
          </w:tcPr>
          <w:p w14:paraId="2FEB7768" w14:textId="7CD5AC88"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6</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160</w:t>
            </w:r>
          </w:p>
        </w:tc>
        <w:tc>
          <w:tcPr>
            <w:tcW w:w="960" w:type="dxa"/>
            <w:tcBorders>
              <w:top w:val="nil"/>
              <w:left w:val="nil"/>
              <w:bottom w:val="single" w:sz="4" w:space="0" w:color="auto"/>
              <w:right w:val="single" w:sz="4" w:space="0" w:color="auto"/>
            </w:tcBorders>
            <w:shd w:val="clear" w:color="000000" w:fill="DDF1F3"/>
            <w:noWrap/>
            <w:vAlign w:val="bottom"/>
            <w:hideMark/>
          </w:tcPr>
          <w:p w14:paraId="775094AA" w14:textId="5A7E0D1C"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6</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780</w:t>
            </w:r>
          </w:p>
        </w:tc>
      </w:tr>
      <w:tr w:rsidR="00FF65ED" w:rsidRPr="00FF65ED" w14:paraId="5DD3ABC1" w14:textId="77777777" w:rsidTr="00271497">
        <w:trPr>
          <w:trHeight w:val="300"/>
        </w:trPr>
        <w:tc>
          <w:tcPr>
            <w:tcW w:w="5524" w:type="dxa"/>
            <w:tcBorders>
              <w:top w:val="nil"/>
              <w:left w:val="single" w:sz="4" w:space="0" w:color="auto"/>
              <w:bottom w:val="single" w:sz="4" w:space="0" w:color="auto"/>
              <w:right w:val="single" w:sz="4" w:space="0" w:color="auto"/>
            </w:tcBorders>
            <w:shd w:val="clear" w:color="000000" w:fill="DDF1F3"/>
            <w:noWrap/>
            <w:vAlign w:val="bottom"/>
            <w:hideMark/>
          </w:tcPr>
          <w:p w14:paraId="432BB4D3" w14:textId="77777777" w:rsidR="00FF65ED" w:rsidRPr="00FF65ED" w:rsidRDefault="00FF65ED" w:rsidP="00FF65ED">
            <w:pPr>
              <w:spacing w:before="0" w:after="0" w:line="240" w:lineRule="auto"/>
              <w:rPr>
                <w:rFonts w:ascii="Calibri" w:eastAsia="Times New Roman" w:hAnsi="Calibri" w:cs="Calibri"/>
                <w:color w:val="000000"/>
                <w:sz w:val="22"/>
                <w:szCs w:val="22"/>
              </w:rPr>
            </w:pPr>
            <w:r w:rsidRPr="00FF65ED">
              <w:rPr>
                <w:rFonts w:ascii="Calibri" w:eastAsia="Times New Roman" w:hAnsi="Calibri" w:cs="Calibri"/>
                <w:color w:val="000000"/>
                <w:sz w:val="22"/>
                <w:szCs w:val="22"/>
              </w:rPr>
              <w:t>Females aged 75+ predicted to live alone</w:t>
            </w:r>
          </w:p>
        </w:tc>
        <w:tc>
          <w:tcPr>
            <w:tcW w:w="856" w:type="dxa"/>
            <w:tcBorders>
              <w:top w:val="nil"/>
              <w:left w:val="nil"/>
              <w:bottom w:val="single" w:sz="4" w:space="0" w:color="auto"/>
              <w:right w:val="single" w:sz="4" w:space="0" w:color="auto"/>
            </w:tcBorders>
            <w:shd w:val="clear" w:color="000000" w:fill="DDF1F3"/>
            <w:noWrap/>
            <w:vAlign w:val="bottom"/>
            <w:hideMark/>
          </w:tcPr>
          <w:p w14:paraId="7EC4DD2A" w14:textId="14AA7140"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6</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467</w:t>
            </w:r>
          </w:p>
        </w:tc>
        <w:tc>
          <w:tcPr>
            <w:tcW w:w="960" w:type="dxa"/>
            <w:tcBorders>
              <w:top w:val="nil"/>
              <w:left w:val="nil"/>
              <w:bottom w:val="single" w:sz="4" w:space="0" w:color="auto"/>
              <w:right w:val="single" w:sz="4" w:space="0" w:color="auto"/>
            </w:tcBorders>
            <w:shd w:val="clear" w:color="000000" w:fill="DDF1F3"/>
            <w:noWrap/>
            <w:vAlign w:val="bottom"/>
            <w:hideMark/>
          </w:tcPr>
          <w:p w14:paraId="61657E48" w14:textId="3C16EB67"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8</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410</w:t>
            </w:r>
          </w:p>
        </w:tc>
        <w:tc>
          <w:tcPr>
            <w:tcW w:w="960" w:type="dxa"/>
            <w:tcBorders>
              <w:top w:val="nil"/>
              <w:left w:val="nil"/>
              <w:bottom w:val="single" w:sz="4" w:space="0" w:color="auto"/>
              <w:right w:val="single" w:sz="4" w:space="0" w:color="auto"/>
            </w:tcBorders>
            <w:shd w:val="clear" w:color="000000" w:fill="DDF1F3"/>
            <w:noWrap/>
            <w:vAlign w:val="bottom"/>
            <w:hideMark/>
          </w:tcPr>
          <w:p w14:paraId="0DAA6AE6" w14:textId="6509FAC2"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10</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324</w:t>
            </w:r>
          </w:p>
        </w:tc>
      </w:tr>
      <w:tr w:rsidR="00FF65ED" w:rsidRPr="00FF65ED" w14:paraId="020A9401" w14:textId="77777777" w:rsidTr="00271497">
        <w:trPr>
          <w:trHeight w:val="300"/>
        </w:trPr>
        <w:tc>
          <w:tcPr>
            <w:tcW w:w="5524" w:type="dxa"/>
            <w:tcBorders>
              <w:top w:val="nil"/>
              <w:left w:val="single" w:sz="4" w:space="0" w:color="auto"/>
              <w:bottom w:val="single" w:sz="4" w:space="0" w:color="auto"/>
              <w:right w:val="single" w:sz="4" w:space="0" w:color="auto"/>
            </w:tcBorders>
            <w:shd w:val="clear" w:color="000000" w:fill="DDF1F3"/>
            <w:noWrap/>
            <w:vAlign w:val="bottom"/>
            <w:hideMark/>
          </w:tcPr>
          <w:p w14:paraId="1C70FFC7" w14:textId="77777777" w:rsidR="00FF65ED" w:rsidRPr="00FF65ED" w:rsidRDefault="00FF65ED" w:rsidP="00FF65ED">
            <w:pPr>
              <w:spacing w:before="0" w:after="0" w:line="240" w:lineRule="auto"/>
              <w:rPr>
                <w:rFonts w:ascii="Calibri" w:eastAsia="Times New Roman" w:hAnsi="Calibri" w:cs="Calibri"/>
                <w:color w:val="000000"/>
                <w:sz w:val="22"/>
                <w:szCs w:val="22"/>
              </w:rPr>
            </w:pPr>
            <w:r w:rsidRPr="00FF65ED">
              <w:rPr>
                <w:rFonts w:ascii="Calibri" w:eastAsia="Times New Roman" w:hAnsi="Calibri" w:cs="Calibri"/>
                <w:color w:val="000000"/>
                <w:sz w:val="22"/>
                <w:szCs w:val="22"/>
              </w:rPr>
              <w:t>Males aged 65-74 predicted to live alone</w:t>
            </w:r>
          </w:p>
        </w:tc>
        <w:tc>
          <w:tcPr>
            <w:tcW w:w="856" w:type="dxa"/>
            <w:tcBorders>
              <w:top w:val="nil"/>
              <w:left w:val="nil"/>
              <w:bottom w:val="single" w:sz="4" w:space="0" w:color="auto"/>
              <w:right w:val="single" w:sz="4" w:space="0" w:color="auto"/>
            </w:tcBorders>
            <w:shd w:val="clear" w:color="000000" w:fill="DDF1F3"/>
            <w:noWrap/>
            <w:vAlign w:val="bottom"/>
            <w:hideMark/>
          </w:tcPr>
          <w:p w14:paraId="36114804" w14:textId="6CF57934"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8</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555</w:t>
            </w:r>
          </w:p>
        </w:tc>
        <w:tc>
          <w:tcPr>
            <w:tcW w:w="960" w:type="dxa"/>
            <w:tcBorders>
              <w:top w:val="nil"/>
              <w:left w:val="nil"/>
              <w:bottom w:val="single" w:sz="4" w:space="0" w:color="auto"/>
              <w:right w:val="single" w:sz="4" w:space="0" w:color="auto"/>
            </w:tcBorders>
            <w:shd w:val="clear" w:color="000000" w:fill="DDF1F3"/>
            <w:noWrap/>
            <w:vAlign w:val="bottom"/>
            <w:hideMark/>
          </w:tcPr>
          <w:p w14:paraId="5004894F" w14:textId="20D66580"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9</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628</w:t>
            </w:r>
          </w:p>
        </w:tc>
        <w:tc>
          <w:tcPr>
            <w:tcW w:w="960" w:type="dxa"/>
            <w:tcBorders>
              <w:top w:val="nil"/>
              <w:left w:val="nil"/>
              <w:bottom w:val="single" w:sz="4" w:space="0" w:color="auto"/>
              <w:right w:val="single" w:sz="4" w:space="0" w:color="auto"/>
            </w:tcBorders>
            <w:shd w:val="clear" w:color="000000" w:fill="DDF1F3"/>
            <w:noWrap/>
            <w:vAlign w:val="bottom"/>
            <w:hideMark/>
          </w:tcPr>
          <w:p w14:paraId="59147CF4" w14:textId="1D604214"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10</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556</w:t>
            </w:r>
          </w:p>
        </w:tc>
      </w:tr>
      <w:tr w:rsidR="00FF65ED" w:rsidRPr="00FF65ED" w14:paraId="5E7BEE72" w14:textId="77777777" w:rsidTr="00271497">
        <w:trPr>
          <w:trHeight w:val="300"/>
        </w:trPr>
        <w:tc>
          <w:tcPr>
            <w:tcW w:w="5524" w:type="dxa"/>
            <w:tcBorders>
              <w:top w:val="nil"/>
              <w:left w:val="single" w:sz="4" w:space="0" w:color="auto"/>
              <w:bottom w:val="single" w:sz="4" w:space="0" w:color="auto"/>
              <w:right w:val="single" w:sz="4" w:space="0" w:color="auto"/>
            </w:tcBorders>
            <w:shd w:val="clear" w:color="000000" w:fill="DDF1F3"/>
            <w:noWrap/>
            <w:vAlign w:val="bottom"/>
            <w:hideMark/>
          </w:tcPr>
          <w:p w14:paraId="6ADCAB66" w14:textId="77777777" w:rsidR="00FF65ED" w:rsidRPr="00FF65ED" w:rsidRDefault="00FF65ED" w:rsidP="00FF65ED">
            <w:pPr>
              <w:spacing w:before="0" w:after="0" w:line="240" w:lineRule="auto"/>
              <w:rPr>
                <w:rFonts w:ascii="Calibri" w:eastAsia="Times New Roman" w:hAnsi="Calibri" w:cs="Calibri"/>
                <w:color w:val="000000"/>
                <w:sz w:val="22"/>
                <w:szCs w:val="22"/>
              </w:rPr>
            </w:pPr>
            <w:r w:rsidRPr="00FF65ED">
              <w:rPr>
                <w:rFonts w:ascii="Calibri" w:eastAsia="Times New Roman" w:hAnsi="Calibri" w:cs="Calibri"/>
                <w:color w:val="000000"/>
                <w:sz w:val="22"/>
                <w:szCs w:val="22"/>
              </w:rPr>
              <w:t>Males aged 75+ predicted to live alone</w:t>
            </w:r>
          </w:p>
        </w:tc>
        <w:tc>
          <w:tcPr>
            <w:tcW w:w="856" w:type="dxa"/>
            <w:tcBorders>
              <w:top w:val="nil"/>
              <w:left w:val="nil"/>
              <w:bottom w:val="single" w:sz="4" w:space="0" w:color="auto"/>
              <w:right w:val="single" w:sz="4" w:space="0" w:color="auto"/>
            </w:tcBorders>
            <w:shd w:val="clear" w:color="000000" w:fill="DDF1F3"/>
            <w:noWrap/>
            <w:vAlign w:val="bottom"/>
            <w:hideMark/>
          </w:tcPr>
          <w:p w14:paraId="2EA85B60" w14:textId="5F40B85C"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14</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850</w:t>
            </w:r>
          </w:p>
        </w:tc>
        <w:tc>
          <w:tcPr>
            <w:tcW w:w="960" w:type="dxa"/>
            <w:tcBorders>
              <w:top w:val="nil"/>
              <w:left w:val="nil"/>
              <w:bottom w:val="single" w:sz="4" w:space="0" w:color="auto"/>
              <w:right w:val="single" w:sz="4" w:space="0" w:color="auto"/>
            </w:tcBorders>
            <w:shd w:val="clear" w:color="000000" w:fill="DDF1F3"/>
            <w:noWrap/>
            <w:vAlign w:val="bottom"/>
            <w:hideMark/>
          </w:tcPr>
          <w:p w14:paraId="0BC62AE6" w14:textId="74E79CE2"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18</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750</w:t>
            </w:r>
          </w:p>
        </w:tc>
        <w:tc>
          <w:tcPr>
            <w:tcW w:w="960" w:type="dxa"/>
            <w:tcBorders>
              <w:top w:val="nil"/>
              <w:left w:val="nil"/>
              <w:bottom w:val="single" w:sz="4" w:space="0" w:color="auto"/>
              <w:right w:val="single" w:sz="4" w:space="0" w:color="auto"/>
            </w:tcBorders>
            <w:shd w:val="clear" w:color="000000" w:fill="DDF1F3"/>
            <w:noWrap/>
            <w:vAlign w:val="bottom"/>
            <w:hideMark/>
          </w:tcPr>
          <w:p w14:paraId="4C6875CC" w14:textId="7A2342B3" w:rsidR="00FF65ED" w:rsidRPr="00FF65ED" w:rsidRDefault="00FF65ED" w:rsidP="00857B83">
            <w:pPr>
              <w:spacing w:before="0" w:after="0" w:line="240" w:lineRule="auto"/>
              <w:jc w:val="center"/>
              <w:rPr>
                <w:rFonts w:ascii="Calibri" w:eastAsia="Times New Roman" w:hAnsi="Calibri" w:cs="Calibri"/>
                <w:color w:val="000000"/>
                <w:sz w:val="22"/>
                <w:szCs w:val="22"/>
              </w:rPr>
            </w:pPr>
            <w:r w:rsidRPr="00FF65ED">
              <w:rPr>
                <w:rFonts w:ascii="Calibri" w:eastAsia="Times New Roman" w:hAnsi="Calibri" w:cs="Calibri"/>
                <w:color w:val="000000"/>
                <w:sz w:val="22"/>
                <w:szCs w:val="22"/>
              </w:rPr>
              <w:t>22</w:t>
            </w:r>
            <w:r w:rsidR="00857B83">
              <w:rPr>
                <w:rFonts w:ascii="Calibri" w:eastAsia="Times New Roman" w:hAnsi="Calibri" w:cs="Calibri"/>
                <w:color w:val="000000"/>
                <w:sz w:val="22"/>
                <w:szCs w:val="22"/>
              </w:rPr>
              <w:t>,</w:t>
            </w:r>
            <w:r w:rsidRPr="00FF65ED">
              <w:rPr>
                <w:rFonts w:ascii="Calibri" w:eastAsia="Times New Roman" w:hAnsi="Calibri" w:cs="Calibri"/>
                <w:color w:val="000000"/>
                <w:sz w:val="22"/>
                <w:szCs w:val="22"/>
              </w:rPr>
              <w:t>550</w:t>
            </w:r>
          </w:p>
        </w:tc>
      </w:tr>
      <w:tr w:rsidR="00FF65ED" w:rsidRPr="00FF65ED" w14:paraId="4040002C" w14:textId="77777777" w:rsidTr="00271497">
        <w:trPr>
          <w:trHeight w:val="300"/>
        </w:trPr>
        <w:tc>
          <w:tcPr>
            <w:tcW w:w="5524" w:type="dxa"/>
            <w:tcBorders>
              <w:top w:val="nil"/>
              <w:left w:val="single" w:sz="4" w:space="0" w:color="auto"/>
              <w:bottom w:val="single" w:sz="4" w:space="0" w:color="auto"/>
              <w:right w:val="single" w:sz="4" w:space="0" w:color="auto"/>
            </w:tcBorders>
            <w:shd w:val="clear" w:color="000000" w:fill="DDF1F3"/>
            <w:noWrap/>
            <w:vAlign w:val="bottom"/>
            <w:hideMark/>
          </w:tcPr>
          <w:p w14:paraId="5377755D" w14:textId="77777777" w:rsidR="00FF65ED" w:rsidRPr="00FF65ED" w:rsidRDefault="00FF65ED" w:rsidP="00FF65ED">
            <w:pPr>
              <w:spacing w:before="0" w:after="0" w:line="240" w:lineRule="auto"/>
              <w:rPr>
                <w:rFonts w:ascii="Calibri" w:eastAsia="Times New Roman" w:hAnsi="Calibri" w:cs="Calibri"/>
                <w:b/>
                <w:bCs/>
                <w:color w:val="000000"/>
                <w:sz w:val="22"/>
                <w:szCs w:val="22"/>
              </w:rPr>
            </w:pPr>
            <w:r w:rsidRPr="00FF65ED">
              <w:rPr>
                <w:rFonts w:ascii="Calibri" w:eastAsia="Times New Roman" w:hAnsi="Calibri" w:cs="Calibri"/>
                <w:b/>
                <w:bCs/>
                <w:color w:val="000000"/>
                <w:sz w:val="22"/>
                <w:szCs w:val="22"/>
              </w:rPr>
              <w:t>Total population aged 65-74 predicted to live alone in WK</w:t>
            </w:r>
          </w:p>
        </w:tc>
        <w:tc>
          <w:tcPr>
            <w:tcW w:w="856" w:type="dxa"/>
            <w:tcBorders>
              <w:top w:val="nil"/>
              <w:left w:val="nil"/>
              <w:bottom w:val="single" w:sz="4" w:space="0" w:color="auto"/>
              <w:right w:val="single" w:sz="4" w:space="0" w:color="auto"/>
            </w:tcBorders>
            <w:shd w:val="clear" w:color="000000" w:fill="DDF1F3"/>
            <w:noWrap/>
            <w:vAlign w:val="bottom"/>
            <w:hideMark/>
          </w:tcPr>
          <w:p w14:paraId="28DE447B" w14:textId="2731E0B9" w:rsidR="00FF65ED" w:rsidRPr="00FF65ED" w:rsidRDefault="00FF65ED" w:rsidP="00857B83">
            <w:pPr>
              <w:spacing w:before="0" w:after="0" w:line="240" w:lineRule="auto"/>
              <w:jc w:val="center"/>
              <w:rPr>
                <w:rFonts w:ascii="Calibri" w:eastAsia="Times New Roman" w:hAnsi="Calibri" w:cs="Calibri"/>
                <w:b/>
                <w:bCs/>
                <w:color w:val="000000"/>
                <w:sz w:val="22"/>
                <w:szCs w:val="22"/>
              </w:rPr>
            </w:pPr>
            <w:r w:rsidRPr="00FF65ED">
              <w:rPr>
                <w:rFonts w:ascii="Calibri" w:eastAsia="Times New Roman" w:hAnsi="Calibri" w:cs="Calibri"/>
                <w:b/>
                <w:bCs/>
                <w:color w:val="000000"/>
                <w:sz w:val="22"/>
                <w:szCs w:val="22"/>
              </w:rPr>
              <w:t>13</w:t>
            </w:r>
            <w:r w:rsidR="00857B83">
              <w:rPr>
                <w:rFonts w:ascii="Calibri" w:eastAsia="Times New Roman" w:hAnsi="Calibri" w:cs="Calibri"/>
                <w:b/>
                <w:bCs/>
                <w:color w:val="000000"/>
                <w:sz w:val="22"/>
                <w:szCs w:val="22"/>
              </w:rPr>
              <w:t>,</w:t>
            </w:r>
            <w:r w:rsidRPr="00FF65ED">
              <w:rPr>
                <w:rFonts w:ascii="Calibri" w:eastAsia="Times New Roman" w:hAnsi="Calibri" w:cs="Calibri"/>
                <w:b/>
                <w:bCs/>
                <w:color w:val="000000"/>
                <w:sz w:val="22"/>
                <w:szCs w:val="22"/>
              </w:rPr>
              <w:t>955</w:t>
            </w:r>
          </w:p>
        </w:tc>
        <w:tc>
          <w:tcPr>
            <w:tcW w:w="960" w:type="dxa"/>
            <w:tcBorders>
              <w:top w:val="nil"/>
              <w:left w:val="nil"/>
              <w:bottom w:val="single" w:sz="4" w:space="0" w:color="auto"/>
              <w:right w:val="single" w:sz="4" w:space="0" w:color="auto"/>
            </w:tcBorders>
            <w:shd w:val="clear" w:color="000000" w:fill="DDF1F3"/>
            <w:noWrap/>
            <w:vAlign w:val="bottom"/>
            <w:hideMark/>
          </w:tcPr>
          <w:p w14:paraId="71F5F866" w14:textId="72ACA291" w:rsidR="00FF65ED" w:rsidRPr="00FF65ED" w:rsidRDefault="00FF65ED" w:rsidP="00857B83">
            <w:pPr>
              <w:spacing w:before="0" w:after="0" w:line="240" w:lineRule="auto"/>
              <w:jc w:val="center"/>
              <w:rPr>
                <w:rFonts w:ascii="Calibri" w:eastAsia="Times New Roman" w:hAnsi="Calibri" w:cs="Calibri"/>
                <w:b/>
                <w:bCs/>
                <w:color w:val="000000"/>
                <w:sz w:val="22"/>
                <w:szCs w:val="22"/>
              </w:rPr>
            </w:pPr>
            <w:r w:rsidRPr="00FF65ED">
              <w:rPr>
                <w:rFonts w:ascii="Calibri" w:eastAsia="Times New Roman" w:hAnsi="Calibri" w:cs="Calibri"/>
                <w:b/>
                <w:bCs/>
                <w:color w:val="000000"/>
                <w:sz w:val="22"/>
                <w:szCs w:val="22"/>
              </w:rPr>
              <w:t>15</w:t>
            </w:r>
            <w:r w:rsidR="00857B83">
              <w:rPr>
                <w:rFonts w:ascii="Calibri" w:eastAsia="Times New Roman" w:hAnsi="Calibri" w:cs="Calibri"/>
                <w:b/>
                <w:bCs/>
                <w:color w:val="000000"/>
                <w:sz w:val="22"/>
                <w:szCs w:val="22"/>
              </w:rPr>
              <w:t>,</w:t>
            </w:r>
            <w:r w:rsidRPr="00FF65ED">
              <w:rPr>
                <w:rFonts w:ascii="Calibri" w:eastAsia="Times New Roman" w:hAnsi="Calibri" w:cs="Calibri"/>
                <w:b/>
                <w:bCs/>
                <w:color w:val="000000"/>
                <w:sz w:val="22"/>
                <w:szCs w:val="22"/>
              </w:rPr>
              <w:t>788</w:t>
            </w:r>
          </w:p>
        </w:tc>
        <w:tc>
          <w:tcPr>
            <w:tcW w:w="960" w:type="dxa"/>
            <w:tcBorders>
              <w:top w:val="nil"/>
              <w:left w:val="nil"/>
              <w:bottom w:val="single" w:sz="4" w:space="0" w:color="auto"/>
              <w:right w:val="single" w:sz="4" w:space="0" w:color="auto"/>
            </w:tcBorders>
            <w:shd w:val="clear" w:color="000000" w:fill="DDF1F3"/>
            <w:noWrap/>
            <w:vAlign w:val="bottom"/>
            <w:hideMark/>
          </w:tcPr>
          <w:p w14:paraId="04475978" w14:textId="73B30064" w:rsidR="00FF65ED" w:rsidRPr="00FF65ED" w:rsidRDefault="00FF65ED" w:rsidP="00857B83">
            <w:pPr>
              <w:spacing w:before="0" w:after="0" w:line="240" w:lineRule="auto"/>
              <w:jc w:val="center"/>
              <w:rPr>
                <w:rFonts w:ascii="Calibri" w:eastAsia="Times New Roman" w:hAnsi="Calibri" w:cs="Calibri"/>
                <w:b/>
                <w:bCs/>
                <w:color w:val="000000"/>
                <w:sz w:val="22"/>
                <w:szCs w:val="22"/>
              </w:rPr>
            </w:pPr>
            <w:r w:rsidRPr="00FF65ED">
              <w:rPr>
                <w:rFonts w:ascii="Calibri" w:eastAsia="Times New Roman" w:hAnsi="Calibri" w:cs="Calibri"/>
                <w:b/>
                <w:bCs/>
                <w:color w:val="000000"/>
                <w:sz w:val="22"/>
                <w:szCs w:val="22"/>
              </w:rPr>
              <w:t>17</w:t>
            </w:r>
            <w:r w:rsidR="00857B83">
              <w:rPr>
                <w:rFonts w:ascii="Calibri" w:eastAsia="Times New Roman" w:hAnsi="Calibri" w:cs="Calibri"/>
                <w:b/>
                <w:bCs/>
                <w:color w:val="000000"/>
                <w:sz w:val="22"/>
                <w:szCs w:val="22"/>
              </w:rPr>
              <w:t>,</w:t>
            </w:r>
            <w:r w:rsidRPr="00FF65ED">
              <w:rPr>
                <w:rFonts w:ascii="Calibri" w:eastAsia="Times New Roman" w:hAnsi="Calibri" w:cs="Calibri"/>
                <w:b/>
                <w:bCs/>
                <w:color w:val="000000"/>
                <w:sz w:val="22"/>
                <w:szCs w:val="22"/>
              </w:rPr>
              <w:t>336</w:t>
            </w:r>
          </w:p>
        </w:tc>
      </w:tr>
      <w:tr w:rsidR="00FF65ED" w:rsidRPr="00FF65ED" w14:paraId="6B59C46C" w14:textId="77777777" w:rsidTr="00271497">
        <w:trPr>
          <w:trHeight w:val="300"/>
        </w:trPr>
        <w:tc>
          <w:tcPr>
            <w:tcW w:w="5524" w:type="dxa"/>
            <w:tcBorders>
              <w:top w:val="nil"/>
              <w:left w:val="single" w:sz="4" w:space="0" w:color="auto"/>
              <w:bottom w:val="single" w:sz="4" w:space="0" w:color="auto"/>
              <w:right w:val="single" w:sz="4" w:space="0" w:color="auto"/>
            </w:tcBorders>
            <w:shd w:val="clear" w:color="000000" w:fill="DDF1F3"/>
            <w:noWrap/>
            <w:vAlign w:val="bottom"/>
            <w:hideMark/>
          </w:tcPr>
          <w:p w14:paraId="72537EEF" w14:textId="77777777" w:rsidR="00FF65ED" w:rsidRPr="00FF65ED" w:rsidRDefault="00FF65ED" w:rsidP="00FF65ED">
            <w:pPr>
              <w:spacing w:before="0" w:after="0" w:line="240" w:lineRule="auto"/>
              <w:rPr>
                <w:rFonts w:ascii="Calibri" w:eastAsia="Times New Roman" w:hAnsi="Calibri" w:cs="Calibri"/>
                <w:b/>
                <w:bCs/>
                <w:color w:val="000000"/>
                <w:sz w:val="22"/>
                <w:szCs w:val="22"/>
              </w:rPr>
            </w:pPr>
            <w:r w:rsidRPr="00FF65ED">
              <w:rPr>
                <w:rFonts w:ascii="Calibri" w:eastAsia="Times New Roman" w:hAnsi="Calibri" w:cs="Calibri"/>
                <w:b/>
                <w:bCs/>
                <w:color w:val="000000"/>
                <w:sz w:val="22"/>
                <w:szCs w:val="22"/>
              </w:rPr>
              <w:t>Total population aged 75+ predicted to live alone in WK</w:t>
            </w:r>
          </w:p>
        </w:tc>
        <w:tc>
          <w:tcPr>
            <w:tcW w:w="856" w:type="dxa"/>
            <w:tcBorders>
              <w:top w:val="nil"/>
              <w:left w:val="nil"/>
              <w:bottom w:val="single" w:sz="4" w:space="0" w:color="auto"/>
              <w:right w:val="single" w:sz="4" w:space="0" w:color="auto"/>
            </w:tcBorders>
            <w:shd w:val="clear" w:color="000000" w:fill="DDF1F3"/>
            <w:noWrap/>
            <w:vAlign w:val="bottom"/>
            <w:hideMark/>
          </w:tcPr>
          <w:p w14:paraId="083986B2" w14:textId="58E6E01F" w:rsidR="00FF65ED" w:rsidRPr="00FF65ED" w:rsidRDefault="00FF65ED" w:rsidP="00857B83">
            <w:pPr>
              <w:spacing w:before="0" w:after="0" w:line="240" w:lineRule="auto"/>
              <w:jc w:val="center"/>
              <w:rPr>
                <w:rFonts w:ascii="Calibri" w:eastAsia="Times New Roman" w:hAnsi="Calibri" w:cs="Calibri"/>
                <w:b/>
                <w:bCs/>
                <w:color w:val="000000"/>
                <w:sz w:val="22"/>
                <w:szCs w:val="22"/>
              </w:rPr>
            </w:pPr>
            <w:r w:rsidRPr="00FF65ED">
              <w:rPr>
                <w:rFonts w:ascii="Calibri" w:eastAsia="Times New Roman" w:hAnsi="Calibri" w:cs="Calibri"/>
                <w:b/>
                <w:bCs/>
                <w:color w:val="000000"/>
                <w:sz w:val="22"/>
                <w:szCs w:val="22"/>
              </w:rPr>
              <w:t>21</w:t>
            </w:r>
            <w:r w:rsidR="00857B83">
              <w:rPr>
                <w:rFonts w:ascii="Calibri" w:eastAsia="Times New Roman" w:hAnsi="Calibri" w:cs="Calibri"/>
                <w:b/>
                <w:bCs/>
                <w:color w:val="000000"/>
                <w:sz w:val="22"/>
                <w:szCs w:val="22"/>
              </w:rPr>
              <w:t>,</w:t>
            </w:r>
            <w:r w:rsidRPr="00FF65ED">
              <w:rPr>
                <w:rFonts w:ascii="Calibri" w:eastAsia="Times New Roman" w:hAnsi="Calibri" w:cs="Calibri"/>
                <w:b/>
                <w:bCs/>
                <w:color w:val="000000"/>
                <w:sz w:val="22"/>
                <w:szCs w:val="22"/>
              </w:rPr>
              <w:t>317</w:t>
            </w:r>
          </w:p>
        </w:tc>
        <w:tc>
          <w:tcPr>
            <w:tcW w:w="960" w:type="dxa"/>
            <w:tcBorders>
              <w:top w:val="nil"/>
              <w:left w:val="nil"/>
              <w:bottom w:val="single" w:sz="4" w:space="0" w:color="auto"/>
              <w:right w:val="single" w:sz="4" w:space="0" w:color="auto"/>
            </w:tcBorders>
            <w:shd w:val="clear" w:color="000000" w:fill="DDF1F3"/>
            <w:noWrap/>
            <w:vAlign w:val="bottom"/>
            <w:hideMark/>
          </w:tcPr>
          <w:p w14:paraId="21F1157C" w14:textId="75E8C742" w:rsidR="00FF65ED" w:rsidRPr="00FF65ED" w:rsidRDefault="00FF65ED" w:rsidP="00857B83">
            <w:pPr>
              <w:spacing w:before="0" w:after="0" w:line="240" w:lineRule="auto"/>
              <w:jc w:val="center"/>
              <w:rPr>
                <w:rFonts w:ascii="Calibri" w:eastAsia="Times New Roman" w:hAnsi="Calibri" w:cs="Calibri"/>
                <w:b/>
                <w:bCs/>
                <w:color w:val="000000"/>
                <w:sz w:val="22"/>
                <w:szCs w:val="22"/>
              </w:rPr>
            </w:pPr>
            <w:r w:rsidRPr="00FF65ED">
              <w:rPr>
                <w:rFonts w:ascii="Calibri" w:eastAsia="Times New Roman" w:hAnsi="Calibri" w:cs="Calibri"/>
                <w:b/>
                <w:bCs/>
                <w:color w:val="000000"/>
                <w:sz w:val="22"/>
                <w:szCs w:val="22"/>
              </w:rPr>
              <w:t>27</w:t>
            </w:r>
            <w:r w:rsidR="00857B83">
              <w:rPr>
                <w:rFonts w:ascii="Calibri" w:eastAsia="Times New Roman" w:hAnsi="Calibri" w:cs="Calibri"/>
                <w:b/>
                <w:bCs/>
                <w:color w:val="000000"/>
                <w:sz w:val="22"/>
                <w:szCs w:val="22"/>
              </w:rPr>
              <w:t>,</w:t>
            </w:r>
            <w:r w:rsidRPr="00FF65ED">
              <w:rPr>
                <w:rFonts w:ascii="Calibri" w:eastAsia="Times New Roman" w:hAnsi="Calibri" w:cs="Calibri"/>
                <w:b/>
                <w:bCs/>
                <w:color w:val="000000"/>
                <w:sz w:val="22"/>
                <w:szCs w:val="22"/>
              </w:rPr>
              <w:t>160</w:t>
            </w:r>
          </w:p>
        </w:tc>
        <w:tc>
          <w:tcPr>
            <w:tcW w:w="960" w:type="dxa"/>
            <w:tcBorders>
              <w:top w:val="nil"/>
              <w:left w:val="nil"/>
              <w:bottom w:val="single" w:sz="4" w:space="0" w:color="auto"/>
              <w:right w:val="single" w:sz="4" w:space="0" w:color="auto"/>
            </w:tcBorders>
            <w:shd w:val="clear" w:color="000000" w:fill="DDF1F3"/>
            <w:noWrap/>
            <w:vAlign w:val="bottom"/>
            <w:hideMark/>
          </w:tcPr>
          <w:p w14:paraId="38D20014" w14:textId="02691B9E" w:rsidR="00FF65ED" w:rsidRPr="00FF65ED" w:rsidRDefault="00FF65ED" w:rsidP="00857B83">
            <w:pPr>
              <w:spacing w:before="0" w:after="0" w:line="240" w:lineRule="auto"/>
              <w:jc w:val="center"/>
              <w:rPr>
                <w:rFonts w:ascii="Calibri" w:eastAsia="Times New Roman" w:hAnsi="Calibri" w:cs="Calibri"/>
                <w:b/>
                <w:bCs/>
                <w:color w:val="000000"/>
                <w:sz w:val="22"/>
                <w:szCs w:val="22"/>
              </w:rPr>
            </w:pPr>
            <w:r w:rsidRPr="00FF65ED">
              <w:rPr>
                <w:rFonts w:ascii="Calibri" w:eastAsia="Times New Roman" w:hAnsi="Calibri" w:cs="Calibri"/>
                <w:b/>
                <w:bCs/>
                <w:color w:val="000000"/>
                <w:sz w:val="22"/>
                <w:szCs w:val="22"/>
              </w:rPr>
              <w:t>32</w:t>
            </w:r>
            <w:r w:rsidR="00857B83">
              <w:rPr>
                <w:rFonts w:ascii="Calibri" w:eastAsia="Times New Roman" w:hAnsi="Calibri" w:cs="Calibri"/>
                <w:b/>
                <w:bCs/>
                <w:color w:val="000000"/>
                <w:sz w:val="22"/>
                <w:szCs w:val="22"/>
              </w:rPr>
              <w:t>,</w:t>
            </w:r>
            <w:r w:rsidRPr="00FF65ED">
              <w:rPr>
                <w:rFonts w:ascii="Calibri" w:eastAsia="Times New Roman" w:hAnsi="Calibri" w:cs="Calibri"/>
                <w:b/>
                <w:bCs/>
                <w:color w:val="000000"/>
                <w:sz w:val="22"/>
                <w:szCs w:val="22"/>
              </w:rPr>
              <w:t>874</w:t>
            </w:r>
          </w:p>
        </w:tc>
      </w:tr>
    </w:tbl>
    <w:p w14:paraId="7756B3A7" w14:textId="0AEBF374" w:rsidR="00F03DB8" w:rsidRDefault="00F00597" w:rsidP="00DB40C5">
      <w:pPr>
        <w:pStyle w:val="Heading1"/>
        <w:rPr>
          <w:rFonts w:eastAsia="Times New Roman"/>
        </w:rPr>
      </w:pPr>
      <w:bookmarkStart w:id="87" w:name="_Toc128133825"/>
      <w:r>
        <w:rPr>
          <w:rFonts w:eastAsia="Times New Roman"/>
        </w:rPr>
        <w:t>Falls</w:t>
      </w:r>
      <w:bookmarkEnd w:id="87"/>
    </w:p>
    <w:p w14:paraId="62ADC554" w14:textId="38FEFE1E" w:rsidR="00F03DB8" w:rsidRPr="00E73B65" w:rsidRDefault="00F03DB8" w:rsidP="00DB40C5">
      <w:pPr>
        <w:spacing w:after="0"/>
        <w:textAlignment w:val="baseline"/>
        <w:rPr>
          <w:rFonts w:ascii="Calibri" w:eastAsia="Times New Roman" w:hAnsi="Calibri" w:cs="Calibri"/>
        </w:rPr>
      </w:pPr>
      <w:r w:rsidRPr="5E4DB3C2">
        <w:rPr>
          <w:rFonts w:ascii="Calibri" w:eastAsia="Times New Roman" w:hAnsi="Calibri" w:cs="Calibri"/>
        </w:rPr>
        <w:t xml:space="preserve">The Public Health Outcomes Framework (PHOF) reported that in 2020 to 2021 </w:t>
      </w:r>
      <w:r>
        <w:rPr>
          <w:rFonts w:ascii="Calibri" w:eastAsia="Times New Roman" w:hAnsi="Calibri" w:cs="Calibri"/>
        </w:rPr>
        <w:t xml:space="preserve">in England </w:t>
      </w:r>
      <w:r w:rsidRPr="5E4DB3C2">
        <w:rPr>
          <w:rFonts w:ascii="Calibri" w:eastAsia="Times New Roman" w:hAnsi="Calibri" w:cs="Calibri"/>
        </w:rPr>
        <w:t>there were around 216,</w:t>
      </w:r>
      <w:r w:rsidRPr="00794B44">
        <w:rPr>
          <w:rFonts w:ascii="Calibri" w:eastAsia="Times New Roman" w:hAnsi="Calibri" w:cs="Calibri"/>
        </w:rPr>
        <w:t>075</w:t>
      </w:r>
      <w:r w:rsidRPr="5E4DB3C2">
        <w:rPr>
          <w:rFonts w:ascii="Calibri" w:eastAsia="Times New Roman" w:hAnsi="Calibri" w:cs="Calibri"/>
        </w:rPr>
        <w:t xml:space="preserve"> emergency hospital admissions related to falls among patients aged 65 and over, with around 145,148 of these patients aged 80 and over2. Falls were the ninth highest cause of disability-adjusted life years (DALYs) in England in 2019 and the leading cause of injury. The total annual cost of fragility fractures to the </w:t>
      </w:r>
      <w:bookmarkStart w:id="88" w:name="_Int_ZgKjUWUz"/>
      <w:r w:rsidRPr="5E4DB3C2">
        <w:rPr>
          <w:rFonts w:ascii="Calibri" w:eastAsia="Times New Roman" w:hAnsi="Calibri" w:cs="Calibri"/>
        </w:rPr>
        <w:t>UK</w:t>
      </w:r>
      <w:bookmarkEnd w:id="88"/>
      <w:r w:rsidRPr="5E4DB3C2">
        <w:rPr>
          <w:rFonts w:ascii="Calibri" w:eastAsia="Times New Roman" w:hAnsi="Calibri" w:cs="Calibri"/>
        </w:rPr>
        <w:t xml:space="preserve"> has been estimated at £4.4 billion which includes £1.1 billion for social care; hip fractures account for around £2 billion of this sum.</w:t>
      </w:r>
    </w:p>
    <w:p w14:paraId="3F780267" w14:textId="6F529371" w:rsidR="00F03DB8" w:rsidRPr="00E73B65" w:rsidRDefault="00F03DB8" w:rsidP="00DB40C5">
      <w:pPr>
        <w:pStyle w:val="Heading2"/>
        <w:rPr>
          <w:rFonts w:eastAsia="Times New Roman"/>
        </w:rPr>
      </w:pPr>
      <w:bookmarkStart w:id="89" w:name="_Toc128133826"/>
      <w:r w:rsidRPr="5E4DB3C2">
        <w:rPr>
          <w:rFonts w:eastAsia="Times New Roman"/>
        </w:rPr>
        <w:t xml:space="preserve">Falls-related </w:t>
      </w:r>
      <w:r w:rsidR="00B10E7E" w:rsidRPr="5E4DB3C2">
        <w:rPr>
          <w:rFonts w:eastAsia="Times New Roman"/>
        </w:rPr>
        <w:t>injury.</w:t>
      </w:r>
      <w:bookmarkEnd w:id="89"/>
      <w:r w:rsidRPr="5E4DB3C2">
        <w:rPr>
          <w:rFonts w:eastAsia="Times New Roman"/>
        </w:rPr>
        <w:t> </w:t>
      </w:r>
    </w:p>
    <w:p w14:paraId="15CC96CC" w14:textId="2D97021F" w:rsidR="00F03DB8" w:rsidRPr="00E73B65" w:rsidRDefault="00F03DB8" w:rsidP="00DB40C5">
      <w:pPr>
        <w:spacing w:after="0"/>
        <w:textAlignment w:val="baseline"/>
        <w:rPr>
          <w:rFonts w:ascii="Calibri" w:eastAsia="Times New Roman" w:hAnsi="Calibri" w:cs="Calibri"/>
          <w:color w:val="000000" w:themeColor="text1"/>
        </w:rPr>
      </w:pPr>
      <w:r w:rsidRPr="00E73B65">
        <w:rPr>
          <w:rFonts w:ascii="Calibri" w:eastAsia="Times New Roman" w:hAnsi="Calibri" w:cs="Calibri"/>
          <w:color w:val="000000"/>
          <w:shd w:val="clear" w:color="auto" w:fill="FFFFFF"/>
        </w:rPr>
        <w:t>West Kent has continued to have a higher prevalence of emergency hospital admissions due to falls in people aged 65 and over and has continued to be significantly worse when compared to the England average. Figures 5</w:t>
      </w:r>
      <w:r w:rsidR="00B3426A">
        <w:rPr>
          <w:rFonts w:ascii="Calibri" w:eastAsia="Times New Roman" w:hAnsi="Calibri" w:cs="Calibri"/>
          <w:color w:val="000000"/>
          <w:shd w:val="clear" w:color="auto" w:fill="FFFFFF"/>
        </w:rPr>
        <w:t>8</w:t>
      </w:r>
      <w:r w:rsidRPr="00E73B65">
        <w:rPr>
          <w:rFonts w:ascii="Calibri" w:eastAsia="Times New Roman" w:hAnsi="Calibri" w:cs="Calibri"/>
          <w:color w:val="000000"/>
          <w:shd w:val="clear" w:color="auto" w:fill="FFFFFF"/>
        </w:rPr>
        <w:t xml:space="preserve"> and </w:t>
      </w:r>
      <w:r w:rsidR="00B3426A">
        <w:rPr>
          <w:rFonts w:ascii="Calibri" w:eastAsia="Times New Roman" w:hAnsi="Calibri" w:cs="Calibri"/>
          <w:color w:val="000000"/>
          <w:shd w:val="clear" w:color="auto" w:fill="FFFFFF"/>
        </w:rPr>
        <w:t>59</w:t>
      </w:r>
      <w:r w:rsidRPr="00E73B65">
        <w:rPr>
          <w:rFonts w:ascii="Calibri" w:eastAsia="Times New Roman" w:hAnsi="Calibri" w:cs="Calibri"/>
          <w:color w:val="000000"/>
          <w:shd w:val="clear" w:color="auto" w:fill="FFFFFF"/>
        </w:rPr>
        <w:t xml:space="preserve"> show prevalence estimates there to be 2,338 per 100,000 population emergency hospital admissions in Kent due to falls in people aged 65 and over in 2020/21. West Kent overall saw higher emergency admissions due to falls when compared to the rest of Kent in 2020/21 (Sevenoaks; 2,305 per 100,000, Maidstone; 2,712 per 100,000, Tonbridge and Malling; 2,608 per 100,00, Tunbridge Wells; 2,474 per 100,000).</w:t>
      </w:r>
    </w:p>
    <w:p w14:paraId="02C114EC" w14:textId="77777777" w:rsidR="00A61537" w:rsidRDefault="00A61537">
      <w:pPr>
        <w:spacing w:before="0" w:after="200"/>
        <w:rPr>
          <w:rFonts w:ascii="Calibri" w:eastAsia="Times New Roman" w:hAnsi="Calibri" w:cs="Calibri"/>
          <w:b/>
          <w:bCs/>
          <w:color w:val="000000" w:themeColor="text1"/>
        </w:rPr>
      </w:pPr>
      <w:r>
        <w:rPr>
          <w:rFonts w:ascii="Calibri" w:eastAsia="Times New Roman" w:hAnsi="Calibri" w:cs="Calibri"/>
          <w:b/>
          <w:bCs/>
          <w:color w:val="000000" w:themeColor="text1"/>
        </w:rPr>
        <w:br w:type="page"/>
      </w:r>
    </w:p>
    <w:p w14:paraId="7787AE06" w14:textId="21225EF3" w:rsidR="00F03DB8" w:rsidRPr="00A61537" w:rsidRDefault="00F03DB8" w:rsidP="00A61537">
      <w:pPr>
        <w:spacing w:after="0"/>
        <w:textAlignment w:val="baseline"/>
        <w:rPr>
          <w:rFonts w:ascii="Calibri" w:eastAsia="Times New Roman" w:hAnsi="Calibri" w:cs="Calibri"/>
          <w:b/>
          <w:bCs/>
          <w:color w:val="000000" w:themeColor="text1"/>
        </w:rPr>
      </w:pPr>
      <w:r w:rsidRPr="005A6028">
        <w:rPr>
          <w:rFonts w:ascii="Calibri" w:eastAsia="Times New Roman" w:hAnsi="Calibri" w:cs="Calibri"/>
          <w:b/>
          <w:bCs/>
          <w:color w:val="000000" w:themeColor="text1"/>
        </w:rPr>
        <w:lastRenderedPageBreak/>
        <w:t>Figure 5</w:t>
      </w:r>
      <w:r w:rsidR="00B3426A">
        <w:rPr>
          <w:rFonts w:ascii="Calibri" w:eastAsia="Times New Roman" w:hAnsi="Calibri" w:cs="Calibri"/>
          <w:b/>
          <w:bCs/>
          <w:color w:val="000000" w:themeColor="text1"/>
        </w:rPr>
        <w:t>8</w:t>
      </w:r>
      <w:r w:rsidR="005A6028" w:rsidRPr="005A6028">
        <w:rPr>
          <w:rFonts w:ascii="Calibri" w:eastAsia="Times New Roman" w:hAnsi="Calibri" w:cs="Calibri"/>
          <w:b/>
          <w:bCs/>
          <w:color w:val="000000" w:themeColor="text1"/>
        </w:rPr>
        <w:t xml:space="preserve"> Emergency admissions for falls in adult</w:t>
      </w:r>
      <w:r w:rsidR="005A6028">
        <w:rPr>
          <w:rFonts w:ascii="Calibri" w:eastAsia="Times New Roman" w:hAnsi="Calibri" w:cs="Calibri"/>
          <w:b/>
          <w:bCs/>
          <w:color w:val="000000" w:themeColor="text1"/>
        </w:rPr>
        <w:t>s</w:t>
      </w:r>
      <w:r w:rsidR="005A6028" w:rsidRPr="005A6028">
        <w:rPr>
          <w:rFonts w:ascii="Calibri" w:eastAsia="Times New Roman" w:hAnsi="Calibri" w:cs="Calibri"/>
          <w:b/>
          <w:bCs/>
          <w:color w:val="000000" w:themeColor="text1"/>
        </w:rPr>
        <w:t xml:space="preserve"> over 65, Kent districts 2018/19 to 2020/21</w:t>
      </w:r>
    </w:p>
    <w:p w14:paraId="2B2C1CD5" w14:textId="3EA154E9" w:rsidR="00F03DB8" w:rsidRPr="00E73B65" w:rsidRDefault="00F03DB8" w:rsidP="00DB40C5">
      <w:pPr>
        <w:spacing w:after="0" w:line="240" w:lineRule="auto"/>
        <w:textAlignment w:val="baseline"/>
        <w:rPr>
          <w:rFonts w:ascii="Calibri" w:eastAsia="Times New Roman" w:hAnsi="Calibri" w:cs="Calibri"/>
        </w:rPr>
      </w:pPr>
      <w:r w:rsidRPr="00E73B65">
        <w:rPr>
          <w:noProof/>
          <w:color w:val="2B579A"/>
          <w:shd w:val="clear" w:color="auto" w:fill="E6E6E6"/>
        </w:rPr>
        <w:drawing>
          <wp:inline distT="0" distB="0" distL="0" distR="0" wp14:anchorId="18EAE7E2" wp14:editId="59554094">
            <wp:extent cx="5731510" cy="3411220"/>
            <wp:effectExtent l="0" t="0" r="2540" b="0"/>
            <wp:docPr id="23" name="Picture 23" descr="Column chart showing Emergency admissions for falls in adults over 65 in Kent districts from 2018/19 to 2020/21. Maidstone, Dartford, Thanet, Tonbridge and Malling and Tunbridge Wells sit just above the Kent average of 23.4 per 1000 population. Swale is the low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olumn chart showing Emergency admissions for falls in adults over 65 in Kent districts from 2018/19 to 2020/21. Maidstone, Dartford, Thanet, Tonbridge and Malling and Tunbridge Wells sit just above the Kent average of 23.4 per 1000 population. Swale is the lowest.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3411220"/>
                    </a:xfrm>
                    <a:prstGeom prst="rect">
                      <a:avLst/>
                    </a:prstGeom>
                    <a:noFill/>
                    <a:ln>
                      <a:noFill/>
                    </a:ln>
                  </pic:spPr>
                </pic:pic>
              </a:graphicData>
            </a:graphic>
          </wp:inline>
        </w:drawing>
      </w:r>
    </w:p>
    <w:p w14:paraId="565AEC92" w14:textId="2A10B732" w:rsidR="00F03DB8" w:rsidRPr="005A6028" w:rsidRDefault="00F03DB8" w:rsidP="00DB40C5">
      <w:pPr>
        <w:spacing w:after="0" w:line="240" w:lineRule="auto"/>
        <w:textAlignment w:val="baseline"/>
        <w:rPr>
          <w:rFonts w:ascii="Calibri" w:eastAsia="Times New Roman" w:hAnsi="Calibri" w:cs="Calibri"/>
          <w:b/>
          <w:bCs/>
        </w:rPr>
      </w:pPr>
      <w:r w:rsidRPr="005A6028">
        <w:rPr>
          <w:rFonts w:ascii="Calibri" w:eastAsia="Times New Roman" w:hAnsi="Calibri" w:cs="Calibri"/>
          <w:b/>
          <w:bCs/>
        </w:rPr>
        <w:t xml:space="preserve">Figure </w:t>
      </w:r>
      <w:r w:rsidR="00B3426A">
        <w:rPr>
          <w:rFonts w:ascii="Calibri" w:eastAsia="Times New Roman" w:hAnsi="Calibri" w:cs="Calibri"/>
          <w:b/>
          <w:bCs/>
        </w:rPr>
        <w:t>59</w:t>
      </w:r>
      <w:r w:rsidR="005A6028" w:rsidRPr="005A6028">
        <w:rPr>
          <w:rFonts w:ascii="Calibri" w:eastAsia="Times New Roman" w:hAnsi="Calibri" w:cs="Calibri"/>
          <w:b/>
          <w:bCs/>
        </w:rPr>
        <w:t xml:space="preserve"> </w:t>
      </w:r>
      <w:r w:rsidR="005A6028" w:rsidRPr="005A6028">
        <w:rPr>
          <w:rFonts w:ascii="Calibri" w:eastAsia="Times New Roman" w:hAnsi="Calibri" w:cs="Calibri"/>
          <w:b/>
          <w:bCs/>
          <w:color w:val="000000" w:themeColor="text1"/>
        </w:rPr>
        <w:t xml:space="preserve">Emergency admissions for falls in adult over 65, </w:t>
      </w:r>
      <w:r w:rsidR="005A6028">
        <w:rPr>
          <w:rFonts w:ascii="Calibri" w:eastAsia="Times New Roman" w:hAnsi="Calibri" w:cs="Calibri"/>
          <w:b/>
          <w:bCs/>
          <w:color w:val="000000" w:themeColor="text1"/>
        </w:rPr>
        <w:t xml:space="preserve">West </w:t>
      </w:r>
      <w:r w:rsidR="005A6028" w:rsidRPr="005A6028">
        <w:rPr>
          <w:rFonts w:ascii="Calibri" w:eastAsia="Times New Roman" w:hAnsi="Calibri" w:cs="Calibri"/>
          <w:b/>
          <w:bCs/>
          <w:color w:val="000000" w:themeColor="text1"/>
        </w:rPr>
        <w:t>Kent districts 201</w:t>
      </w:r>
      <w:r w:rsidR="005A6028">
        <w:rPr>
          <w:rFonts w:ascii="Calibri" w:eastAsia="Times New Roman" w:hAnsi="Calibri" w:cs="Calibri"/>
          <w:b/>
          <w:bCs/>
          <w:color w:val="000000" w:themeColor="text1"/>
        </w:rPr>
        <w:t>4</w:t>
      </w:r>
      <w:r w:rsidR="005A6028" w:rsidRPr="005A6028">
        <w:rPr>
          <w:rFonts w:ascii="Calibri" w:eastAsia="Times New Roman" w:hAnsi="Calibri" w:cs="Calibri"/>
          <w:b/>
          <w:bCs/>
          <w:color w:val="000000" w:themeColor="text1"/>
        </w:rPr>
        <w:t>/1</w:t>
      </w:r>
      <w:r w:rsidR="005A6028">
        <w:rPr>
          <w:rFonts w:ascii="Calibri" w:eastAsia="Times New Roman" w:hAnsi="Calibri" w:cs="Calibri"/>
          <w:b/>
          <w:bCs/>
          <w:color w:val="000000" w:themeColor="text1"/>
        </w:rPr>
        <w:t>5</w:t>
      </w:r>
      <w:r w:rsidR="005A6028" w:rsidRPr="005A6028">
        <w:rPr>
          <w:rFonts w:ascii="Calibri" w:eastAsia="Times New Roman" w:hAnsi="Calibri" w:cs="Calibri"/>
          <w:b/>
          <w:bCs/>
          <w:color w:val="000000" w:themeColor="text1"/>
        </w:rPr>
        <w:t xml:space="preserve"> to 2020/21</w:t>
      </w:r>
    </w:p>
    <w:p w14:paraId="79328B08" w14:textId="77777777" w:rsidR="00F03DB8" w:rsidRPr="00E73B65" w:rsidRDefault="00F03DB8" w:rsidP="00DB40C5">
      <w:pPr>
        <w:spacing w:after="0" w:line="240" w:lineRule="auto"/>
        <w:textAlignment w:val="baseline"/>
      </w:pPr>
      <w:r>
        <w:rPr>
          <w:noProof/>
        </w:rPr>
        <w:drawing>
          <wp:inline distT="0" distB="0" distL="0" distR="0" wp14:anchorId="3A9C6ACB" wp14:editId="076503D8">
            <wp:extent cx="5731510" cy="3702685"/>
            <wp:effectExtent l="0" t="0" r="2540" b="0"/>
            <wp:docPr id="24" name="Picture 24" descr="Line chart showing Emergency admissions for falls in adult over 65 for each West Kent district from 2014/15 to 2020/21. They all sit above the Kent average, which varies between 20 and 25 per 1000, except in 2019/20 when Sevenoaks is lower. Tunbridge Wells and Maidstone are high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ine chart showing Emergency admissions for falls in adult over 65 for each West Kent district from 2014/15 to 2020/21. They all sit above the Kent average, which varies between 20 and 25 per 1000, except in 2019/20 when Sevenoaks is lower. Tunbridge Wells and Maidstone are highest. "/>
                    <pic:cNvPicPr/>
                  </pic:nvPicPr>
                  <pic:blipFill>
                    <a:blip r:embed="rId107">
                      <a:extLst>
                        <a:ext uri="{28A0092B-C50C-407E-A947-70E740481C1C}">
                          <a14:useLocalDpi xmlns:a14="http://schemas.microsoft.com/office/drawing/2010/main" val="0"/>
                        </a:ext>
                      </a:extLst>
                    </a:blip>
                    <a:stretch>
                      <a:fillRect/>
                    </a:stretch>
                  </pic:blipFill>
                  <pic:spPr>
                    <a:xfrm>
                      <a:off x="0" y="0"/>
                      <a:ext cx="5731510" cy="3702685"/>
                    </a:xfrm>
                    <a:prstGeom prst="rect">
                      <a:avLst/>
                    </a:prstGeom>
                  </pic:spPr>
                </pic:pic>
              </a:graphicData>
            </a:graphic>
          </wp:inline>
        </w:drawing>
      </w:r>
    </w:p>
    <w:p w14:paraId="230CA4A0" w14:textId="77777777" w:rsidR="00F03DB8" w:rsidRDefault="00F03DB8" w:rsidP="00DB40C5">
      <w:pPr>
        <w:spacing w:after="0" w:line="240" w:lineRule="auto"/>
        <w:textAlignment w:val="baseline"/>
        <w:rPr>
          <w:rFonts w:ascii="Calibri" w:eastAsia="Times New Roman" w:hAnsi="Calibri" w:cs="Calibri"/>
          <w:b/>
          <w:bCs/>
        </w:rPr>
      </w:pPr>
    </w:p>
    <w:p w14:paraId="1FAF7C69" w14:textId="77777777" w:rsidR="00F03DB8" w:rsidRDefault="00F03DB8" w:rsidP="00DB40C5">
      <w:pPr>
        <w:spacing w:after="0" w:line="240" w:lineRule="auto"/>
        <w:textAlignment w:val="baseline"/>
        <w:rPr>
          <w:rFonts w:ascii="Calibri" w:eastAsia="Times New Roman" w:hAnsi="Calibri" w:cs="Calibri"/>
          <w:b/>
          <w:bCs/>
        </w:rPr>
      </w:pPr>
    </w:p>
    <w:p w14:paraId="02BFEDC5" w14:textId="77777777" w:rsidR="00A61537" w:rsidRDefault="00A61537">
      <w:pPr>
        <w:spacing w:before="0" w:after="200"/>
        <w:rPr>
          <w:rFonts w:ascii="Calibri" w:eastAsia="Times New Roman" w:hAnsi="Calibri" w:cs="Calibri"/>
          <w:b/>
          <w:bCs/>
        </w:rPr>
      </w:pPr>
      <w:r>
        <w:rPr>
          <w:rFonts w:ascii="Calibri" w:eastAsia="Times New Roman" w:hAnsi="Calibri" w:cs="Calibri"/>
          <w:b/>
          <w:bCs/>
        </w:rPr>
        <w:br w:type="page"/>
      </w:r>
    </w:p>
    <w:p w14:paraId="28CE412A" w14:textId="639914CD" w:rsidR="00F03DB8" w:rsidRPr="00B65CF8" w:rsidRDefault="00F03DB8" w:rsidP="00DB40C5">
      <w:pPr>
        <w:spacing w:after="0" w:line="240" w:lineRule="auto"/>
        <w:textAlignment w:val="baseline"/>
        <w:rPr>
          <w:rFonts w:ascii="Calibri" w:eastAsia="Times New Roman" w:hAnsi="Calibri" w:cs="Calibri"/>
          <w:b/>
          <w:bCs/>
        </w:rPr>
      </w:pPr>
      <w:r w:rsidRPr="5E4DB3C2">
        <w:rPr>
          <w:rFonts w:ascii="Calibri" w:eastAsia="Times New Roman" w:hAnsi="Calibri" w:cs="Calibri"/>
          <w:b/>
          <w:bCs/>
        </w:rPr>
        <w:lastRenderedPageBreak/>
        <w:t>Figure 6</w:t>
      </w:r>
      <w:r w:rsidR="00B3426A">
        <w:rPr>
          <w:rFonts w:ascii="Calibri" w:eastAsia="Times New Roman" w:hAnsi="Calibri" w:cs="Calibri"/>
          <w:b/>
          <w:bCs/>
        </w:rPr>
        <w:t>0</w:t>
      </w:r>
      <w:r w:rsidRPr="5E4DB3C2">
        <w:rPr>
          <w:rFonts w:ascii="Calibri" w:eastAsia="Times New Roman" w:hAnsi="Calibri" w:cs="Calibri"/>
          <w:b/>
          <w:bCs/>
        </w:rPr>
        <w:t> Length of stay for emergency admissions due to falls</w:t>
      </w:r>
      <w:r w:rsidRPr="00E73B65">
        <w:rPr>
          <w:rFonts w:ascii="Calibri" w:eastAsia="Times New Roman" w:hAnsi="Calibri" w:cs="Calibri"/>
        </w:rPr>
        <w:t> </w:t>
      </w:r>
    </w:p>
    <w:p w14:paraId="17292DFD" w14:textId="096DD20F" w:rsidR="00F03DB8" w:rsidRPr="00B65CF8" w:rsidRDefault="00F03DB8" w:rsidP="00DB40C5">
      <w:pPr>
        <w:spacing w:after="0" w:line="240" w:lineRule="auto"/>
        <w:textAlignment w:val="baseline"/>
        <w:rPr>
          <w:rFonts w:ascii="Calibri" w:eastAsia="Times New Roman" w:hAnsi="Calibri" w:cs="Calibri"/>
          <w:b/>
          <w:bCs/>
          <w:sz w:val="20"/>
          <w:szCs w:val="20"/>
        </w:rPr>
      </w:pPr>
      <w:r>
        <w:rPr>
          <w:noProof/>
        </w:rPr>
        <w:drawing>
          <wp:inline distT="0" distB="0" distL="0" distR="0" wp14:anchorId="7802DB80" wp14:editId="094F1C8D">
            <wp:extent cx="5731510" cy="2874645"/>
            <wp:effectExtent l="0" t="0" r="2540" b="1905"/>
            <wp:docPr id="25" name="Picture 25" descr="Bar chart showing the duration of stay following admission for a fall in individuals aged 65 and over from 2019-20 to 2021-22. Most durations were between 0 and 1 days. West Kent generally had longer stays than the Rest of Ken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Bar chart showing the duration of stay following admission for a fall in individuals aged 65 and over from 2019-20 to 2021-22. Most durations were between 0 and 1 days. West Kent generally had longer stays than the Rest of Kent. ">
                      <a:extLst>
                        <a:ext uri="{C183D7F6-B498-43B3-948B-1728B52AA6E4}">
                          <adec:decorative xmlns:adec="http://schemas.microsoft.com/office/drawing/2017/decorative" val="0"/>
                        </a:ext>
                      </a:extLst>
                    </pic:cNvPr>
                    <pic:cNvPicPr/>
                  </pic:nvPicPr>
                  <pic:blipFill>
                    <a:blip r:embed="rId108">
                      <a:extLst>
                        <a:ext uri="{28A0092B-C50C-407E-A947-70E740481C1C}">
                          <a14:useLocalDpi xmlns:a14="http://schemas.microsoft.com/office/drawing/2010/main" val="0"/>
                        </a:ext>
                      </a:extLst>
                    </a:blip>
                    <a:stretch>
                      <a:fillRect/>
                    </a:stretch>
                  </pic:blipFill>
                  <pic:spPr>
                    <a:xfrm>
                      <a:off x="0" y="0"/>
                      <a:ext cx="5731510" cy="2874645"/>
                    </a:xfrm>
                    <a:prstGeom prst="rect">
                      <a:avLst/>
                    </a:prstGeom>
                  </pic:spPr>
                </pic:pic>
              </a:graphicData>
            </a:graphic>
          </wp:inline>
        </w:drawing>
      </w:r>
    </w:p>
    <w:p w14:paraId="21D6103D" w14:textId="728A3CEF" w:rsidR="00F03DB8" w:rsidRPr="00E73B65" w:rsidRDefault="00F03DB8" w:rsidP="00DB40C5">
      <w:pPr>
        <w:spacing w:after="0"/>
        <w:textAlignment w:val="baseline"/>
        <w:rPr>
          <w:rFonts w:ascii="Calibri" w:eastAsia="Times New Roman" w:hAnsi="Calibri" w:cs="Calibri"/>
        </w:rPr>
      </w:pPr>
      <w:r w:rsidRPr="5E4DB3C2">
        <w:rPr>
          <w:rFonts w:ascii="Calibri" w:eastAsia="Times New Roman" w:hAnsi="Calibri" w:cs="Calibri"/>
        </w:rPr>
        <w:t>Figure 6</w:t>
      </w:r>
      <w:r w:rsidR="00B3426A">
        <w:rPr>
          <w:rFonts w:ascii="Calibri" w:eastAsia="Times New Roman" w:hAnsi="Calibri" w:cs="Calibri"/>
        </w:rPr>
        <w:t>0</w:t>
      </w:r>
      <w:r w:rsidRPr="5E4DB3C2">
        <w:rPr>
          <w:rFonts w:ascii="Calibri" w:eastAsia="Times New Roman" w:hAnsi="Calibri" w:cs="Calibri"/>
        </w:rPr>
        <w:t xml:space="preserve"> shows that proportionately more West Kent patients stayed in hospital after a fall for 2 days or more compared to rest of Kent. The proportion increased to over 25% for hospital stays more than 11 days, compared in 16% for rest of Kent. On average, the rest of Kent had a longer average LOS </w:t>
      </w:r>
      <w:r w:rsidR="714ED841" w:rsidRPr="740CDBE4">
        <w:rPr>
          <w:rFonts w:ascii="Calibri" w:eastAsia="Times New Roman" w:hAnsi="Calibri" w:cs="Calibri"/>
        </w:rPr>
        <w:t>(length of stay)</w:t>
      </w:r>
      <w:r w:rsidRPr="740CDBE4">
        <w:rPr>
          <w:rFonts w:ascii="Calibri" w:eastAsia="Times New Roman" w:hAnsi="Calibri" w:cs="Calibri"/>
        </w:rPr>
        <w:t xml:space="preserve"> </w:t>
      </w:r>
      <w:r w:rsidRPr="5E4DB3C2">
        <w:rPr>
          <w:rFonts w:ascii="Calibri" w:eastAsia="Times New Roman" w:hAnsi="Calibri" w:cs="Calibri"/>
        </w:rPr>
        <w:t>compared to West Kent (4.9 vs 4.4 days respectively).</w:t>
      </w:r>
    </w:p>
    <w:p w14:paraId="71928117" w14:textId="77777777" w:rsidR="00135638" w:rsidRDefault="00F03DB8" w:rsidP="00DB40C5">
      <w:pPr>
        <w:spacing w:after="0"/>
        <w:textAlignment w:val="baseline"/>
        <w:rPr>
          <w:rFonts w:ascii="Calibri" w:eastAsia="Times New Roman" w:hAnsi="Calibri" w:cs="Calibri"/>
        </w:rPr>
      </w:pPr>
      <w:r w:rsidRPr="5E4DB3C2">
        <w:rPr>
          <w:rFonts w:ascii="Calibri" w:eastAsia="Times New Roman" w:hAnsi="Calibri" w:cs="Calibri"/>
        </w:rPr>
        <w:t>The greater the severity of fall, the longer the stay in hospital (particularly in the case of hip fractures), as appropriate aftercare and recovery is required before discharging patients. Regarding medical procedures following a fall, West Kent proportionately had a smaller number of cases with no procedure compared to rest of Kent (27% vs 34% respectively).   </w:t>
      </w:r>
    </w:p>
    <w:p w14:paraId="2C39B905" w14:textId="444DB259" w:rsidR="00F03DB8" w:rsidRDefault="00F03DB8" w:rsidP="00DB40C5">
      <w:pPr>
        <w:spacing w:after="0"/>
        <w:textAlignment w:val="baseline"/>
        <w:rPr>
          <w:rFonts w:ascii="Calibri" w:eastAsia="Times New Roman" w:hAnsi="Calibri" w:cs="Calibri"/>
        </w:rPr>
      </w:pPr>
      <w:r w:rsidRPr="5E4DB3C2">
        <w:rPr>
          <w:rFonts w:ascii="Calibri" w:eastAsia="Times New Roman" w:hAnsi="Calibri" w:cs="Calibri"/>
        </w:rPr>
        <w:t>20.6% (n=1,585) of falls related admissions in West Kent involved hip fractures, with an average length of stay (LOS) in hospital of 11.9 days, in comparison to 25.1% (n=4,535) for the rest of Kent, with the average LOS of 12.8 days. Figure 6</w:t>
      </w:r>
      <w:r w:rsidR="00B3426A">
        <w:rPr>
          <w:rFonts w:ascii="Calibri" w:eastAsia="Times New Roman" w:hAnsi="Calibri" w:cs="Calibri"/>
        </w:rPr>
        <w:t>1</w:t>
      </w:r>
      <w:r w:rsidRPr="5E4DB3C2">
        <w:rPr>
          <w:rFonts w:ascii="Calibri" w:eastAsia="Times New Roman" w:hAnsi="Calibri" w:cs="Calibri"/>
        </w:rPr>
        <w:t xml:space="preserve"> presents hip fractures in people aged 65 and over in West Kent. </w:t>
      </w:r>
      <w:bookmarkStart w:id="90" w:name="_Int_yAbCSqzJ"/>
      <w:r w:rsidRPr="5E4DB3C2">
        <w:rPr>
          <w:rFonts w:ascii="Calibri" w:eastAsia="Times New Roman" w:hAnsi="Calibri" w:cs="Calibri"/>
        </w:rPr>
        <w:t>Sevenoaks and Tonbridge</w:t>
      </w:r>
      <w:bookmarkEnd w:id="90"/>
      <w:r w:rsidRPr="5E4DB3C2">
        <w:rPr>
          <w:rFonts w:ascii="Calibri" w:eastAsia="Times New Roman" w:hAnsi="Calibri" w:cs="Calibri"/>
        </w:rPr>
        <w:t xml:space="preserve"> and Malling are currently slightly higher than the England average, however Maidstone and Tunbridge Wells are in line or lower than the national average. </w:t>
      </w:r>
    </w:p>
    <w:p w14:paraId="69745977" w14:textId="77777777" w:rsidR="00A61537" w:rsidRDefault="00A61537">
      <w:pPr>
        <w:spacing w:before="0" w:after="200"/>
        <w:rPr>
          <w:rFonts w:ascii="Calibri" w:eastAsia="Times New Roman" w:hAnsi="Calibri" w:cs="Calibri"/>
          <w:b/>
          <w:bCs/>
        </w:rPr>
      </w:pPr>
      <w:r>
        <w:rPr>
          <w:rFonts w:ascii="Calibri" w:eastAsia="Times New Roman" w:hAnsi="Calibri" w:cs="Calibri"/>
          <w:b/>
          <w:bCs/>
        </w:rPr>
        <w:br w:type="page"/>
      </w:r>
    </w:p>
    <w:p w14:paraId="43253257" w14:textId="18114442" w:rsidR="00B65CF8" w:rsidRPr="00E73B65" w:rsidRDefault="00B65CF8" w:rsidP="00DB40C5">
      <w:pPr>
        <w:spacing w:after="0"/>
        <w:textAlignment w:val="baseline"/>
        <w:rPr>
          <w:rFonts w:ascii="Calibri" w:eastAsia="Times New Roman" w:hAnsi="Calibri" w:cs="Calibri"/>
        </w:rPr>
      </w:pPr>
      <w:r w:rsidRPr="5E4DB3C2">
        <w:rPr>
          <w:rFonts w:ascii="Calibri" w:eastAsia="Times New Roman" w:hAnsi="Calibri" w:cs="Calibri"/>
          <w:b/>
          <w:bCs/>
        </w:rPr>
        <w:lastRenderedPageBreak/>
        <w:t>Figure 6</w:t>
      </w:r>
      <w:r w:rsidR="00B3426A">
        <w:rPr>
          <w:rFonts w:ascii="Calibri" w:eastAsia="Times New Roman" w:hAnsi="Calibri" w:cs="Calibri"/>
          <w:b/>
          <w:bCs/>
        </w:rPr>
        <w:t>1</w:t>
      </w:r>
      <w:r w:rsidRPr="5E4DB3C2">
        <w:rPr>
          <w:rFonts w:ascii="Calibri" w:eastAsia="Times New Roman" w:hAnsi="Calibri" w:cs="Calibri"/>
          <w:b/>
          <w:bCs/>
        </w:rPr>
        <w:t xml:space="preserve"> Hip fractures in people aged 65 and </w:t>
      </w:r>
      <w:r w:rsidR="00B10E7E" w:rsidRPr="5E4DB3C2">
        <w:rPr>
          <w:rFonts w:ascii="Calibri" w:eastAsia="Times New Roman" w:hAnsi="Calibri" w:cs="Calibri"/>
          <w:b/>
          <w:bCs/>
        </w:rPr>
        <w:t>over.</w:t>
      </w:r>
      <w:r w:rsidRPr="5E4DB3C2">
        <w:rPr>
          <w:rFonts w:ascii="Calibri" w:eastAsia="Times New Roman" w:hAnsi="Calibri" w:cs="Calibri"/>
          <w:b/>
          <w:bCs/>
        </w:rPr>
        <w:t> </w:t>
      </w:r>
      <w:r w:rsidRPr="5E4DB3C2">
        <w:rPr>
          <w:rFonts w:ascii="Calibri" w:eastAsia="Times New Roman" w:hAnsi="Calibri" w:cs="Calibri"/>
        </w:rPr>
        <w:t>  </w:t>
      </w:r>
    </w:p>
    <w:p w14:paraId="5149797D" w14:textId="49388A5C" w:rsidR="00F03DB8" w:rsidRPr="00E73B65" w:rsidRDefault="00F03DB8" w:rsidP="00DB40C5">
      <w:pPr>
        <w:spacing w:after="0" w:line="240" w:lineRule="auto"/>
        <w:textAlignment w:val="baseline"/>
        <w:rPr>
          <w:rFonts w:ascii="Calibri" w:eastAsia="Times New Roman" w:hAnsi="Calibri" w:cs="Calibri"/>
        </w:rPr>
      </w:pPr>
      <w:r w:rsidRPr="5E4DB3C2">
        <w:rPr>
          <w:rFonts w:ascii="Calibri" w:eastAsia="Times New Roman" w:hAnsi="Calibri" w:cs="Calibri"/>
        </w:rPr>
        <w:t> </w:t>
      </w:r>
      <w:r>
        <w:rPr>
          <w:noProof/>
        </w:rPr>
        <w:drawing>
          <wp:inline distT="0" distB="0" distL="0" distR="0" wp14:anchorId="7899488D" wp14:editId="0E7F1723">
            <wp:extent cx="5731510" cy="4395470"/>
            <wp:effectExtent l="0" t="0" r="2540" b="5080"/>
            <wp:docPr id="752297156" name="Picture 752297156" descr="4 line graphs showing hip fractures per 100,000 in people aged 65+ in Sevenoaks, Maidstone, Tonbridge and Malling and Tunbridge Wells. They largely look similar to the England figures with a gradual decreas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7156" name="Picture 752297156" descr="4 line graphs showing hip fractures per 100,000 in people aged 65+ in Sevenoaks, Maidstone, Tonbridge and Malling and Tunbridge Wells. They largely look similar to the England figures with a gradual decrease.">
                      <a:extLst>
                        <a:ext uri="{C183D7F6-B498-43B3-948B-1728B52AA6E4}">
                          <adec:decorative xmlns:adec="http://schemas.microsoft.com/office/drawing/2017/decorative" val="0"/>
                        </a:ext>
                      </a:extLst>
                    </pic:cNvPr>
                    <pic:cNvPicPr/>
                  </pic:nvPicPr>
                  <pic:blipFill>
                    <a:blip r:embed="rId109">
                      <a:extLst>
                        <a:ext uri="{28A0092B-C50C-407E-A947-70E740481C1C}">
                          <a14:useLocalDpi xmlns:a14="http://schemas.microsoft.com/office/drawing/2010/main" val="0"/>
                        </a:ext>
                      </a:extLst>
                    </a:blip>
                    <a:stretch>
                      <a:fillRect/>
                    </a:stretch>
                  </pic:blipFill>
                  <pic:spPr>
                    <a:xfrm>
                      <a:off x="0" y="0"/>
                      <a:ext cx="5731510" cy="4395470"/>
                    </a:xfrm>
                    <a:prstGeom prst="rect">
                      <a:avLst/>
                    </a:prstGeom>
                  </pic:spPr>
                </pic:pic>
              </a:graphicData>
            </a:graphic>
          </wp:inline>
        </w:drawing>
      </w:r>
    </w:p>
    <w:p w14:paraId="3D202817" w14:textId="039312DB" w:rsidR="00900A28" w:rsidRDefault="00F03DB8" w:rsidP="007A53C2">
      <w:pPr>
        <w:spacing w:after="0"/>
        <w:rPr>
          <w:rFonts w:ascii="Calibri" w:eastAsia="Times New Roman" w:hAnsi="Calibri" w:cs="Calibri"/>
        </w:rPr>
      </w:pPr>
      <w:r w:rsidRPr="32F7F25D">
        <w:rPr>
          <w:rFonts w:ascii="Calibri" w:eastAsia="Times New Roman" w:hAnsi="Calibri" w:cs="Calibri"/>
        </w:rPr>
        <w:t>Regarding where individuals were discharged after an admission for a fall, 64.1% (n=7,680) of West Kent patients were discharged to their usual place of residence, compared to 56.6% (n=19,530) of the rest of Kent’s patients being discharged to their usual place of residence. Other discharge destinations such as ‘</w:t>
      </w:r>
      <w:r w:rsidRPr="32F7F25D">
        <w:rPr>
          <w:rFonts w:ascii="Calibri" w:eastAsia="Times New Roman" w:hAnsi="Calibri" w:cs="Calibri"/>
          <w:i/>
          <w:iCs/>
        </w:rPr>
        <w:t xml:space="preserve">temporary place of </w:t>
      </w:r>
      <w:r w:rsidRPr="740CDBE4">
        <w:rPr>
          <w:rFonts w:ascii="Calibri" w:eastAsia="Times New Roman" w:hAnsi="Calibri" w:cs="Calibri"/>
          <w:i/>
          <w:iCs/>
        </w:rPr>
        <w:t>residence</w:t>
      </w:r>
      <w:r w:rsidR="49F880C9" w:rsidRPr="740CDBE4">
        <w:rPr>
          <w:rFonts w:ascii="Calibri" w:eastAsia="Times New Roman" w:hAnsi="Calibri" w:cs="Calibri"/>
          <w:i/>
          <w:iCs/>
        </w:rPr>
        <w:t>,’</w:t>
      </w:r>
      <w:r w:rsidRPr="32F7F25D">
        <w:rPr>
          <w:rFonts w:ascii="Calibri" w:eastAsia="Times New Roman" w:hAnsi="Calibri" w:cs="Calibri"/>
        </w:rPr>
        <w:t xml:space="preserve"> ‘</w:t>
      </w:r>
      <w:r w:rsidRPr="32F7F25D">
        <w:rPr>
          <w:rFonts w:ascii="Calibri" w:eastAsia="Times New Roman" w:hAnsi="Calibri" w:cs="Calibri"/>
          <w:i/>
          <w:iCs/>
        </w:rPr>
        <w:t>NHS hospital provider’</w:t>
      </w:r>
      <w:r w:rsidRPr="32F7F25D">
        <w:rPr>
          <w:rFonts w:ascii="Calibri" w:eastAsia="Times New Roman" w:hAnsi="Calibri" w:cs="Calibri"/>
        </w:rPr>
        <w:t xml:space="preserve"> and the ‘</w:t>
      </w:r>
      <w:r w:rsidRPr="32F7F25D">
        <w:rPr>
          <w:rFonts w:ascii="Calibri" w:eastAsia="Times New Roman" w:hAnsi="Calibri" w:cs="Calibri"/>
          <w:i/>
          <w:iCs/>
        </w:rPr>
        <w:t>patient passing away</w:t>
      </w:r>
      <w:r w:rsidRPr="32F7F25D">
        <w:rPr>
          <w:rFonts w:ascii="Calibri" w:eastAsia="Times New Roman" w:hAnsi="Calibri" w:cs="Calibri"/>
        </w:rPr>
        <w:t>’ were much smaller in proportion for West Kent as well as rest of Kent (Table 11). </w:t>
      </w:r>
    </w:p>
    <w:p w14:paraId="7D7BED60" w14:textId="1F363D49" w:rsidR="00F03DB8" w:rsidRDefault="00F03DB8" w:rsidP="007A53C2">
      <w:pPr>
        <w:spacing w:after="0"/>
        <w:rPr>
          <w:rFonts w:ascii="Calibri" w:eastAsia="Calibri" w:hAnsi="Calibri" w:cs="Calibri"/>
          <w:color w:val="000000" w:themeColor="text1"/>
        </w:rPr>
      </w:pPr>
      <w:r w:rsidRPr="00EC058F">
        <w:rPr>
          <w:rFonts w:ascii="Calibri" w:eastAsia="Calibri" w:hAnsi="Calibri" w:cs="Calibri"/>
          <w:color w:val="000000" w:themeColor="text1"/>
        </w:rPr>
        <w:t>Figure 6</w:t>
      </w:r>
      <w:r w:rsidR="00B3426A">
        <w:rPr>
          <w:rFonts w:ascii="Calibri" w:eastAsia="Calibri" w:hAnsi="Calibri" w:cs="Calibri"/>
          <w:color w:val="000000" w:themeColor="text1"/>
        </w:rPr>
        <w:t>2</w:t>
      </w:r>
      <w:r w:rsidRPr="00EC058F">
        <w:rPr>
          <w:rFonts w:ascii="Calibri" w:eastAsia="Calibri" w:hAnsi="Calibri" w:cs="Calibri"/>
          <w:color w:val="000000" w:themeColor="text1"/>
        </w:rPr>
        <w:t xml:space="preserve"> shows the number of hospital admissions where a fragility fracture was recorded, in people with moderate or severe frailty (aged 65 and over) and/or dementia (aged 18 and over). ABC and Maidstone Central PCNs have higher fragility fracture rates per 100,000 population compared to West Kent average over the last 4 years. Given the change in denominator, the trend in fragility fractures is slightly upwards as opposed downwards in Figure 62, which uses total elderly population numbers.</w:t>
      </w:r>
    </w:p>
    <w:p w14:paraId="1E4640CE" w14:textId="77777777" w:rsidR="00A61537" w:rsidRDefault="00A61537">
      <w:pPr>
        <w:spacing w:before="0" w:after="200"/>
        <w:rPr>
          <w:rFonts w:ascii="Calibri" w:eastAsia="Calibri" w:hAnsi="Calibri" w:cs="Calibri"/>
          <w:b/>
          <w:bCs/>
          <w:color w:val="000000" w:themeColor="text1"/>
        </w:rPr>
      </w:pPr>
      <w:r>
        <w:rPr>
          <w:rFonts w:ascii="Calibri" w:eastAsia="Calibri" w:hAnsi="Calibri" w:cs="Calibri"/>
          <w:b/>
          <w:bCs/>
          <w:color w:val="000000" w:themeColor="text1"/>
        </w:rPr>
        <w:br w:type="page"/>
      </w:r>
    </w:p>
    <w:p w14:paraId="164E7D34" w14:textId="2F9911A2" w:rsidR="00F03DB8" w:rsidRDefault="00F03DB8" w:rsidP="007A53C2">
      <w:pPr>
        <w:rPr>
          <w:rFonts w:ascii="Calibri" w:eastAsia="Calibri" w:hAnsi="Calibri" w:cs="Calibri"/>
          <w:color w:val="000000" w:themeColor="text1"/>
        </w:rPr>
      </w:pPr>
      <w:r w:rsidRPr="00B65CF8">
        <w:rPr>
          <w:rFonts w:ascii="Calibri" w:eastAsia="Calibri" w:hAnsi="Calibri" w:cs="Calibri"/>
          <w:b/>
          <w:bCs/>
          <w:color w:val="000000" w:themeColor="text1"/>
        </w:rPr>
        <w:lastRenderedPageBreak/>
        <w:t>Figure 6</w:t>
      </w:r>
      <w:r w:rsidR="00B3426A">
        <w:rPr>
          <w:rFonts w:ascii="Calibri" w:eastAsia="Calibri" w:hAnsi="Calibri" w:cs="Calibri"/>
          <w:b/>
          <w:bCs/>
          <w:color w:val="000000" w:themeColor="text1"/>
        </w:rPr>
        <w:t>2</w:t>
      </w:r>
      <w:r w:rsidRPr="00B65CF8">
        <w:rPr>
          <w:rFonts w:ascii="Calibri" w:eastAsia="Calibri" w:hAnsi="Calibri" w:cs="Calibri"/>
          <w:b/>
          <w:bCs/>
          <w:color w:val="000000" w:themeColor="text1"/>
        </w:rPr>
        <w:t xml:space="preserve"> Measure of fragility fractures, either presenting to hospital, or occurring during an admission, in people with frailty and/or dementia for West Kent</w:t>
      </w:r>
      <w:r w:rsidR="00B65CF8">
        <w:rPr>
          <w:rFonts w:ascii="Calibri" w:eastAsia="Calibri" w:hAnsi="Calibri" w:cs="Calibri"/>
          <w:color w:val="000000" w:themeColor="text1"/>
        </w:rPr>
        <w:t>. Source: OBH</w:t>
      </w:r>
    </w:p>
    <w:p w14:paraId="5926CED0" w14:textId="538B3FBC" w:rsidR="00F03DB8" w:rsidRPr="00A61537" w:rsidRDefault="00F03DB8" w:rsidP="00A61537">
      <w:pPr>
        <w:rPr>
          <w:rFonts w:ascii="Calibri" w:eastAsia="Calibri" w:hAnsi="Calibri" w:cs="Calibri"/>
          <w:color w:val="000000" w:themeColor="text1"/>
        </w:rPr>
      </w:pPr>
      <w:r>
        <w:rPr>
          <w:noProof/>
        </w:rPr>
        <w:drawing>
          <wp:inline distT="0" distB="0" distL="0" distR="0" wp14:anchorId="16A07251" wp14:editId="66D408FC">
            <wp:extent cx="5724524" cy="2838450"/>
            <wp:effectExtent l="0" t="0" r="0" b="0"/>
            <wp:docPr id="832609877" name="Picture 832609877" descr="Line graphs shows the number of hospital admissions where a fragility fracture was recorded, in people with moderate or severe frailty (aged 65 and over) and/or dementia (aged 18 and over) in West Kent. The line slopes slightly upwards between 3000 per 100,000 and 3500. There is a peak around early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09877" name="Picture 832609877" descr="Line graphs shows the number of hospital admissions where a fragility fracture was recorded, in people with moderate or severe frailty (aged 65 and over) and/or dementia (aged 18 and over) in West Kent. The line slopes slightly upwards between 3000 per 100,000 and 3500. There is a peak around early 2020. "/>
                    <pic:cNvPicPr/>
                  </pic:nvPicPr>
                  <pic:blipFill>
                    <a:blip r:embed="rId110">
                      <a:extLst>
                        <a:ext uri="{28A0092B-C50C-407E-A947-70E740481C1C}">
                          <a14:useLocalDpi xmlns:a14="http://schemas.microsoft.com/office/drawing/2010/main" val="0"/>
                        </a:ext>
                      </a:extLst>
                    </a:blip>
                    <a:stretch>
                      <a:fillRect/>
                    </a:stretch>
                  </pic:blipFill>
                  <pic:spPr>
                    <a:xfrm>
                      <a:off x="0" y="0"/>
                      <a:ext cx="5724524" cy="2838450"/>
                    </a:xfrm>
                    <a:prstGeom prst="rect">
                      <a:avLst/>
                    </a:prstGeom>
                  </pic:spPr>
                </pic:pic>
              </a:graphicData>
            </a:graphic>
          </wp:inline>
        </w:drawing>
      </w:r>
    </w:p>
    <w:p w14:paraId="40D8E5F7" w14:textId="77777777" w:rsidR="00F03DB8" w:rsidRPr="00E73B65" w:rsidRDefault="00F03DB8" w:rsidP="007A53C2">
      <w:pPr>
        <w:spacing w:after="0" w:line="240" w:lineRule="auto"/>
        <w:textAlignment w:val="baseline"/>
        <w:rPr>
          <w:rFonts w:ascii="Calibri" w:eastAsia="Times New Roman" w:hAnsi="Calibri" w:cs="Calibri"/>
        </w:rPr>
      </w:pPr>
      <w:r w:rsidRPr="5E4DB3C2">
        <w:rPr>
          <w:rFonts w:ascii="Calibri" w:eastAsia="Times New Roman" w:hAnsi="Calibri" w:cs="Calibri"/>
          <w:b/>
          <w:bCs/>
        </w:rPr>
        <w:t>Table 11 Discharge status after an admission for a fall</w:t>
      </w:r>
      <w:r w:rsidRPr="5E4DB3C2">
        <w:rPr>
          <w:rFonts w:ascii="Calibri" w:eastAsia="Times New Roman" w:hAnsi="Calibri" w:cs="Calibri"/>
        </w:rPr>
        <w:t>  </w:t>
      </w:r>
    </w:p>
    <w:tbl>
      <w:tblPr>
        <w:tblW w:w="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65"/>
        <w:gridCol w:w="1110"/>
        <w:gridCol w:w="1110"/>
        <w:gridCol w:w="1110"/>
        <w:gridCol w:w="1110"/>
      </w:tblGrid>
      <w:tr w:rsidR="00F03DB8" w:rsidRPr="00E73B65" w14:paraId="0E35068D" w14:textId="77777777">
        <w:trPr>
          <w:trHeight w:val="405"/>
        </w:trPr>
        <w:tc>
          <w:tcPr>
            <w:tcW w:w="4365"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5BFB1DDA"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b/>
                <w:bCs/>
                <w:color w:val="FFFFFF"/>
              </w:rPr>
              <w:t>Discharge Status after an admission for a fall, 2017-18 to 2020-21</w:t>
            </w:r>
            <w:r w:rsidRPr="00E73B65">
              <w:rPr>
                <w:rFonts w:ascii="Calibri" w:eastAsia="Times New Roman" w:hAnsi="Calibri" w:cs="Calibri"/>
                <w:color w:val="FFFFFF"/>
              </w:rPr>
              <w:t> </w:t>
            </w:r>
            <w:r w:rsidRPr="00E73B65">
              <w:rPr>
                <w:rFonts w:ascii="Calibri" w:eastAsia="Times New Roman" w:hAnsi="Calibri" w:cs="Calibri"/>
              </w:rPr>
              <w:t> </w:t>
            </w:r>
          </w:p>
        </w:tc>
        <w:tc>
          <w:tcPr>
            <w:tcW w:w="1110" w:type="dxa"/>
            <w:tcBorders>
              <w:top w:val="single" w:sz="6" w:space="0" w:color="auto"/>
              <w:left w:val="nil"/>
              <w:bottom w:val="single" w:sz="6" w:space="0" w:color="auto"/>
              <w:right w:val="single" w:sz="6" w:space="0" w:color="auto"/>
            </w:tcBorders>
            <w:shd w:val="clear" w:color="auto" w:fill="2D7D82"/>
            <w:vAlign w:val="center"/>
            <w:hideMark/>
          </w:tcPr>
          <w:p w14:paraId="4BB52E54" w14:textId="706EB4D8"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b/>
                <w:bCs/>
                <w:color w:val="FFFFFF"/>
              </w:rPr>
              <w:t>West Kent - Count</w:t>
            </w:r>
            <w:r w:rsidRPr="00E73B65">
              <w:rPr>
                <w:rFonts w:ascii="Calibri" w:eastAsia="Times New Roman" w:hAnsi="Calibri" w:cs="Calibri"/>
                <w:color w:val="FFFFFF"/>
              </w:rPr>
              <w:t> </w:t>
            </w:r>
          </w:p>
        </w:tc>
        <w:tc>
          <w:tcPr>
            <w:tcW w:w="1110" w:type="dxa"/>
            <w:tcBorders>
              <w:top w:val="single" w:sz="6" w:space="0" w:color="auto"/>
              <w:left w:val="nil"/>
              <w:bottom w:val="single" w:sz="6" w:space="0" w:color="auto"/>
              <w:right w:val="single" w:sz="6" w:space="0" w:color="auto"/>
            </w:tcBorders>
            <w:shd w:val="clear" w:color="auto" w:fill="2D7D82"/>
            <w:vAlign w:val="center"/>
            <w:hideMark/>
          </w:tcPr>
          <w:p w14:paraId="00BF2935" w14:textId="621CBF86"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b/>
                <w:bCs/>
                <w:color w:val="FFFFFF"/>
              </w:rPr>
              <w:t>Kent - Count</w:t>
            </w:r>
            <w:r w:rsidRPr="00E73B65">
              <w:rPr>
                <w:rFonts w:ascii="Calibri" w:eastAsia="Times New Roman" w:hAnsi="Calibri" w:cs="Calibri"/>
                <w:color w:val="FFFFFF"/>
              </w:rPr>
              <w:t> </w:t>
            </w:r>
          </w:p>
        </w:tc>
        <w:tc>
          <w:tcPr>
            <w:tcW w:w="1110" w:type="dxa"/>
            <w:tcBorders>
              <w:top w:val="single" w:sz="6" w:space="0" w:color="auto"/>
              <w:left w:val="nil"/>
              <w:bottom w:val="single" w:sz="6" w:space="0" w:color="auto"/>
              <w:right w:val="single" w:sz="6" w:space="0" w:color="auto"/>
            </w:tcBorders>
            <w:shd w:val="clear" w:color="auto" w:fill="2D7D82"/>
            <w:vAlign w:val="center"/>
            <w:hideMark/>
          </w:tcPr>
          <w:p w14:paraId="409C7DD1" w14:textId="03EC57AB"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b/>
                <w:bCs/>
                <w:color w:val="FFFFFF"/>
              </w:rPr>
              <w:t>West Kent - % of Total</w:t>
            </w:r>
            <w:r w:rsidRPr="00E73B65">
              <w:rPr>
                <w:rFonts w:ascii="Calibri" w:eastAsia="Times New Roman" w:hAnsi="Calibri" w:cs="Calibri"/>
                <w:color w:val="FFFFFF"/>
              </w:rPr>
              <w:t> </w:t>
            </w:r>
          </w:p>
        </w:tc>
        <w:tc>
          <w:tcPr>
            <w:tcW w:w="1110" w:type="dxa"/>
            <w:tcBorders>
              <w:top w:val="single" w:sz="6" w:space="0" w:color="auto"/>
              <w:left w:val="nil"/>
              <w:bottom w:val="single" w:sz="6" w:space="0" w:color="auto"/>
              <w:right w:val="single" w:sz="6" w:space="0" w:color="auto"/>
            </w:tcBorders>
            <w:shd w:val="clear" w:color="auto" w:fill="2D7D82"/>
            <w:vAlign w:val="center"/>
            <w:hideMark/>
          </w:tcPr>
          <w:p w14:paraId="4E93912B" w14:textId="1CEBE263"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b/>
                <w:bCs/>
                <w:color w:val="FFFFFF"/>
              </w:rPr>
              <w:t>Kent - % of Total</w:t>
            </w:r>
            <w:r w:rsidRPr="00E73B65">
              <w:rPr>
                <w:rFonts w:ascii="Calibri" w:eastAsia="Times New Roman" w:hAnsi="Calibri" w:cs="Calibri"/>
                <w:color w:val="FFFFFF"/>
              </w:rPr>
              <w:t> </w:t>
            </w:r>
          </w:p>
        </w:tc>
      </w:tr>
      <w:tr w:rsidR="00F03DB8" w:rsidRPr="00E73B65" w14:paraId="196A48CF" w14:textId="77777777">
        <w:trPr>
          <w:trHeight w:val="18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2349003A"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rPr>
              <w:t>Usual place of residence  </w:t>
            </w:r>
          </w:p>
        </w:tc>
        <w:tc>
          <w:tcPr>
            <w:tcW w:w="1110" w:type="dxa"/>
            <w:tcBorders>
              <w:top w:val="nil"/>
              <w:left w:val="nil"/>
              <w:bottom w:val="single" w:sz="6" w:space="0" w:color="auto"/>
              <w:right w:val="single" w:sz="6" w:space="0" w:color="auto"/>
            </w:tcBorders>
            <w:shd w:val="clear" w:color="auto" w:fill="DDF1F3"/>
            <w:vAlign w:val="center"/>
            <w:hideMark/>
          </w:tcPr>
          <w:p w14:paraId="429A82F8" w14:textId="2058AA56"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7,680 </w:t>
            </w:r>
          </w:p>
        </w:tc>
        <w:tc>
          <w:tcPr>
            <w:tcW w:w="1110" w:type="dxa"/>
            <w:tcBorders>
              <w:top w:val="nil"/>
              <w:left w:val="nil"/>
              <w:bottom w:val="single" w:sz="6" w:space="0" w:color="auto"/>
              <w:right w:val="single" w:sz="6" w:space="0" w:color="auto"/>
            </w:tcBorders>
            <w:shd w:val="clear" w:color="auto" w:fill="DDF1F3"/>
            <w:vAlign w:val="center"/>
            <w:hideMark/>
          </w:tcPr>
          <w:p w14:paraId="3C9F2C07" w14:textId="048B6BD4"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19,530 </w:t>
            </w:r>
          </w:p>
        </w:tc>
        <w:tc>
          <w:tcPr>
            <w:tcW w:w="1110" w:type="dxa"/>
            <w:tcBorders>
              <w:top w:val="nil"/>
              <w:left w:val="nil"/>
              <w:bottom w:val="single" w:sz="6" w:space="0" w:color="auto"/>
              <w:right w:val="single" w:sz="6" w:space="0" w:color="auto"/>
            </w:tcBorders>
            <w:shd w:val="clear" w:color="auto" w:fill="DDF1F3"/>
            <w:vAlign w:val="center"/>
            <w:hideMark/>
          </w:tcPr>
          <w:p w14:paraId="4168CA68" w14:textId="73B45B89"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64.1% </w:t>
            </w:r>
          </w:p>
        </w:tc>
        <w:tc>
          <w:tcPr>
            <w:tcW w:w="1110" w:type="dxa"/>
            <w:tcBorders>
              <w:top w:val="nil"/>
              <w:left w:val="nil"/>
              <w:bottom w:val="single" w:sz="6" w:space="0" w:color="auto"/>
              <w:right w:val="single" w:sz="6" w:space="0" w:color="auto"/>
            </w:tcBorders>
            <w:shd w:val="clear" w:color="auto" w:fill="DDF1F3"/>
            <w:vAlign w:val="center"/>
            <w:hideMark/>
          </w:tcPr>
          <w:p w14:paraId="6C29C4A8" w14:textId="69288776"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56.6% </w:t>
            </w:r>
          </w:p>
        </w:tc>
      </w:tr>
      <w:tr w:rsidR="00F03DB8" w:rsidRPr="00E73B65" w14:paraId="765CD7A8" w14:textId="77777777">
        <w:trPr>
          <w:trHeight w:val="36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1D77F6B5"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rPr>
              <w:t>Spell not finished at episode end or current episode unfinished  </w:t>
            </w:r>
          </w:p>
        </w:tc>
        <w:tc>
          <w:tcPr>
            <w:tcW w:w="1110" w:type="dxa"/>
            <w:tcBorders>
              <w:top w:val="nil"/>
              <w:left w:val="nil"/>
              <w:bottom w:val="single" w:sz="6" w:space="0" w:color="auto"/>
              <w:right w:val="single" w:sz="6" w:space="0" w:color="auto"/>
            </w:tcBorders>
            <w:shd w:val="clear" w:color="auto" w:fill="DDF1F3"/>
            <w:vAlign w:val="center"/>
            <w:hideMark/>
          </w:tcPr>
          <w:p w14:paraId="1E403880" w14:textId="52E19AE6"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3,050 </w:t>
            </w:r>
          </w:p>
        </w:tc>
        <w:tc>
          <w:tcPr>
            <w:tcW w:w="1110" w:type="dxa"/>
            <w:tcBorders>
              <w:top w:val="nil"/>
              <w:left w:val="nil"/>
              <w:bottom w:val="single" w:sz="6" w:space="0" w:color="auto"/>
              <w:right w:val="single" w:sz="6" w:space="0" w:color="auto"/>
            </w:tcBorders>
            <w:shd w:val="clear" w:color="auto" w:fill="DDF1F3"/>
            <w:vAlign w:val="center"/>
            <w:hideMark/>
          </w:tcPr>
          <w:p w14:paraId="20C44990" w14:textId="34004C03"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11,175 </w:t>
            </w:r>
          </w:p>
        </w:tc>
        <w:tc>
          <w:tcPr>
            <w:tcW w:w="1110" w:type="dxa"/>
            <w:tcBorders>
              <w:top w:val="nil"/>
              <w:left w:val="nil"/>
              <w:bottom w:val="single" w:sz="6" w:space="0" w:color="auto"/>
              <w:right w:val="single" w:sz="6" w:space="0" w:color="auto"/>
            </w:tcBorders>
            <w:shd w:val="clear" w:color="auto" w:fill="DDF1F3"/>
            <w:vAlign w:val="center"/>
            <w:hideMark/>
          </w:tcPr>
          <w:p w14:paraId="2546E298" w14:textId="0A70DC7F"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25.5% </w:t>
            </w:r>
          </w:p>
        </w:tc>
        <w:tc>
          <w:tcPr>
            <w:tcW w:w="1110" w:type="dxa"/>
            <w:tcBorders>
              <w:top w:val="nil"/>
              <w:left w:val="nil"/>
              <w:bottom w:val="single" w:sz="6" w:space="0" w:color="auto"/>
              <w:right w:val="single" w:sz="6" w:space="0" w:color="auto"/>
            </w:tcBorders>
            <w:shd w:val="clear" w:color="auto" w:fill="DDF1F3"/>
            <w:vAlign w:val="center"/>
            <w:hideMark/>
          </w:tcPr>
          <w:p w14:paraId="2B6FAD6C" w14:textId="26C7999A"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32.4% </w:t>
            </w:r>
          </w:p>
        </w:tc>
      </w:tr>
      <w:tr w:rsidR="00F03DB8" w:rsidRPr="00E73B65" w14:paraId="0042864D" w14:textId="77777777">
        <w:trPr>
          <w:trHeight w:val="18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62CA368C"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rPr>
              <w:t>Temporary place of residence  </w:t>
            </w:r>
          </w:p>
        </w:tc>
        <w:tc>
          <w:tcPr>
            <w:tcW w:w="1110" w:type="dxa"/>
            <w:tcBorders>
              <w:top w:val="nil"/>
              <w:left w:val="nil"/>
              <w:bottom w:val="single" w:sz="6" w:space="0" w:color="auto"/>
              <w:right w:val="single" w:sz="6" w:space="0" w:color="auto"/>
            </w:tcBorders>
            <w:shd w:val="clear" w:color="auto" w:fill="DDF1F3"/>
            <w:vAlign w:val="center"/>
            <w:hideMark/>
          </w:tcPr>
          <w:p w14:paraId="029B9612" w14:textId="525C7BE4"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300 </w:t>
            </w:r>
          </w:p>
        </w:tc>
        <w:tc>
          <w:tcPr>
            <w:tcW w:w="1110" w:type="dxa"/>
            <w:tcBorders>
              <w:top w:val="nil"/>
              <w:left w:val="nil"/>
              <w:bottom w:val="single" w:sz="6" w:space="0" w:color="auto"/>
              <w:right w:val="single" w:sz="6" w:space="0" w:color="auto"/>
            </w:tcBorders>
            <w:shd w:val="clear" w:color="auto" w:fill="DDF1F3"/>
            <w:vAlign w:val="center"/>
            <w:hideMark/>
          </w:tcPr>
          <w:p w14:paraId="25D8D1A9" w14:textId="4109B697"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1,245 </w:t>
            </w:r>
          </w:p>
        </w:tc>
        <w:tc>
          <w:tcPr>
            <w:tcW w:w="1110" w:type="dxa"/>
            <w:tcBorders>
              <w:top w:val="nil"/>
              <w:left w:val="nil"/>
              <w:bottom w:val="single" w:sz="6" w:space="0" w:color="auto"/>
              <w:right w:val="single" w:sz="6" w:space="0" w:color="auto"/>
            </w:tcBorders>
            <w:shd w:val="clear" w:color="auto" w:fill="DDF1F3"/>
            <w:vAlign w:val="center"/>
            <w:hideMark/>
          </w:tcPr>
          <w:p w14:paraId="09EFFED1" w14:textId="2CAE93C0"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2.5% </w:t>
            </w:r>
          </w:p>
        </w:tc>
        <w:tc>
          <w:tcPr>
            <w:tcW w:w="1110" w:type="dxa"/>
            <w:tcBorders>
              <w:top w:val="nil"/>
              <w:left w:val="nil"/>
              <w:bottom w:val="single" w:sz="6" w:space="0" w:color="auto"/>
              <w:right w:val="single" w:sz="6" w:space="0" w:color="auto"/>
            </w:tcBorders>
            <w:shd w:val="clear" w:color="auto" w:fill="DDF1F3"/>
            <w:vAlign w:val="center"/>
            <w:hideMark/>
          </w:tcPr>
          <w:p w14:paraId="570F47CE" w14:textId="4066FEDF"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3.6% </w:t>
            </w:r>
          </w:p>
        </w:tc>
      </w:tr>
      <w:tr w:rsidR="00F03DB8" w:rsidRPr="00E73B65" w14:paraId="4A0066E6" w14:textId="77777777">
        <w:trPr>
          <w:trHeight w:val="18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1326F0FF"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rPr>
              <w:t>NHS hospital provider - ward for general patients  </w:t>
            </w:r>
          </w:p>
        </w:tc>
        <w:tc>
          <w:tcPr>
            <w:tcW w:w="1110" w:type="dxa"/>
            <w:tcBorders>
              <w:top w:val="nil"/>
              <w:left w:val="nil"/>
              <w:bottom w:val="single" w:sz="6" w:space="0" w:color="auto"/>
              <w:right w:val="single" w:sz="6" w:space="0" w:color="auto"/>
            </w:tcBorders>
            <w:shd w:val="clear" w:color="auto" w:fill="DDF1F3"/>
            <w:vAlign w:val="center"/>
            <w:hideMark/>
          </w:tcPr>
          <w:p w14:paraId="57F822E1" w14:textId="4A4C8DD9"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385 </w:t>
            </w:r>
          </w:p>
        </w:tc>
        <w:tc>
          <w:tcPr>
            <w:tcW w:w="1110" w:type="dxa"/>
            <w:tcBorders>
              <w:top w:val="nil"/>
              <w:left w:val="nil"/>
              <w:bottom w:val="single" w:sz="6" w:space="0" w:color="auto"/>
              <w:right w:val="single" w:sz="6" w:space="0" w:color="auto"/>
            </w:tcBorders>
            <w:shd w:val="clear" w:color="auto" w:fill="DDF1F3"/>
            <w:vAlign w:val="center"/>
            <w:hideMark/>
          </w:tcPr>
          <w:p w14:paraId="655EFB71" w14:textId="75EA99B1"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1,120 </w:t>
            </w:r>
          </w:p>
        </w:tc>
        <w:tc>
          <w:tcPr>
            <w:tcW w:w="1110" w:type="dxa"/>
            <w:tcBorders>
              <w:top w:val="nil"/>
              <w:left w:val="nil"/>
              <w:bottom w:val="single" w:sz="6" w:space="0" w:color="auto"/>
              <w:right w:val="single" w:sz="6" w:space="0" w:color="auto"/>
            </w:tcBorders>
            <w:shd w:val="clear" w:color="auto" w:fill="DDF1F3"/>
            <w:vAlign w:val="center"/>
            <w:hideMark/>
          </w:tcPr>
          <w:p w14:paraId="07E10B13" w14:textId="44170FAA"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3.2% </w:t>
            </w:r>
          </w:p>
        </w:tc>
        <w:tc>
          <w:tcPr>
            <w:tcW w:w="1110" w:type="dxa"/>
            <w:tcBorders>
              <w:top w:val="nil"/>
              <w:left w:val="nil"/>
              <w:bottom w:val="single" w:sz="6" w:space="0" w:color="auto"/>
              <w:right w:val="single" w:sz="6" w:space="0" w:color="auto"/>
            </w:tcBorders>
            <w:shd w:val="clear" w:color="auto" w:fill="DDF1F3"/>
            <w:vAlign w:val="center"/>
            <w:hideMark/>
          </w:tcPr>
          <w:p w14:paraId="5F729664" w14:textId="43C0CA0B"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3.2% </w:t>
            </w:r>
          </w:p>
        </w:tc>
      </w:tr>
      <w:tr w:rsidR="00F03DB8" w:rsidRPr="00E73B65" w14:paraId="5E4B4F5B" w14:textId="77777777">
        <w:trPr>
          <w:trHeight w:val="18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0C7866F7"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rPr>
              <w:t>Patient died  </w:t>
            </w:r>
          </w:p>
        </w:tc>
        <w:tc>
          <w:tcPr>
            <w:tcW w:w="1110" w:type="dxa"/>
            <w:tcBorders>
              <w:top w:val="nil"/>
              <w:left w:val="nil"/>
              <w:bottom w:val="single" w:sz="6" w:space="0" w:color="auto"/>
              <w:right w:val="single" w:sz="6" w:space="0" w:color="auto"/>
            </w:tcBorders>
            <w:shd w:val="clear" w:color="auto" w:fill="DDF1F3"/>
            <w:vAlign w:val="center"/>
            <w:hideMark/>
          </w:tcPr>
          <w:p w14:paraId="0212CA4E" w14:textId="5613E74E"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145 </w:t>
            </w:r>
          </w:p>
        </w:tc>
        <w:tc>
          <w:tcPr>
            <w:tcW w:w="1110" w:type="dxa"/>
            <w:tcBorders>
              <w:top w:val="nil"/>
              <w:left w:val="nil"/>
              <w:bottom w:val="single" w:sz="6" w:space="0" w:color="auto"/>
              <w:right w:val="single" w:sz="6" w:space="0" w:color="auto"/>
            </w:tcBorders>
            <w:shd w:val="clear" w:color="auto" w:fill="DDF1F3"/>
            <w:vAlign w:val="center"/>
            <w:hideMark/>
          </w:tcPr>
          <w:p w14:paraId="25E7CB22" w14:textId="549D76F9"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470 </w:t>
            </w:r>
          </w:p>
        </w:tc>
        <w:tc>
          <w:tcPr>
            <w:tcW w:w="1110" w:type="dxa"/>
            <w:tcBorders>
              <w:top w:val="nil"/>
              <w:left w:val="nil"/>
              <w:bottom w:val="single" w:sz="6" w:space="0" w:color="auto"/>
              <w:right w:val="single" w:sz="6" w:space="0" w:color="auto"/>
            </w:tcBorders>
            <w:shd w:val="clear" w:color="auto" w:fill="DDF1F3"/>
            <w:vAlign w:val="center"/>
            <w:hideMark/>
          </w:tcPr>
          <w:p w14:paraId="4868A50E" w14:textId="37EA0DEB"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1.2% </w:t>
            </w:r>
          </w:p>
        </w:tc>
        <w:tc>
          <w:tcPr>
            <w:tcW w:w="1110" w:type="dxa"/>
            <w:tcBorders>
              <w:top w:val="nil"/>
              <w:left w:val="nil"/>
              <w:bottom w:val="single" w:sz="6" w:space="0" w:color="auto"/>
              <w:right w:val="single" w:sz="6" w:space="0" w:color="auto"/>
            </w:tcBorders>
            <w:shd w:val="clear" w:color="auto" w:fill="DDF1F3"/>
            <w:vAlign w:val="center"/>
            <w:hideMark/>
          </w:tcPr>
          <w:p w14:paraId="7190E26C" w14:textId="2924B395"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1.4% </w:t>
            </w:r>
          </w:p>
        </w:tc>
      </w:tr>
      <w:tr w:rsidR="00F03DB8" w:rsidRPr="00E73B65" w14:paraId="6E827016" w14:textId="77777777">
        <w:trPr>
          <w:trHeight w:val="18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0A30354C"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rPr>
              <w:t>NHS nursing home, residential care home or group home  </w:t>
            </w:r>
          </w:p>
        </w:tc>
        <w:tc>
          <w:tcPr>
            <w:tcW w:w="1110" w:type="dxa"/>
            <w:tcBorders>
              <w:top w:val="nil"/>
              <w:left w:val="nil"/>
              <w:bottom w:val="single" w:sz="6" w:space="0" w:color="auto"/>
              <w:right w:val="single" w:sz="6" w:space="0" w:color="auto"/>
            </w:tcBorders>
            <w:shd w:val="clear" w:color="auto" w:fill="DDF1F3"/>
            <w:vAlign w:val="center"/>
            <w:hideMark/>
          </w:tcPr>
          <w:p w14:paraId="767952E9" w14:textId="000A325A"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85 </w:t>
            </w:r>
          </w:p>
        </w:tc>
        <w:tc>
          <w:tcPr>
            <w:tcW w:w="1110" w:type="dxa"/>
            <w:tcBorders>
              <w:top w:val="nil"/>
              <w:left w:val="nil"/>
              <w:bottom w:val="single" w:sz="6" w:space="0" w:color="auto"/>
              <w:right w:val="single" w:sz="6" w:space="0" w:color="auto"/>
            </w:tcBorders>
            <w:shd w:val="clear" w:color="auto" w:fill="DDF1F3"/>
            <w:vAlign w:val="center"/>
            <w:hideMark/>
          </w:tcPr>
          <w:p w14:paraId="276EBE97" w14:textId="223A444B"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300 </w:t>
            </w:r>
          </w:p>
        </w:tc>
        <w:tc>
          <w:tcPr>
            <w:tcW w:w="1110" w:type="dxa"/>
            <w:tcBorders>
              <w:top w:val="nil"/>
              <w:left w:val="nil"/>
              <w:bottom w:val="single" w:sz="6" w:space="0" w:color="auto"/>
              <w:right w:val="single" w:sz="6" w:space="0" w:color="auto"/>
            </w:tcBorders>
            <w:shd w:val="clear" w:color="auto" w:fill="DDF1F3"/>
            <w:vAlign w:val="center"/>
            <w:hideMark/>
          </w:tcPr>
          <w:p w14:paraId="5E9269C4" w14:textId="305AC16C"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0.7% </w:t>
            </w:r>
          </w:p>
        </w:tc>
        <w:tc>
          <w:tcPr>
            <w:tcW w:w="1110" w:type="dxa"/>
            <w:tcBorders>
              <w:top w:val="nil"/>
              <w:left w:val="nil"/>
              <w:bottom w:val="single" w:sz="6" w:space="0" w:color="auto"/>
              <w:right w:val="single" w:sz="6" w:space="0" w:color="auto"/>
            </w:tcBorders>
            <w:shd w:val="clear" w:color="auto" w:fill="DDF1F3"/>
            <w:vAlign w:val="center"/>
            <w:hideMark/>
          </w:tcPr>
          <w:p w14:paraId="31F065E9" w14:textId="24BB1AFC"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0.9% </w:t>
            </w:r>
          </w:p>
        </w:tc>
      </w:tr>
      <w:tr w:rsidR="00F03DB8" w:rsidRPr="00E73B65" w14:paraId="1B69B8C2" w14:textId="77777777">
        <w:trPr>
          <w:trHeight w:val="36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1D12F108" w14:textId="77777777" w:rsidR="00F03DB8" w:rsidRPr="00E73B65" w:rsidRDefault="00F03DB8" w:rsidP="007A53C2">
            <w:pPr>
              <w:spacing w:after="0" w:line="240" w:lineRule="auto"/>
              <w:textAlignment w:val="baseline"/>
              <w:rPr>
                <w:rFonts w:ascii="Times New Roman" w:eastAsia="Times New Roman" w:hAnsi="Times New Roman" w:cs="Times New Roman"/>
              </w:rPr>
            </w:pPr>
            <w:bookmarkStart w:id="91" w:name="_Int_S8Z7jitv"/>
            <w:r w:rsidRPr="00E73B65">
              <w:rPr>
                <w:rFonts w:ascii="Calibri" w:eastAsia="Times New Roman" w:hAnsi="Calibri" w:cs="Calibri"/>
              </w:rPr>
              <w:t>Non NHS</w:t>
            </w:r>
            <w:bookmarkEnd w:id="91"/>
            <w:r w:rsidRPr="00E73B65">
              <w:rPr>
                <w:rFonts w:ascii="Calibri" w:eastAsia="Times New Roman" w:hAnsi="Calibri" w:cs="Calibri"/>
              </w:rPr>
              <w:t xml:space="preserve"> (other than Local Authority) run Residential Care Home  </w:t>
            </w:r>
          </w:p>
        </w:tc>
        <w:tc>
          <w:tcPr>
            <w:tcW w:w="1110" w:type="dxa"/>
            <w:tcBorders>
              <w:top w:val="nil"/>
              <w:left w:val="nil"/>
              <w:bottom w:val="single" w:sz="6" w:space="0" w:color="auto"/>
              <w:right w:val="single" w:sz="6" w:space="0" w:color="auto"/>
            </w:tcBorders>
            <w:shd w:val="clear" w:color="auto" w:fill="DDF1F3"/>
            <w:vAlign w:val="center"/>
            <w:hideMark/>
          </w:tcPr>
          <w:p w14:paraId="7AB58F41" w14:textId="39070BB7"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85 </w:t>
            </w:r>
          </w:p>
        </w:tc>
        <w:tc>
          <w:tcPr>
            <w:tcW w:w="1110" w:type="dxa"/>
            <w:tcBorders>
              <w:top w:val="nil"/>
              <w:left w:val="nil"/>
              <w:bottom w:val="single" w:sz="6" w:space="0" w:color="auto"/>
              <w:right w:val="single" w:sz="6" w:space="0" w:color="auto"/>
            </w:tcBorders>
            <w:shd w:val="clear" w:color="auto" w:fill="DDF1F3"/>
            <w:vAlign w:val="center"/>
            <w:hideMark/>
          </w:tcPr>
          <w:p w14:paraId="2245982B" w14:textId="5E5940F9"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285 </w:t>
            </w:r>
          </w:p>
        </w:tc>
        <w:tc>
          <w:tcPr>
            <w:tcW w:w="1110" w:type="dxa"/>
            <w:tcBorders>
              <w:top w:val="nil"/>
              <w:left w:val="nil"/>
              <w:bottom w:val="single" w:sz="6" w:space="0" w:color="auto"/>
              <w:right w:val="single" w:sz="6" w:space="0" w:color="auto"/>
            </w:tcBorders>
            <w:shd w:val="clear" w:color="auto" w:fill="DDF1F3"/>
            <w:vAlign w:val="center"/>
            <w:hideMark/>
          </w:tcPr>
          <w:p w14:paraId="62EB5E4B" w14:textId="211E73F7"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0.7% </w:t>
            </w:r>
          </w:p>
        </w:tc>
        <w:tc>
          <w:tcPr>
            <w:tcW w:w="1110" w:type="dxa"/>
            <w:tcBorders>
              <w:top w:val="nil"/>
              <w:left w:val="nil"/>
              <w:bottom w:val="single" w:sz="6" w:space="0" w:color="auto"/>
              <w:right w:val="single" w:sz="6" w:space="0" w:color="auto"/>
            </w:tcBorders>
            <w:shd w:val="clear" w:color="auto" w:fill="DDF1F3"/>
            <w:vAlign w:val="center"/>
            <w:hideMark/>
          </w:tcPr>
          <w:p w14:paraId="7A8D57AE" w14:textId="2853869A"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0.8% </w:t>
            </w:r>
          </w:p>
        </w:tc>
      </w:tr>
      <w:tr w:rsidR="00F03DB8" w:rsidRPr="00E73B65" w14:paraId="6D8308D1" w14:textId="77777777">
        <w:trPr>
          <w:trHeight w:val="18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41E19868" w14:textId="77777777" w:rsidR="00F03DB8" w:rsidRPr="00E73B65" w:rsidRDefault="00F03DB8" w:rsidP="007A53C2">
            <w:pPr>
              <w:spacing w:after="0" w:line="240" w:lineRule="auto"/>
              <w:textAlignment w:val="baseline"/>
              <w:rPr>
                <w:rFonts w:ascii="Times New Roman" w:eastAsia="Times New Roman" w:hAnsi="Times New Roman" w:cs="Times New Roman"/>
              </w:rPr>
            </w:pPr>
            <w:bookmarkStart w:id="92" w:name="_Int_x633NE9h"/>
            <w:r w:rsidRPr="00E73B65">
              <w:rPr>
                <w:rFonts w:ascii="Calibri" w:eastAsia="Times New Roman" w:hAnsi="Calibri" w:cs="Calibri"/>
              </w:rPr>
              <w:t>Non NHS</w:t>
            </w:r>
            <w:bookmarkEnd w:id="92"/>
            <w:r w:rsidRPr="00E73B65">
              <w:rPr>
                <w:rFonts w:ascii="Calibri" w:eastAsia="Times New Roman" w:hAnsi="Calibri" w:cs="Calibri"/>
              </w:rPr>
              <w:t xml:space="preserve"> run Hospital  </w:t>
            </w:r>
          </w:p>
        </w:tc>
        <w:tc>
          <w:tcPr>
            <w:tcW w:w="1110" w:type="dxa"/>
            <w:tcBorders>
              <w:top w:val="nil"/>
              <w:left w:val="nil"/>
              <w:bottom w:val="single" w:sz="6" w:space="0" w:color="auto"/>
              <w:right w:val="single" w:sz="6" w:space="0" w:color="auto"/>
            </w:tcBorders>
            <w:shd w:val="clear" w:color="auto" w:fill="DDF1F3"/>
            <w:vAlign w:val="center"/>
            <w:hideMark/>
          </w:tcPr>
          <w:p w14:paraId="06A0B4E3" w14:textId="275F7A71"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150 </w:t>
            </w:r>
          </w:p>
        </w:tc>
        <w:tc>
          <w:tcPr>
            <w:tcW w:w="1110" w:type="dxa"/>
            <w:tcBorders>
              <w:top w:val="nil"/>
              <w:left w:val="nil"/>
              <w:bottom w:val="single" w:sz="6" w:space="0" w:color="auto"/>
              <w:right w:val="single" w:sz="6" w:space="0" w:color="auto"/>
            </w:tcBorders>
            <w:shd w:val="clear" w:color="auto" w:fill="DDF1F3"/>
            <w:vAlign w:val="center"/>
            <w:hideMark/>
          </w:tcPr>
          <w:p w14:paraId="5E48198B" w14:textId="14E9193F"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170 </w:t>
            </w:r>
          </w:p>
        </w:tc>
        <w:tc>
          <w:tcPr>
            <w:tcW w:w="1110" w:type="dxa"/>
            <w:tcBorders>
              <w:top w:val="nil"/>
              <w:left w:val="nil"/>
              <w:bottom w:val="single" w:sz="6" w:space="0" w:color="auto"/>
              <w:right w:val="single" w:sz="6" w:space="0" w:color="auto"/>
            </w:tcBorders>
            <w:shd w:val="clear" w:color="auto" w:fill="DDF1F3"/>
            <w:vAlign w:val="center"/>
            <w:hideMark/>
          </w:tcPr>
          <w:p w14:paraId="0F08C25D" w14:textId="4D7A3158"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1.3% </w:t>
            </w:r>
          </w:p>
        </w:tc>
        <w:tc>
          <w:tcPr>
            <w:tcW w:w="1110" w:type="dxa"/>
            <w:tcBorders>
              <w:top w:val="nil"/>
              <w:left w:val="nil"/>
              <w:bottom w:val="single" w:sz="6" w:space="0" w:color="auto"/>
              <w:right w:val="single" w:sz="6" w:space="0" w:color="auto"/>
            </w:tcBorders>
            <w:shd w:val="clear" w:color="auto" w:fill="DDF1F3"/>
            <w:vAlign w:val="center"/>
            <w:hideMark/>
          </w:tcPr>
          <w:p w14:paraId="5E152D98" w14:textId="63C3E44B"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0.5% </w:t>
            </w:r>
          </w:p>
        </w:tc>
      </w:tr>
      <w:tr w:rsidR="00F03DB8" w:rsidRPr="00E73B65" w14:paraId="642D5981" w14:textId="77777777">
        <w:trPr>
          <w:trHeight w:val="36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56F629A5"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rPr>
              <w:t>Local Authority Part 3 residential accommodation where care is provided  </w:t>
            </w:r>
          </w:p>
        </w:tc>
        <w:tc>
          <w:tcPr>
            <w:tcW w:w="1110" w:type="dxa"/>
            <w:tcBorders>
              <w:top w:val="nil"/>
              <w:left w:val="nil"/>
              <w:bottom w:val="single" w:sz="6" w:space="0" w:color="auto"/>
              <w:right w:val="single" w:sz="6" w:space="0" w:color="auto"/>
            </w:tcBorders>
            <w:shd w:val="clear" w:color="auto" w:fill="DDF1F3"/>
            <w:vAlign w:val="center"/>
            <w:hideMark/>
          </w:tcPr>
          <w:p w14:paraId="3CA87230" w14:textId="6D19FD97"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40 </w:t>
            </w:r>
          </w:p>
        </w:tc>
        <w:tc>
          <w:tcPr>
            <w:tcW w:w="1110" w:type="dxa"/>
            <w:tcBorders>
              <w:top w:val="nil"/>
              <w:left w:val="nil"/>
              <w:bottom w:val="single" w:sz="6" w:space="0" w:color="auto"/>
              <w:right w:val="single" w:sz="6" w:space="0" w:color="auto"/>
            </w:tcBorders>
            <w:shd w:val="clear" w:color="auto" w:fill="DDF1F3"/>
            <w:vAlign w:val="center"/>
            <w:hideMark/>
          </w:tcPr>
          <w:p w14:paraId="25316DB6" w14:textId="19227CB9"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85 </w:t>
            </w:r>
          </w:p>
        </w:tc>
        <w:tc>
          <w:tcPr>
            <w:tcW w:w="1110" w:type="dxa"/>
            <w:tcBorders>
              <w:top w:val="nil"/>
              <w:left w:val="nil"/>
              <w:bottom w:val="single" w:sz="6" w:space="0" w:color="auto"/>
              <w:right w:val="single" w:sz="6" w:space="0" w:color="auto"/>
            </w:tcBorders>
            <w:shd w:val="clear" w:color="auto" w:fill="DDF1F3"/>
            <w:vAlign w:val="center"/>
            <w:hideMark/>
          </w:tcPr>
          <w:p w14:paraId="744AA386" w14:textId="5B178A37"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0.4% </w:t>
            </w:r>
          </w:p>
        </w:tc>
        <w:tc>
          <w:tcPr>
            <w:tcW w:w="1110" w:type="dxa"/>
            <w:tcBorders>
              <w:top w:val="nil"/>
              <w:left w:val="nil"/>
              <w:bottom w:val="single" w:sz="6" w:space="0" w:color="auto"/>
              <w:right w:val="single" w:sz="6" w:space="0" w:color="auto"/>
            </w:tcBorders>
            <w:shd w:val="clear" w:color="auto" w:fill="DDF1F3"/>
            <w:vAlign w:val="center"/>
            <w:hideMark/>
          </w:tcPr>
          <w:p w14:paraId="6E7045A9" w14:textId="311E44FC"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0.2% </w:t>
            </w:r>
          </w:p>
        </w:tc>
      </w:tr>
      <w:tr w:rsidR="00F03DB8" w:rsidRPr="00E73B65" w14:paraId="25E2573C" w14:textId="77777777">
        <w:trPr>
          <w:trHeight w:val="18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3ACFA678"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rPr>
              <w:t>Other  </w:t>
            </w:r>
          </w:p>
        </w:tc>
        <w:tc>
          <w:tcPr>
            <w:tcW w:w="1110" w:type="dxa"/>
            <w:tcBorders>
              <w:top w:val="nil"/>
              <w:left w:val="nil"/>
              <w:bottom w:val="single" w:sz="6" w:space="0" w:color="auto"/>
              <w:right w:val="single" w:sz="6" w:space="0" w:color="auto"/>
            </w:tcBorders>
            <w:shd w:val="clear" w:color="auto" w:fill="DDF1F3"/>
            <w:vAlign w:val="center"/>
            <w:hideMark/>
          </w:tcPr>
          <w:p w14:paraId="4B32260E" w14:textId="71494BB0"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50 </w:t>
            </w:r>
          </w:p>
        </w:tc>
        <w:tc>
          <w:tcPr>
            <w:tcW w:w="1110" w:type="dxa"/>
            <w:tcBorders>
              <w:top w:val="nil"/>
              <w:left w:val="nil"/>
              <w:bottom w:val="single" w:sz="6" w:space="0" w:color="auto"/>
              <w:right w:val="single" w:sz="6" w:space="0" w:color="auto"/>
            </w:tcBorders>
            <w:shd w:val="clear" w:color="auto" w:fill="DDF1F3"/>
            <w:vAlign w:val="center"/>
            <w:hideMark/>
          </w:tcPr>
          <w:p w14:paraId="5DEAC678" w14:textId="23E99E78"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110 </w:t>
            </w:r>
          </w:p>
        </w:tc>
        <w:tc>
          <w:tcPr>
            <w:tcW w:w="1110" w:type="dxa"/>
            <w:tcBorders>
              <w:top w:val="nil"/>
              <w:left w:val="nil"/>
              <w:bottom w:val="single" w:sz="6" w:space="0" w:color="auto"/>
              <w:right w:val="single" w:sz="6" w:space="0" w:color="auto"/>
            </w:tcBorders>
            <w:shd w:val="clear" w:color="auto" w:fill="DDF1F3"/>
            <w:vAlign w:val="center"/>
            <w:hideMark/>
          </w:tcPr>
          <w:p w14:paraId="12CCCC34" w14:textId="54711B10"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0.4% </w:t>
            </w:r>
          </w:p>
        </w:tc>
        <w:tc>
          <w:tcPr>
            <w:tcW w:w="1110" w:type="dxa"/>
            <w:tcBorders>
              <w:top w:val="nil"/>
              <w:left w:val="nil"/>
              <w:bottom w:val="single" w:sz="6" w:space="0" w:color="auto"/>
              <w:right w:val="single" w:sz="6" w:space="0" w:color="auto"/>
            </w:tcBorders>
            <w:shd w:val="clear" w:color="auto" w:fill="DDF1F3"/>
            <w:vAlign w:val="center"/>
            <w:hideMark/>
          </w:tcPr>
          <w:p w14:paraId="55C29BDD" w14:textId="12281ADE"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rPr>
              <w:t>0.3% </w:t>
            </w:r>
          </w:p>
        </w:tc>
      </w:tr>
      <w:tr w:rsidR="00F03DB8" w:rsidRPr="00E73B65" w14:paraId="7909C577" w14:textId="77777777">
        <w:trPr>
          <w:trHeight w:val="180"/>
        </w:trPr>
        <w:tc>
          <w:tcPr>
            <w:tcW w:w="4365" w:type="dxa"/>
            <w:tcBorders>
              <w:top w:val="nil"/>
              <w:left w:val="single" w:sz="6" w:space="0" w:color="auto"/>
              <w:bottom w:val="single" w:sz="6" w:space="0" w:color="auto"/>
              <w:right w:val="single" w:sz="6" w:space="0" w:color="auto"/>
            </w:tcBorders>
            <w:shd w:val="clear" w:color="auto" w:fill="DDF1F3"/>
            <w:vAlign w:val="center"/>
            <w:hideMark/>
          </w:tcPr>
          <w:p w14:paraId="77396C7D" w14:textId="77777777" w:rsidR="00F03DB8" w:rsidRPr="00E73B65" w:rsidRDefault="00F03DB8" w:rsidP="007A53C2">
            <w:pPr>
              <w:spacing w:after="0" w:line="240" w:lineRule="auto"/>
              <w:textAlignment w:val="baseline"/>
              <w:rPr>
                <w:rFonts w:ascii="Times New Roman" w:eastAsia="Times New Roman" w:hAnsi="Times New Roman" w:cs="Times New Roman"/>
              </w:rPr>
            </w:pPr>
            <w:r w:rsidRPr="00E73B65">
              <w:rPr>
                <w:rFonts w:ascii="Calibri" w:eastAsia="Times New Roman" w:hAnsi="Calibri" w:cs="Calibri"/>
                <w:b/>
                <w:bCs/>
              </w:rPr>
              <w:t>Grand Total</w:t>
            </w:r>
            <w:r w:rsidRPr="00E73B65">
              <w:rPr>
                <w:rFonts w:ascii="Calibri" w:eastAsia="Times New Roman" w:hAnsi="Calibri" w:cs="Calibri"/>
              </w:rPr>
              <w:t>  </w:t>
            </w:r>
          </w:p>
        </w:tc>
        <w:tc>
          <w:tcPr>
            <w:tcW w:w="1110" w:type="dxa"/>
            <w:tcBorders>
              <w:top w:val="nil"/>
              <w:left w:val="nil"/>
              <w:bottom w:val="single" w:sz="6" w:space="0" w:color="auto"/>
              <w:right w:val="single" w:sz="6" w:space="0" w:color="auto"/>
            </w:tcBorders>
            <w:shd w:val="clear" w:color="auto" w:fill="DDF1F3"/>
            <w:vAlign w:val="center"/>
            <w:hideMark/>
          </w:tcPr>
          <w:p w14:paraId="7103F37D" w14:textId="279B7943"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b/>
                <w:bCs/>
              </w:rPr>
              <w:t>11,970</w:t>
            </w:r>
            <w:r w:rsidRPr="00E73B65">
              <w:rPr>
                <w:rFonts w:ascii="Calibri" w:eastAsia="Times New Roman" w:hAnsi="Calibri" w:cs="Calibri"/>
              </w:rPr>
              <w:t> </w:t>
            </w:r>
          </w:p>
        </w:tc>
        <w:tc>
          <w:tcPr>
            <w:tcW w:w="1110" w:type="dxa"/>
            <w:tcBorders>
              <w:top w:val="nil"/>
              <w:left w:val="nil"/>
              <w:bottom w:val="single" w:sz="6" w:space="0" w:color="auto"/>
              <w:right w:val="single" w:sz="6" w:space="0" w:color="auto"/>
            </w:tcBorders>
            <w:shd w:val="clear" w:color="auto" w:fill="DDF1F3"/>
            <w:vAlign w:val="center"/>
            <w:hideMark/>
          </w:tcPr>
          <w:p w14:paraId="3FA0FAD2" w14:textId="1287C52D"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b/>
                <w:bCs/>
              </w:rPr>
              <w:t>34,490</w:t>
            </w:r>
            <w:r w:rsidRPr="00E73B65">
              <w:rPr>
                <w:rFonts w:ascii="Calibri" w:eastAsia="Times New Roman" w:hAnsi="Calibri" w:cs="Calibri"/>
              </w:rPr>
              <w:t> </w:t>
            </w:r>
          </w:p>
        </w:tc>
        <w:tc>
          <w:tcPr>
            <w:tcW w:w="1110" w:type="dxa"/>
            <w:tcBorders>
              <w:top w:val="nil"/>
              <w:left w:val="nil"/>
              <w:bottom w:val="single" w:sz="6" w:space="0" w:color="auto"/>
              <w:right w:val="single" w:sz="6" w:space="0" w:color="auto"/>
            </w:tcBorders>
            <w:shd w:val="clear" w:color="auto" w:fill="DDF1F3"/>
            <w:vAlign w:val="center"/>
            <w:hideMark/>
          </w:tcPr>
          <w:p w14:paraId="1DC3203C" w14:textId="7DA40DE9"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b/>
                <w:bCs/>
              </w:rPr>
              <w:t>100.0%</w:t>
            </w:r>
            <w:r w:rsidRPr="00E73B65">
              <w:rPr>
                <w:rFonts w:ascii="Calibri" w:eastAsia="Times New Roman" w:hAnsi="Calibri" w:cs="Calibri"/>
              </w:rPr>
              <w:t> </w:t>
            </w:r>
          </w:p>
        </w:tc>
        <w:tc>
          <w:tcPr>
            <w:tcW w:w="1110" w:type="dxa"/>
            <w:tcBorders>
              <w:top w:val="nil"/>
              <w:left w:val="nil"/>
              <w:bottom w:val="single" w:sz="6" w:space="0" w:color="auto"/>
              <w:right w:val="single" w:sz="6" w:space="0" w:color="auto"/>
            </w:tcBorders>
            <w:shd w:val="clear" w:color="auto" w:fill="DDF1F3"/>
            <w:vAlign w:val="center"/>
            <w:hideMark/>
          </w:tcPr>
          <w:p w14:paraId="61B85E62" w14:textId="19B69730" w:rsidR="00F03DB8" w:rsidRPr="00E73B65" w:rsidRDefault="00F03DB8" w:rsidP="00F10773">
            <w:pPr>
              <w:spacing w:after="0" w:line="240" w:lineRule="auto"/>
              <w:jc w:val="center"/>
              <w:textAlignment w:val="baseline"/>
              <w:rPr>
                <w:rFonts w:ascii="Times New Roman" w:eastAsia="Times New Roman" w:hAnsi="Times New Roman" w:cs="Times New Roman"/>
              </w:rPr>
            </w:pPr>
            <w:r w:rsidRPr="00E73B65">
              <w:rPr>
                <w:rFonts w:ascii="Calibri" w:eastAsia="Times New Roman" w:hAnsi="Calibri" w:cs="Calibri"/>
                <w:b/>
                <w:bCs/>
              </w:rPr>
              <w:t>100.0%</w:t>
            </w:r>
            <w:r w:rsidRPr="00E73B65">
              <w:rPr>
                <w:rFonts w:ascii="Calibri" w:eastAsia="Times New Roman" w:hAnsi="Calibri" w:cs="Calibri"/>
              </w:rPr>
              <w:t> </w:t>
            </w:r>
          </w:p>
        </w:tc>
      </w:tr>
    </w:tbl>
    <w:p w14:paraId="44225574" w14:textId="5EDBAC36" w:rsidR="00F03DB8" w:rsidRDefault="00F03DB8" w:rsidP="007A53C2">
      <w:pPr>
        <w:spacing w:after="0" w:line="240" w:lineRule="auto"/>
        <w:textAlignment w:val="baseline"/>
        <w:rPr>
          <w:rFonts w:ascii="Calibri" w:eastAsia="Times New Roman" w:hAnsi="Calibri" w:cs="Calibri"/>
        </w:rPr>
      </w:pPr>
      <w:r w:rsidRPr="5E4DB3C2">
        <w:rPr>
          <w:rFonts w:ascii="Calibri" w:eastAsia="Times New Roman" w:hAnsi="Calibri" w:cs="Calibri"/>
        </w:rPr>
        <w:t>Figure 6</w:t>
      </w:r>
      <w:r w:rsidR="00B3426A">
        <w:rPr>
          <w:rFonts w:ascii="Calibri" w:eastAsia="Times New Roman" w:hAnsi="Calibri" w:cs="Calibri"/>
        </w:rPr>
        <w:t>3</w:t>
      </w:r>
      <w:r w:rsidRPr="5E4DB3C2">
        <w:rPr>
          <w:rFonts w:ascii="Calibri" w:eastAsia="Times New Roman" w:hAnsi="Calibri" w:cs="Calibri"/>
        </w:rPr>
        <w:t xml:space="preserve"> shows large increases in falls rates in the most deprived quintile during COVID 20/21 before falling but higher than pre COVID. The relationship between deprivation and </w:t>
      </w:r>
      <w:r w:rsidRPr="5E4DB3C2">
        <w:rPr>
          <w:rFonts w:ascii="Calibri" w:eastAsia="Times New Roman" w:hAnsi="Calibri" w:cs="Calibri"/>
        </w:rPr>
        <w:lastRenderedPageBreak/>
        <w:t xml:space="preserve">falls </w:t>
      </w:r>
      <w:bookmarkStart w:id="93" w:name="_Int_zsrFODYT"/>
      <w:r w:rsidRPr="5E4DB3C2">
        <w:rPr>
          <w:rFonts w:ascii="Calibri" w:eastAsia="Times New Roman" w:hAnsi="Calibri" w:cs="Calibri"/>
        </w:rPr>
        <w:t>in regard to</w:t>
      </w:r>
      <w:bookmarkEnd w:id="93"/>
      <w:r w:rsidRPr="5E4DB3C2">
        <w:rPr>
          <w:rFonts w:ascii="Calibri" w:eastAsia="Times New Roman" w:hAnsi="Calibri" w:cs="Calibri"/>
        </w:rPr>
        <w:t xml:space="preserve"> West Kent is less clear and one may conclude that there are more significant and interrelating factors to consider in falls prevention.</w:t>
      </w:r>
    </w:p>
    <w:p w14:paraId="67DD878F" w14:textId="4C50A76C" w:rsidR="00F03DB8" w:rsidRPr="00E73B65" w:rsidRDefault="00F03DB8" w:rsidP="007A53C2">
      <w:pPr>
        <w:spacing w:after="0" w:line="240" w:lineRule="auto"/>
        <w:textAlignment w:val="baseline"/>
        <w:rPr>
          <w:rFonts w:ascii="Calibri" w:eastAsia="Times New Roman" w:hAnsi="Calibri" w:cs="Calibri"/>
        </w:rPr>
      </w:pPr>
      <w:r w:rsidRPr="5E4DB3C2">
        <w:rPr>
          <w:rFonts w:ascii="Calibri" w:eastAsia="Times New Roman" w:hAnsi="Calibri" w:cs="Calibri"/>
          <w:b/>
          <w:bCs/>
        </w:rPr>
        <w:t>Figure 6</w:t>
      </w:r>
      <w:r w:rsidR="00B3426A">
        <w:rPr>
          <w:rFonts w:ascii="Calibri" w:eastAsia="Times New Roman" w:hAnsi="Calibri" w:cs="Calibri"/>
          <w:b/>
          <w:bCs/>
        </w:rPr>
        <w:t>3</w:t>
      </w:r>
      <w:r w:rsidRPr="5E4DB3C2">
        <w:rPr>
          <w:rFonts w:ascii="Calibri" w:eastAsia="Times New Roman" w:hAnsi="Calibri" w:cs="Calibri"/>
          <w:b/>
          <w:bCs/>
        </w:rPr>
        <w:t> Falls by deprivation quintile, West Kent HCP</w:t>
      </w:r>
      <w:r w:rsidR="365E4975" w:rsidRPr="740CDBE4">
        <w:rPr>
          <w:rFonts w:ascii="Calibri" w:eastAsia="Times New Roman" w:hAnsi="Calibri" w:cs="Calibri"/>
          <w:b/>
          <w:bCs/>
        </w:rPr>
        <w:t>,</w:t>
      </w:r>
      <w:r w:rsidRPr="5E4DB3C2">
        <w:rPr>
          <w:rFonts w:ascii="Calibri" w:eastAsia="Times New Roman" w:hAnsi="Calibri" w:cs="Calibri"/>
          <w:b/>
          <w:bCs/>
        </w:rPr>
        <w:t xml:space="preserve"> and rest of Kent</w:t>
      </w:r>
      <w:r w:rsidRPr="5E4DB3C2">
        <w:rPr>
          <w:rFonts w:ascii="Calibri" w:eastAsia="Times New Roman" w:hAnsi="Calibri" w:cs="Calibri"/>
        </w:rPr>
        <w:t>  </w:t>
      </w:r>
    </w:p>
    <w:p w14:paraId="38A671F6" w14:textId="200E3E51" w:rsidR="00F03DB8" w:rsidRPr="00310C2F" w:rsidRDefault="00F03DB8" w:rsidP="007A53C2">
      <w:pPr>
        <w:spacing w:after="0" w:line="240" w:lineRule="auto"/>
        <w:textAlignment w:val="baseline"/>
        <w:rPr>
          <w:rFonts w:ascii="Calibri" w:eastAsia="Times New Roman" w:hAnsi="Calibri" w:cs="Calibri"/>
        </w:rPr>
      </w:pPr>
      <w:r>
        <w:rPr>
          <w:noProof/>
        </w:rPr>
        <w:drawing>
          <wp:inline distT="0" distB="0" distL="0" distR="0" wp14:anchorId="681CDB19" wp14:editId="51E85065">
            <wp:extent cx="5731510" cy="2924810"/>
            <wp:effectExtent l="0" t="0" r="2540" b="8890"/>
            <wp:docPr id="27" name="Picture 27" descr="Line graph showing Falls by deprivation quintile, West Kent HCP and rest of Kent. The lines for West Kent are consistently higher and the line for rest of kent least deprived consistently has the lowest rate of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ine graph showing Falls by deprivation quintile, West Kent HCP and rest of Kent. The lines for West Kent are consistently higher and the line for rest of kent least deprived consistently has the lowest rate of falls."/>
                    <pic:cNvPicPr/>
                  </pic:nvPicPr>
                  <pic:blipFill>
                    <a:blip r:embed="rId111">
                      <a:extLst>
                        <a:ext uri="{28A0092B-C50C-407E-A947-70E740481C1C}">
                          <a14:useLocalDpi xmlns:a14="http://schemas.microsoft.com/office/drawing/2010/main" val="0"/>
                        </a:ext>
                      </a:extLst>
                    </a:blip>
                    <a:stretch>
                      <a:fillRect/>
                    </a:stretch>
                  </pic:blipFill>
                  <pic:spPr>
                    <a:xfrm>
                      <a:off x="0" y="0"/>
                      <a:ext cx="5731510" cy="2924810"/>
                    </a:xfrm>
                    <a:prstGeom prst="rect">
                      <a:avLst/>
                    </a:prstGeom>
                  </pic:spPr>
                </pic:pic>
              </a:graphicData>
            </a:graphic>
          </wp:inline>
        </w:drawing>
      </w:r>
    </w:p>
    <w:p w14:paraId="04ACC1FF" w14:textId="2B82D09F" w:rsidR="00F03DB8" w:rsidRPr="00E73B65" w:rsidRDefault="00F03DB8" w:rsidP="007A53C2">
      <w:pPr>
        <w:spacing w:after="0"/>
        <w:textAlignment w:val="baseline"/>
        <w:rPr>
          <w:rFonts w:ascii="Calibri" w:eastAsia="Times New Roman" w:hAnsi="Calibri" w:cs="Calibri"/>
        </w:rPr>
      </w:pPr>
      <w:r w:rsidRPr="32F7F25D">
        <w:rPr>
          <w:rFonts w:ascii="Calibri" w:eastAsia="Times New Roman" w:hAnsi="Calibri" w:cs="Calibri"/>
        </w:rPr>
        <w:t>In figure 6</w:t>
      </w:r>
      <w:r w:rsidR="00B3426A">
        <w:rPr>
          <w:rFonts w:ascii="Calibri" w:eastAsia="Times New Roman" w:hAnsi="Calibri" w:cs="Calibri"/>
        </w:rPr>
        <w:t>4</w:t>
      </w:r>
      <w:r w:rsidRPr="32F7F25D">
        <w:rPr>
          <w:rFonts w:ascii="Calibri" w:eastAsia="Times New Roman" w:hAnsi="Calibri" w:cs="Calibri"/>
        </w:rPr>
        <w:t xml:space="preserve">, </w:t>
      </w:r>
      <w:r w:rsidR="00CB0A52" w:rsidRPr="5E4DB3C2">
        <w:rPr>
          <w:rFonts w:ascii="Calibri" w:eastAsia="Times New Roman" w:hAnsi="Calibri" w:cs="Calibri"/>
        </w:rPr>
        <w:t xml:space="preserve">Projecting Older People Population Information </w:t>
      </w:r>
      <w:r w:rsidR="00B10E7E" w:rsidRPr="5E4DB3C2">
        <w:rPr>
          <w:rFonts w:ascii="Calibri" w:eastAsia="Times New Roman" w:hAnsi="Calibri" w:cs="Calibri"/>
        </w:rPr>
        <w:t>System</w:t>
      </w:r>
      <w:r w:rsidR="00B10E7E" w:rsidRPr="32F7F25D">
        <w:rPr>
          <w:rFonts w:ascii="Calibri" w:eastAsia="Times New Roman" w:hAnsi="Calibri" w:cs="Calibri"/>
        </w:rPr>
        <w:t xml:space="preserve"> </w:t>
      </w:r>
      <w:r w:rsidR="00B10E7E">
        <w:rPr>
          <w:rFonts w:ascii="Calibri" w:eastAsia="Times New Roman" w:hAnsi="Calibri" w:cs="Calibri"/>
        </w:rPr>
        <w:t>(</w:t>
      </w:r>
      <w:r w:rsidRPr="32F7F25D">
        <w:rPr>
          <w:rFonts w:ascii="Calibri" w:eastAsia="Times New Roman" w:hAnsi="Calibri" w:cs="Calibri"/>
        </w:rPr>
        <w:t>POPPI</w:t>
      </w:r>
      <w:r w:rsidR="00CB0A52">
        <w:rPr>
          <w:rFonts w:ascii="Calibri" w:eastAsia="Times New Roman" w:hAnsi="Calibri" w:cs="Calibri"/>
        </w:rPr>
        <w:t>)</w:t>
      </w:r>
      <w:r w:rsidRPr="32F7F25D">
        <w:rPr>
          <w:rFonts w:ascii="Calibri" w:eastAsia="Times New Roman" w:hAnsi="Calibri" w:cs="Calibri"/>
        </w:rPr>
        <w:t xml:space="preserve"> shows the predicted number of elderly people expected to have a fall within West Kent, rising by &gt;40,000 in 2040. Of this Figure 6</w:t>
      </w:r>
      <w:r w:rsidR="00844B52">
        <w:rPr>
          <w:rFonts w:ascii="Calibri" w:eastAsia="Times New Roman" w:hAnsi="Calibri" w:cs="Calibri"/>
        </w:rPr>
        <w:t>6</w:t>
      </w:r>
      <w:r w:rsidRPr="32F7F25D">
        <w:rPr>
          <w:rFonts w:ascii="Calibri" w:eastAsia="Times New Roman" w:hAnsi="Calibri" w:cs="Calibri"/>
        </w:rPr>
        <w:t xml:space="preserve"> shows the annual number to be admitted to hospital following a fall within West Kent to almost double by 2040, to 5389. These projections have been modelled on current trends in population growth and falls occurring in this age group and demonstrates what the population will look like if recent trend continues.</w:t>
      </w:r>
      <w:r w:rsidRPr="32F7F25D">
        <w:rPr>
          <w:rFonts w:ascii="Calibri" w:eastAsia="Times New Roman" w:hAnsi="Calibri" w:cs="Calibri"/>
          <w:i/>
          <w:iCs/>
        </w:rPr>
        <w:t> </w:t>
      </w:r>
      <w:r w:rsidRPr="32F7F25D">
        <w:rPr>
          <w:rFonts w:ascii="Calibri" w:eastAsia="Times New Roman" w:hAnsi="Calibri" w:cs="Calibri"/>
        </w:rPr>
        <w:t>  </w:t>
      </w:r>
    </w:p>
    <w:p w14:paraId="729AFDE5" w14:textId="7AAB28F7" w:rsidR="00F03DB8" w:rsidRDefault="00F03DB8" w:rsidP="007A53C2">
      <w:pPr>
        <w:spacing w:after="0" w:line="240" w:lineRule="auto"/>
        <w:rPr>
          <w:rFonts w:ascii="Calibri" w:eastAsia="Times New Roman" w:hAnsi="Calibri" w:cs="Calibri"/>
        </w:rPr>
      </w:pPr>
      <w:r w:rsidRPr="5E4DB3C2">
        <w:rPr>
          <w:rFonts w:ascii="Calibri" w:eastAsia="Times New Roman" w:hAnsi="Calibri" w:cs="Calibri"/>
          <w:b/>
          <w:bCs/>
        </w:rPr>
        <w:t>Figure 6</w:t>
      </w:r>
      <w:r w:rsidR="00B3426A">
        <w:rPr>
          <w:rFonts w:ascii="Calibri" w:eastAsia="Times New Roman" w:hAnsi="Calibri" w:cs="Calibri"/>
          <w:b/>
          <w:bCs/>
        </w:rPr>
        <w:t>4</w:t>
      </w:r>
      <w:r w:rsidRPr="5E4DB3C2">
        <w:rPr>
          <w:rFonts w:ascii="Calibri" w:eastAsia="Times New Roman" w:hAnsi="Calibri" w:cs="Calibri"/>
          <w:b/>
          <w:bCs/>
        </w:rPr>
        <w:t xml:space="preserve"> Total population aged 65 and over predicted numbers of falls for West </w:t>
      </w:r>
      <w:r w:rsidR="00FA57C8" w:rsidRPr="5E4DB3C2">
        <w:rPr>
          <w:rFonts w:ascii="Calibri" w:eastAsia="Times New Roman" w:hAnsi="Calibri" w:cs="Calibri"/>
          <w:b/>
          <w:bCs/>
        </w:rPr>
        <w:t>Kent Source</w:t>
      </w:r>
      <w:r w:rsidR="00061D28">
        <w:rPr>
          <w:rFonts w:ascii="Calibri" w:eastAsia="Times New Roman" w:hAnsi="Calibri" w:cs="Calibri"/>
        </w:rPr>
        <w:t>: P</w:t>
      </w:r>
      <w:r w:rsidR="00CB0A52">
        <w:rPr>
          <w:rFonts w:ascii="Calibri" w:eastAsia="Times New Roman" w:hAnsi="Calibri" w:cs="Calibri"/>
        </w:rPr>
        <w:t>OPPI</w:t>
      </w:r>
      <w:r w:rsidRPr="5E4DB3C2">
        <w:rPr>
          <w:rFonts w:ascii="Calibri" w:eastAsia="Times New Roman" w:hAnsi="Calibri" w:cs="Calibri"/>
        </w:rPr>
        <w:t> </w:t>
      </w:r>
    </w:p>
    <w:p w14:paraId="299BAB2B" w14:textId="2CB5D39B" w:rsidR="00F03DB8" w:rsidRPr="00E73B65" w:rsidRDefault="00F03DB8" w:rsidP="007A53C2">
      <w:pPr>
        <w:spacing w:after="0" w:line="240" w:lineRule="auto"/>
        <w:textAlignment w:val="baseline"/>
        <w:rPr>
          <w:rFonts w:ascii="Calibri" w:eastAsia="Times New Roman" w:hAnsi="Calibri" w:cs="Calibri"/>
        </w:rPr>
      </w:pPr>
      <w:r>
        <w:rPr>
          <w:noProof/>
        </w:rPr>
        <w:drawing>
          <wp:inline distT="0" distB="0" distL="0" distR="0" wp14:anchorId="5B461610" wp14:editId="6421D91C">
            <wp:extent cx="4826204" cy="2971800"/>
            <wp:effectExtent l="0" t="0" r="0" b="0"/>
            <wp:docPr id="28" name="Picture 28" descr="A line graph showing Total population aged 65 and over predicted numbers of falls for West Kent. Between 2020 and 2040 the line increases from 108600 to 15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line graph showing Total population aged 65 and over predicted numbers of falls for West Kent. Between 2020 and 2040 the line increases from 108600 to 151100."/>
                    <pic:cNvPicPr/>
                  </pic:nvPicPr>
                  <pic:blipFill>
                    <a:blip r:embed="rId112">
                      <a:extLst>
                        <a:ext uri="{28A0092B-C50C-407E-A947-70E740481C1C}">
                          <a14:useLocalDpi xmlns:a14="http://schemas.microsoft.com/office/drawing/2010/main" val="0"/>
                        </a:ext>
                      </a:extLst>
                    </a:blip>
                    <a:stretch>
                      <a:fillRect/>
                    </a:stretch>
                  </pic:blipFill>
                  <pic:spPr>
                    <a:xfrm>
                      <a:off x="0" y="0"/>
                      <a:ext cx="4841143" cy="2980999"/>
                    </a:xfrm>
                    <a:prstGeom prst="rect">
                      <a:avLst/>
                    </a:prstGeom>
                  </pic:spPr>
                </pic:pic>
              </a:graphicData>
            </a:graphic>
          </wp:inline>
        </w:drawing>
      </w:r>
      <w:r w:rsidRPr="5E4DB3C2">
        <w:rPr>
          <w:rFonts w:ascii="Calibri" w:eastAsia="Times New Roman" w:hAnsi="Calibri" w:cs="Calibri"/>
        </w:rPr>
        <w:t> </w:t>
      </w:r>
    </w:p>
    <w:p w14:paraId="54025E19" w14:textId="3969C7AB" w:rsidR="00F03DB8" w:rsidRPr="00E73B65" w:rsidRDefault="00F03DB8" w:rsidP="00A61537">
      <w:pPr>
        <w:spacing w:after="0" w:line="240" w:lineRule="auto"/>
        <w:rPr>
          <w:rFonts w:ascii="Calibri" w:eastAsia="Times New Roman" w:hAnsi="Calibri" w:cs="Calibri"/>
        </w:rPr>
      </w:pPr>
      <w:r w:rsidRPr="5E4DB3C2">
        <w:rPr>
          <w:rFonts w:ascii="Calibri" w:eastAsia="Times New Roman" w:hAnsi="Calibri" w:cs="Calibri"/>
          <w:b/>
          <w:bCs/>
        </w:rPr>
        <w:lastRenderedPageBreak/>
        <w:t>Figure 6</w:t>
      </w:r>
      <w:r w:rsidR="00B3426A">
        <w:rPr>
          <w:rFonts w:ascii="Calibri" w:eastAsia="Times New Roman" w:hAnsi="Calibri" w:cs="Calibri"/>
          <w:b/>
          <w:bCs/>
        </w:rPr>
        <w:t>5</w:t>
      </w:r>
      <w:r w:rsidRPr="5E4DB3C2">
        <w:rPr>
          <w:rFonts w:ascii="Calibri" w:eastAsia="Times New Roman" w:hAnsi="Calibri" w:cs="Calibri"/>
          <w:b/>
          <w:bCs/>
        </w:rPr>
        <w:t xml:space="preserve"> Total population aged 65+ predicted numbers of hospital admissions due to falls for West Kent</w:t>
      </w:r>
      <w:r w:rsidR="00B65CF8">
        <w:rPr>
          <w:rFonts w:ascii="Calibri" w:eastAsia="Times New Roman" w:hAnsi="Calibri" w:cs="Calibri"/>
        </w:rPr>
        <w:t xml:space="preserve">. </w:t>
      </w:r>
      <w:r w:rsidR="00B65CF8" w:rsidRPr="5E4DB3C2">
        <w:rPr>
          <w:rFonts w:ascii="Calibri" w:eastAsia="Times New Roman" w:hAnsi="Calibri" w:cs="Calibri"/>
        </w:rPr>
        <w:t xml:space="preserve">Source: </w:t>
      </w:r>
      <w:r w:rsidR="00CB0A52">
        <w:rPr>
          <w:rFonts w:ascii="Calibri" w:eastAsia="Times New Roman" w:hAnsi="Calibri" w:cs="Calibri"/>
        </w:rPr>
        <w:t>POPPI</w:t>
      </w:r>
    </w:p>
    <w:p w14:paraId="0477CE74" w14:textId="6C81A33B" w:rsidR="00F03DB8" w:rsidRPr="00310C2F" w:rsidRDefault="00F03DB8" w:rsidP="007A53C2">
      <w:pPr>
        <w:spacing w:after="0" w:line="240" w:lineRule="auto"/>
        <w:textAlignment w:val="baseline"/>
        <w:rPr>
          <w:rFonts w:ascii="Calibri" w:eastAsia="Times New Roman" w:hAnsi="Calibri" w:cs="Calibri"/>
        </w:rPr>
      </w:pPr>
      <w:r>
        <w:rPr>
          <w:noProof/>
        </w:rPr>
        <w:drawing>
          <wp:inline distT="0" distB="0" distL="0" distR="0" wp14:anchorId="09EC6C31" wp14:editId="3EF86D51">
            <wp:extent cx="4244196" cy="2618310"/>
            <wp:effectExtent l="0" t="0" r="4445" b="0"/>
            <wp:docPr id="29" name="Picture 29" descr="A line graph showing Total population aged 65+ predicted numbers of hospital admissions due to falls for West Kent. Between 2020 and 2040 the line increases from 3539 to 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line graph showing Total population aged 65+ predicted numbers of hospital admissions due to falls for West Kent. Between 2020 and 2040 the line increases from 3539 to 5389."/>
                    <pic:cNvPicPr/>
                  </pic:nvPicPr>
                  <pic:blipFill>
                    <a:blip r:embed="rId113">
                      <a:extLst>
                        <a:ext uri="{28A0092B-C50C-407E-A947-70E740481C1C}">
                          <a14:useLocalDpi xmlns:a14="http://schemas.microsoft.com/office/drawing/2010/main" val="0"/>
                        </a:ext>
                      </a:extLst>
                    </a:blip>
                    <a:stretch>
                      <a:fillRect/>
                    </a:stretch>
                  </pic:blipFill>
                  <pic:spPr>
                    <a:xfrm>
                      <a:off x="0" y="0"/>
                      <a:ext cx="4264084" cy="2630579"/>
                    </a:xfrm>
                    <a:prstGeom prst="rect">
                      <a:avLst/>
                    </a:prstGeom>
                  </pic:spPr>
                </pic:pic>
              </a:graphicData>
            </a:graphic>
          </wp:inline>
        </w:drawing>
      </w:r>
      <w:r w:rsidRPr="5E4DB3C2">
        <w:rPr>
          <w:rFonts w:ascii="Calibri" w:eastAsia="Times New Roman" w:hAnsi="Calibri" w:cs="Calibri"/>
        </w:rPr>
        <w:t> </w:t>
      </w:r>
      <w:r w:rsidRPr="00E73B65">
        <w:rPr>
          <w:rFonts w:ascii="Calibri" w:eastAsia="Times New Roman" w:hAnsi="Calibri" w:cs="Calibri"/>
        </w:rPr>
        <w:t>  </w:t>
      </w:r>
      <w:r w:rsidRPr="00E73B65">
        <w:rPr>
          <w:rFonts w:ascii="Calibri" w:eastAsia="Times New Roman" w:hAnsi="Calibri" w:cs="Calibri"/>
          <w:b/>
          <w:bCs/>
        </w:rPr>
        <w:t> </w:t>
      </w:r>
    </w:p>
    <w:p w14:paraId="12120CB0" w14:textId="4D10033B" w:rsidR="00F03DB8" w:rsidRDefault="00F03DB8" w:rsidP="007A53C2">
      <w:pPr>
        <w:spacing w:after="0"/>
        <w:textAlignment w:val="baseline"/>
        <w:rPr>
          <w:rFonts w:ascii="Calibri" w:eastAsia="Times New Roman" w:hAnsi="Calibri" w:cs="Calibri"/>
        </w:rPr>
      </w:pPr>
      <w:r w:rsidRPr="5E4DB3C2">
        <w:rPr>
          <w:rFonts w:ascii="Calibri" w:eastAsia="Times New Roman" w:hAnsi="Calibri" w:cs="Calibri"/>
        </w:rPr>
        <w:t xml:space="preserve">In West Kent, 1,781 people were registered as having osteoporosis on </w:t>
      </w:r>
      <w:r w:rsidR="00106728">
        <w:rPr>
          <w:rFonts w:ascii="Calibri" w:eastAsia="Times New Roman" w:hAnsi="Calibri" w:cs="Calibri"/>
        </w:rPr>
        <w:t xml:space="preserve">the </w:t>
      </w:r>
      <w:bookmarkStart w:id="94" w:name="_Int_RUpe8xZd"/>
      <w:r w:rsidRPr="5E4DB3C2">
        <w:rPr>
          <w:rFonts w:ascii="Calibri" w:eastAsia="Times New Roman" w:hAnsi="Calibri" w:cs="Calibri"/>
        </w:rPr>
        <w:t>QOF</w:t>
      </w:r>
      <w:bookmarkEnd w:id="94"/>
      <w:r w:rsidRPr="5E4DB3C2">
        <w:rPr>
          <w:rFonts w:ascii="Calibri" w:eastAsia="Times New Roman" w:hAnsi="Calibri" w:cs="Calibri"/>
        </w:rPr>
        <w:t xml:space="preserve"> (Quality </w:t>
      </w:r>
      <w:r w:rsidR="00106728">
        <w:rPr>
          <w:rFonts w:ascii="Calibri" w:eastAsia="Times New Roman" w:hAnsi="Calibri" w:cs="Calibri"/>
        </w:rPr>
        <w:t xml:space="preserve">&amp; </w:t>
      </w:r>
      <w:r w:rsidRPr="5E4DB3C2">
        <w:rPr>
          <w:rFonts w:ascii="Calibri" w:eastAsia="Times New Roman" w:hAnsi="Calibri" w:cs="Calibri"/>
        </w:rPr>
        <w:t>Outcomes Framework), accounting for 3.4% of the population aged over 50</w:t>
      </w:r>
      <w:r w:rsidR="00106728">
        <w:rPr>
          <w:rFonts w:ascii="Calibri" w:eastAsia="Times New Roman" w:hAnsi="Calibri" w:cs="Calibri"/>
        </w:rPr>
        <w:t>,</w:t>
      </w:r>
      <w:r w:rsidRPr="5E4DB3C2">
        <w:rPr>
          <w:rFonts w:ascii="Calibri" w:eastAsia="Times New Roman" w:hAnsi="Calibri" w:cs="Calibri"/>
        </w:rPr>
        <w:t xml:space="preserve"> of which Tunbridge Wells district shows significantly increasing trend compared to other districts in West Kent (Figure 6</w:t>
      </w:r>
      <w:r w:rsidR="00B3426A">
        <w:rPr>
          <w:rFonts w:ascii="Calibri" w:eastAsia="Times New Roman" w:hAnsi="Calibri" w:cs="Calibri"/>
        </w:rPr>
        <w:t>6</w:t>
      </w:r>
      <w:r w:rsidRPr="5E4DB3C2">
        <w:rPr>
          <w:rFonts w:ascii="Calibri" w:eastAsia="Times New Roman" w:hAnsi="Calibri" w:cs="Calibri"/>
        </w:rPr>
        <w:t>).</w:t>
      </w:r>
    </w:p>
    <w:p w14:paraId="597D7449" w14:textId="211095A0" w:rsidR="00F03DB8" w:rsidRDefault="00F03DB8" w:rsidP="007A53C2">
      <w:pPr>
        <w:spacing w:after="0" w:line="240" w:lineRule="auto"/>
        <w:textAlignment w:val="baseline"/>
        <w:rPr>
          <w:rFonts w:ascii="Calibri" w:eastAsia="Times New Roman" w:hAnsi="Calibri" w:cs="Calibri"/>
        </w:rPr>
      </w:pPr>
      <w:r w:rsidRPr="5E4DB3C2">
        <w:rPr>
          <w:rFonts w:ascii="Calibri" w:eastAsia="Times New Roman" w:hAnsi="Calibri" w:cs="Calibri"/>
          <w:b/>
          <w:bCs/>
        </w:rPr>
        <w:t>Figure 6</w:t>
      </w:r>
      <w:r w:rsidR="00B3426A">
        <w:rPr>
          <w:rFonts w:ascii="Calibri" w:eastAsia="Times New Roman" w:hAnsi="Calibri" w:cs="Calibri"/>
          <w:b/>
          <w:bCs/>
        </w:rPr>
        <w:t>6</w:t>
      </w:r>
      <w:r w:rsidRPr="5E4DB3C2">
        <w:rPr>
          <w:rFonts w:ascii="Calibri" w:eastAsia="Times New Roman" w:hAnsi="Calibri" w:cs="Calibri"/>
          <w:b/>
          <w:bCs/>
        </w:rPr>
        <w:t xml:space="preserve"> Osteoporosis: QOF prevalence (50+), West Kent</w:t>
      </w:r>
      <w:r w:rsidR="007A53C2">
        <w:rPr>
          <w:rFonts w:ascii="Calibri" w:eastAsia="Times New Roman" w:hAnsi="Calibri" w:cs="Calibri"/>
          <w:b/>
          <w:bCs/>
        </w:rPr>
        <w:t xml:space="preserve"> 2012/13 to 2020/21</w:t>
      </w:r>
      <w:r w:rsidR="00B65CF8">
        <w:rPr>
          <w:rFonts w:ascii="Calibri" w:eastAsia="Times New Roman" w:hAnsi="Calibri" w:cs="Calibri"/>
          <w:b/>
          <w:bCs/>
        </w:rPr>
        <w:t xml:space="preserve">. </w:t>
      </w:r>
      <w:r w:rsidR="00B65CF8" w:rsidRPr="00B65CF8">
        <w:rPr>
          <w:rFonts w:ascii="Calibri" w:eastAsia="Times New Roman" w:hAnsi="Calibri" w:cs="Calibri"/>
          <w:color w:val="000000"/>
          <w:shd w:val="clear" w:color="auto" w:fill="FFFFFF"/>
        </w:rPr>
        <w:t>Source: PHOF data</w:t>
      </w:r>
      <w:r w:rsidR="00B65CF8" w:rsidRPr="00B65CF8">
        <w:rPr>
          <w:rFonts w:ascii="Calibri" w:eastAsia="Times New Roman" w:hAnsi="Calibri" w:cs="Calibri"/>
          <w:color w:val="000000"/>
        </w:rPr>
        <w:t> </w:t>
      </w:r>
    </w:p>
    <w:p w14:paraId="48F80A8A" w14:textId="77777777" w:rsidR="00A61537" w:rsidRDefault="00F03DB8" w:rsidP="007A53C2">
      <w:pPr>
        <w:spacing w:after="0" w:line="240" w:lineRule="auto"/>
        <w:textAlignment w:val="baseline"/>
      </w:pPr>
      <w:r>
        <w:rPr>
          <w:noProof/>
        </w:rPr>
        <w:drawing>
          <wp:inline distT="0" distB="0" distL="0" distR="0" wp14:anchorId="546FAB33" wp14:editId="5284EFBC">
            <wp:extent cx="5305425" cy="3940568"/>
            <wp:effectExtent l="0" t="0" r="0" b="3175"/>
            <wp:docPr id="30" name="Picture 30" descr="4 line graphs showing Osteoporosis prevalence in those aged 50+ in Sevenoaks, Maidstone, Tonbridge and Malling and Tunbridge Wells. They largely look similar to the England figures with a gradual increase however Tunbridge Wells is much higher than the oth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4 line graphs showing Osteoporosis prevalence in those aged 50+ in Sevenoaks, Maidstone, Tonbridge and Malling and Tunbridge Wells. They largely look similar to the England figures with a gradual increase however Tunbridge Wells is much higher than the others. "/>
                    <pic:cNvPicPr/>
                  </pic:nvPicPr>
                  <pic:blipFill>
                    <a:blip r:embed="rId114">
                      <a:extLst>
                        <a:ext uri="{28A0092B-C50C-407E-A947-70E740481C1C}">
                          <a14:useLocalDpi xmlns:a14="http://schemas.microsoft.com/office/drawing/2010/main" val="0"/>
                        </a:ext>
                      </a:extLst>
                    </a:blip>
                    <a:stretch>
                      <a:fillRect/>
                    </a:stretch>
                  </pic:blipFill>
                  <pic:spPr>
                    <a:xfrm>
                      <a:off x="0" y="0"/>
                      <a:ext cx="5329270" cy="3958279"/>
                    </a:xfrm>
                    <a:prstGeom prst="rect">
                      <a:avLst/>
                    </a:prstGeom>
                  </pic:spPr>
                </pic:pic>
              </a:graphicData>
            </a:graphic>
          </wp:inline>
        </w:drawing>
      </w:r>
      <w:r>
        <w:br/>
      </w:r>
    </w:p>
    <w:p w14:paraId="4D33356A" w14:textId="6AC2A9C6" w:rsidR="00F03DB8" w:rsidRPr="00F00597" w:rsidRDefault="00F03DB8" w:rsidP="007A53C2">
      <w:pPr>
        <w:spacing w:after="0" w:line="240" w:lineRule="auto"/>
        <w:textAlignment w:val="baseline"/>
      </w:pPr>
      <w:r>
        <w:lastRenderedPageBreak/>
        <w:t>Greater analysis is needed to understand the variation in osteoporosis QOF recording rates to understand detection/treatment gaps and identify areas for improvement.  This should link into the wider falls prevention work that is ongoing in West Kent.</w:t>
      </w:r>
    </w:p>
    <w:p w14:paraId="2CBFC86A" w14:textId="0AE5FADB" w:rsidR="00F03DB8" w:rsidRPr="00F00597" w:rsidRDefault="00F03DB8" w:rsidP="007A53C2">
      <w:pPr>
        <w:pStyle w:val="Heading2"/>
        <w:rPr>
          <w:rFonts w:eastAsia="Times New Roman"/>
        </w:rPr>
      </w:pPr>
      <w:bookmarkStart w:id="95" w:name="_Toc128133827"/>
      <w:r w:rsidRPr="5E4DB3C2">
        <w:rPr>
          <w:rFonts w:eastAsia="Times New Roman"/>
        </w:rPr>
        <w:t>Services in West Kent for Falls Prevention</w:t>
      </w:r>
      <w:bookmarkEnd w:id="95"/>
    </w:p>
    <w:p w14:paraId="54784E8B" w14:textId="68CF50FC" w:rsidR="00F03DB8" w:rsidRPr="00E73B65" w:rsidRDefault="00F03DB8" w:rsidP="007A53C2">
      <w:pPr>
        <w:spacing w:after="0" w:line="240" w:lineRule="auto"/>
        <w:textAlignment w:val="baseline"/>
        <w:rPr>
          <w:rFonts w:ascii="Calibri" w:eastAsia="Times New Roman" w:hAnsi="Calibri" w:cs="Calibri"/>
          <w:b/>
          <w:bCs/>
        </w:rPr>
      </w:pPr>
      <w:r w:rsidRPr="5E4DB3C2">
        <w:rPr>
          <w:rFonts w:ascii="Calibri" w:eastAsia="Times New Roman" w:hAnsi="Calibri" w:cs="Calibri"/>
          <w:b/>
          <w:bCs/>
        </w:rPr>
        <w:t>Postural stability classes</w:t>
      </w:r>
    </w:p>
    <w:p w14:paraId="4BCDAD92" w14:textId="0BD19B41" w:rsidR="00F03DB8" w:rsidRPr="00E73B65" w:rsidRDefault="00F03DB8" w:rsidP="007A53C2">
      <w:pPr>
        <w:spacing w:after="0"/>
        <w:textAlignment w:val="baseline"/>
        <w:rPr>
          <w:rFonts w:ascii="Calibri" w:eastAsia="Times New Roman" w:hAnsi="Calibri" w:cs="Calibri"/>
        </w:rPr>
      </w:pPr>
      <w:r w:rsidRPr="5E4DB3C2">
        <w:rPr>
          <w:rFonts w:ascii="Calibri" w:eastAsia="Times New Roman" w:hAnsi="Calibri" w:cs="Calibri"/>
        </w:rPr>
        <w:t xml:space="preserve">Kent County Council commissions both Kent Community Health Trust and Involve Kent to provide fall prevention classes to people who are at risk of or have a history of falling. The exercise classes are designed for people who find that their balance is worsening and are suitable for those with a personal or family history of osteoporosis. </w:t>
      </w:r>
      <w:hyperlink r:id="rId115">
        <w:proofErr w:type="spellStart"/>
        <w:r w:rsidRPr="5E4DB3C2">
          <w:rPr>
            <w:rFonts w:ascii="Calibri" w:eastAsia="Times New Roman" w:hAnsi="Calibri" w:cs="Calibri"/>
            <w:color w:val="0000FF"/>
            <w:u w:val="single"/>
          </w:rPr>
          <w:t>Involve’s</w:t>
        </w:r>
        <w:proofErr w:type="spellEnd"/>
        <w:r w:rsidRPr="5E4DB3C2">
          <w:rPr>
            <w:rFonts w:ascii="Calibri" w:eastAsia="Times New Roman" w:hAnsi="Calibri" w:cs="Calibri"/>
            <w:color w:val="0000FF"/>
            <w:u w:val="single"/>
          </w:rPr>
          <w:t xml:space="preserve"> Postural Stability classes</w:t>
        </w:r>
      </w:hyperlink>
      <w:r w:rsidRPr="5E4DB3C2">
        <w:rPr>
          <w:rFonts w:ascii="Calibri" w:eastAsia="Times New Roman" w:hAnsi="Calibri" w:cs="Calibri"/>
        </w:rPr>
        <w:t xml:space="preserve"> are accessible to people living in West Kent and are suitable for those struggling with balance and confidence in balance. This may include patients who have suffered from a stroke or a fall, general stability maintenance and those who are concerned about falls. Involve Postural Stability classes currently have eight programmes running within the West Kent area. Involve have stated that waiting lists are growing daily and the time between referral and placement on a class is increasing (up to 6 months).</w:t>
      </w:r>
    </w:p>
    <w:p w14:paraId="2C888E56" w14:textId="4B6CF143" w:rsidR="00F03DB8" w:rsidRPr="00E73B65" w:rsidRDefault="00F03DB8" w:rsidP="007A53C2">
      <w:pPr>
        <w:spacing w:after="0" w:line="240" w:lineRule="auto"/>
        <w:textAlignment w:val="baseline"/>
        <w:rPr>
          <w:rFonts w:ascii="Calibri" w:eastAsia="Times New Roman" w:hAnsi="Calibri" w:cs="Calibri"/>
          <w:b/>
          <w:bCs/>
          <w:sz w:val="20"/>
          <w:szCs w:val="20"/>
        </w:rPr>
      </w:pPr>
      <w:r w:rsidRPr="5E4DB3C2">
        <w:rPr>
          <w:rFonts w:ascii="Calibri" w:eastAsia="Times New Roman" w:hAnsi="Calibri" w:cs="Calibri"/>
          <w:b/>
          <w:bCs/>
        </w:rPr>
        <w:t>West Kent Falls Prevention Service</w:t>
      </w:r>
    </w:p>
    <w:p w14:paraId="7BC2299F" w14:textId="1A1F5400" w:rsidR="00F03DB8" w:rsidRPr="00E73B65" w:rsidRDefault="00F03DB8" w:rsidP="007A53C2">
      <w:pPr>
        <w:spacing w:after="0" w:line="240" w:lineRule="auto"/>
        <w:textAlignment w:val="baseline"/>
        <w:rPr>
          <w:rFonts w:ascii="Calibri" w:eastAsia="Times New Roman" w:hAnsi="Calibri" w:cs="Calibri"/>
        </w:rPr>
      </w:pPr>
      <w:r w:rsidRPr="5E4DB3C2">
        <w:rPr>
          <w:rFonts w:ascii="Calibri" w:eastAsia="Times New Roman" w:hAnsi="Calibri" w:cs="Calibri"/>
        </w:rPr>
        <w:t>This service includes consultants, occupational therapists, physiotherapists</w:t>
      </w:r>
      <w:r w:rsidR="28384A37" w:rsidRPr="740CDBE4">
        <w:rPr>
          <w:rFonts w:ascii="Calibri" w:eastAsia="Times New Roman" w:hAnsi="Calibri" w:cs="Calibri"/>
        </w:rPr>
        <w:t>,</w:t>
      </w:r>
      <w:r w:rsidRPr="5E4DB3C2">
        <w:rPr>
          <w:rFonts w:ascii="Calibri" w:eastAsia="Times New Roman" w:hAnsi="Calibri" w:cs="Calibri"/>
        </w:rPr>
        <w:t xml:space="preserve"> and therapy assistants to provide a holistic assessment of falls risk factors, including physical, environmental</w:t>
      </w:r>
      <w:r w:rsidR="2E14D142" w:rsidRPr="740CDBE4">
        <w:rPr>
          <w:rFonts w:ascii="Calibri" w:eastAsia="Times New Roman" w:hAnsi="Calibri" w:cs="Calibri"/>
        </w:rPr>
        <w:t>,</w:t>
      </w:r>
      <w:r w:rsidRPr="5E4DB3C2">
        <w:rPr>
          <w:rFonts w:ascii="Calibri" w:eastAsia="Times New Roman" w:hAnsi="Calibri" w:cs="Calibri"/>
        </w:rPr>
        <w:t xml:space="preserve"> and medical factors. </w:t>
      </w:r>
    </w:p>
    <w:p w14:paraId="62C3B7FD" w14:textId="7978A4A1" w:rsidR="00F03DB8" w:rsidRPr="00E73B65" w:rsidRDefault="00F03DB8" w:rsidP="007A53C2">
      <w:pPr>
        <w:spacing w:after="0" w:line="240" w:lineRule="auto"/>
        <w:textAlignment w:val="baseline"/>
        <w:rPr>
          <w:rFonts w:ascii="Segoe UI" w:eastAsia="Times New Roman" w:hAnsi="Segoe UI" w:cs="Segoe UI"/>
          <w:b/>
          <w:bCs/>
          <w:sz w:val="18"/>
          <w:szCs w:val="18"/>
        </w:rPr>
      </w:pPr>
      <w:r w:rsidRPr="5E4DB3C2">
        <w:rPr>
          <w:rFonts w:ascii="Calibri" w:eastAsia="Times New Roman" w:hAnsi="Calibri" w:cs="Calibri"/>
          <w:b/>
          <w:bCs/>
        </w:rPr>
        <w:t>Occupational Therapy Assessment</w:t>
      </w:r>
    </w:p>
    <w:p w14:paraId="1ACA80F9" w14:textId="1D6311B1" w:rsidR="00F03DB8" w:rsidRPr="00E73B65" w:rsidRDefault="00F03DB8" w:rsidP="007A53C2">
      <w:pPr>
        <w:spacing w:after="0"/>
        <w:textAlignment w:val="baseline"/>
        <w:rPr>
          <w:rFonts w:ascii="Calibri" w:eastAsia="Times New Roman" w:hAnsi="Calibri" w:cs="Calibri"/>
        </w:rPr>
      </w:pPr>
      <w:r w:rsidRPr="00E73B65">
        <w:rPr>
          <w:rFonts w:ascii="Calibri" w:eastAsia="Times New Roman" w:hAnsi="Calibri" w:cs="Calibri"/>
        </w:rPr>
        <w:t xml:space="preserve">West Kent have designated occupational therapists (OT) that can prevent or reduce the risk of injury post falls.  The majority of social care OT is aimed at prevention and/or reducing the risk of injury post falls. </w:t>
      </w:r>
    </w:p>
    <w:p w14:paraId="65C29191" w14:textId="786C32E0" w:rsidR="00F03DB8" w:rsidRPr="00E73B65" w:rsidRDefault="00F03DB8" w:rsidP="007A53C2">
      <w:pPr>
        <w:spacing w:after="0" w:line="240" w:lineRule="auto"/>
        <w:textAlignment w:val="baseline"/>
        <w:rPr>
          <w:rFonts w:ascii="Calibri" w:eastAsia="Times New Roman" w:hAnsi="Calibri" w:cs="Calibri"/>
          <w:b/>
          <w:bCs/>
          <w:sz w:val="20"/>
          <w:szCs w:val="20"/>
        </w:rPr>
      </w:pPr>
      <w:r w:rsidRPr="5E4DB3C2">
        <w:rPr>
          <w:rFonts w:ascii="Calibri" w:eastAsia="Times New Roman" w:hAnsi="Calibri" w:cs="Calibri"/>
          <w:b/>
          <w:bCs/>
        </w:rPr>
        <w:t>Urgent Care Team</w:t>
      </w:r>
    </w:p>
    <w:p w14:paraId="5755DEA0" w14:textId="0026EDB6" w:rsidR="00F03DB8" w:rsidRPr="007A53C2" w:rsidRDefault="00F03DB8" w:rsidP="007A53C2">
      <w:pPr>
        <w:spacing w:after="0"/>
        <w:textAlignment w:val="baseline"/>
        <w:rPr>
          <w:rFonts w:ascii="Calibri" w:eastAsia="Times New Roman" w:hAnsi="Calibri" w:cs="Calibri"/>
        </w:rPr>
      </w:pPr>
      <w:r w:rsidRPr="5E4DB3C2">
        <w:rPr>
          <w:rFonts w:ascii="Calibri" w:eastAsia="Times New Roman" w:hAnsi="Calibri" w:cs="Calibri"/>
        </w:rPr>
        <w:t xml:space="preserve">The Urgent Care Team is a nurse led service in West Kent, available 24 hours a day, every day of the year. The service aims </w:t>
      </w:r>
      <w:bookmarkStart w:id="96" w:name="_Int_whWCifxN"/>
      <w:r w:rsidRPr="5E4DB3C2">
        <w:rPr>
          <w:rFonts w:ascii="Calibri" w:eastAsia="Times New Roman" w:hAnsi="Calibri" w:cs="Calibri"/>
        </w:rPr>
        <w:t>to:</w:t>
      </w:r>
      <w:bookmarkEnd w:id="96"/>
      <w:r w:rsidRPr="5E4DB3C2">
        <w:rPr>
          <w:rFonts w:ascii="Calibri" w:eastAsia="Times New Roman" w:hAnsi="Calibri" w:cs="Calibri"/>
        </w:rPr>
        <w:t xml:space="preserve"> avoid unnecessary hospital admissions; support hospital discharges; and provide unscheduled nursing care out of hours, including management for patients at the end of life.</w:t>
      </w:r>
    </w:p>
    <w:p w14:paraId="144A8C40" w14:textId="791E062B" w:rsidR="00F03DB8" w:rsidRPr="00E73B65" w:rsidRDefault="00F03DB8" w:rsidP="007A53C2">
      <w:pPr>
        <w:spacing w:after="0" w:line="240" w:lineRule="auto"/>
        <w:textAlignment w:val="baseline"/>
        <w:rPr>
          <w:rFonts w:ascii="Calibri" w:eastAsia="Times New Roman" w:hAnsi="Calibri" w:cs="Calibri"/>
          <w:b/>
          <w:bCs/>
          <w:sz w:val="20"/>
          <w:szCs w:val="20"/>
        </w:rPr>
      </w:pPr>
      <w:r w:rsidRPr="5E4DB3C2">
        <w:rPr>
          <w:rFonts w:ascii="Calibri" w:eastAsia="Times New Roman" w:hAnsi="Calibri" w:cs="Calibri"/>
          <w:b/>
          <w:bCs/>
        </w:rPr>
        <w:t>Home Treatment Service (West Kent)</w:t>
      </w:r>
    </w:p>
    <w:p w14:paraId="0AF32ADA" w14:textId="77777777" w:rsidR="00F03DB8" w:rsidRPr="00E73B65" w:rsidRDefault="00F03DB8" w:rsidP="007A53C2">
      <w:pPr>
        <w:spacing w:after="0"/>
        <w:textAlignment w:val="baseline"/>
        <w:rPr>
          <w:rFonts w:ascii="Calibri" w:eastAsia="Times New Roman" w:hAnsi="Calibri" w:cs="Calibri"/>
        </w:rPr>
      </w:pPr>
      <w:r w:rsidRPr="00E73B65">
        <w:rPr>
          <w:rFonts w:ascii="Calibri" w:eastAsia="Times New Roman" w:hAnsi="Calibri" w:cs="Calibri"/>
        </w:rPr>
        <w:t xml:space="preserve">They provide urgent care at home with the aim of avoiding an admission and people stay on the caseload for </w:t>
      </w:r>
      <w:bookmarkStart w:id="97" w:name="_Int_X8Dqul0s"/>
      <w:r w:rsidRPr="00E73B65">
        <w:rPr>
          <w:rFonts w:ascii="Calibri" w:eastAsia="Times New Roman" w:hAnsi="Calibri" w:cs="Calibri"/>
        </w:rPr>
        <w:t>a short period</w:t>
      </w:r>
      <w:bookmarkEnd w:id="97"/>
      <w:r w:rsidRPr="00E73B65">
        <w:rPr>
          <w:rFonts w:ascii="Calibri" w:eastAsia="Times New Roman" w:hAnsi="Calibri" w:cs="Calibri"/>
        </w:rPr>
        <w:t xml:space="preserve"> of time to cover the acute phase of illness. The service triage and aim to see patients within two hours of a referral dependent on clinical need. </w:t>
      </w:r>
    </w:p>
    <w:p w14:paraId="2A3C06E7" w14:textId="10371C82" w:rsidR="00F03DB8" w:rsidRPr="00E73B65" w:rsidRDefault="00F03DB8" w:rsidP="007A53C2">
      <w:pPr>
        <w:spacing w:after="0"/>
        <w:textAlignment w:val="baseline"/>
        <w:rPr>
          <w:rFonts w:ascii="Calibri" w:eastAsia="Times New Roman" w:hAnsi="Calibri" w:cs="Calibri"/>
        </w:rPr>
      </w:pPr>
      <w:r w:rsidRPr="00E73B65">
        <w:rPr>
          <w:rFonts w:ascii="Calibri" w:eastAsia="Times New Roman" w:hAnsi="Calibri" w:cs="Calibri"/>
        </w:rPr>
        <w:t xml:space="preserve">The focus of the service is on people aged over 65 with frailty. </w:t>
      </w:r>
    </w:p>
    <w:p w14:paraId="5BE18862" w14:textId="0F26F454" w:rsidR="00F03DB8" w:rsidRPr="00E73B65" w:rsidRDefault="00F03DB8" w:rsidP="007A53C2">
      <w:pPr>
        <w:spacing w:after="0" w:line="240" w:lineRule="auto"/>
        <w:textAlignment w:val="baseline"/>
        <w:rPr>
          <w:rFonts w:ascii="Calibri" w:eastAsia="Times New Roman" w:hAnsi="Calibri" w:cs="Calibri"/>
          <w:b/>
          <w:bCs/>
          <w:sz w:val="20"/>
          <w:szCs w:val="20"/>
        </w:rPr>
      </w:pPr>
      <w:r w:rsidRPr="5E4DB3C2">
        <w:rPr>
          <w:rFonts w:ascii="Calibri" w:eastAsia="Times New Roman" w:hAnsi="Calibri" w:cs="Calibri"/>
          <w:b/>
          <w:bCs/>
        </w:rPr>
        <w:t>West Kent Primary Care</w:t>
      </w:r>
    </w:p>
    <w:p w14:paraId="763A07D7" w14:textId="77777777" w:rsidR="00F03DB8" w:rsidRPr="00E73B65" w:rsidRDefault="00F03DB8" w:rsidP="007A53C2">
      <w:pPr>
        <w:spacing w:after="0"/>
        <w:textAlignment w:val="baseline"/>
        <w:rPr>
          <w:rFonts w:ascii="Calibri" w:eastAsia="Times New Roman" w:hAnsi="Calibri" w:cs="Calibri"/>
        </w:rPr>
      </w:pPr>
      <w:r w:rsidRPr="00E73B65">
        <w:rPr>
          <w:rFonts w:ascii="Calibri" w:eastAsia="Times New Roman" w:hAnsi="Calibri" w:cs="Calibri"/>
        </w:rPr>
        <w:t>Primary Care / General Practice provides routine frailty identification for patients who are 65 and over. Primary Care targets a small number of key interventions (falls assessment, medicines review and promotion of the additional information in the summary care record)</w:t>
      </w:r>
      <w:r>
        <w:rPr>
          <w:rFonts w:ascii="Calibri" w:eastAsia="Times New Roman" w:hAnsi="Calibri" w:cs="Calibri"/>
        </w:rPr>
        <w:t>.</w:t>
      </w:r>
      <w:r w:rsidRPr="00E73B65">
        <w:rPr>
          <w:rFonts w:ascii="Calibri" w:eastAsia="Times New Roman" w:hAnsi="Calibri" w:cs="Calibri"/>
        </w:rPr>
        <w:t xml:space="preserve"> </w:t>
      </w:r>
    </w:p>
    <w:p w14:paraId="2B4BC70E" w14:textId="77777777" w:rsidR="00F03DB8" w:rsidRPr="00E73B65" w:rsidRDefault="00F03DB8" w:rsidP="007A53C2">
      <w:pPr>
        <w:spacing w:after="0"/>
        <w:textAlignment w:val="baseline"/>
        <w:rPr>
          <w:rFonts w:ascii="Calibri" w:eastAsia="Times New Roman" w:hAnsi="Calibri" w:cs="Calibri"/>
        </w:rPr>
      </w:pPr>
      <w:r w:rsidRPr="00E73B65">
        <w:rPr>
          <w:rFonts w:ascii="Calibri" w:eastAsia="Times New Roman" w:hAnsi="Calibri" w:cs="Calibri"/>
        </w:rPr>
        <w:lastRenderedPageBreak/>
        <w:t>West Kent Primary Care specifically employees 7 General Practitioners with extended roles (</w:t>
      </w:r>
      <w:proofErr w:type="spellStart"/>
      <w:r w:rsidRPr="00E73B65">
        <w:rPr>
          <w:rFonts w:ascii="Calibri" w:eastAsia="Times New Roman" w:hAnsi="Calibri" w:cs="Calibri"/>
        </w:rPr>
        <w:t>GPwER</w:t>
      </w:r>
      <w:proofErr w:type="spellEnd"/>
      <w:r w:rsidRPr="00E73B65">
        <w:rPr>
          <w:rFonts w:ascii="Calibri" w:eastAsia="Times New Roman" w:hAnsi="Calibri" w:cs="Calibri"/>
        </w:rPr>
        <w:t xml:space="preserve">) in Frailty to support the work of MDT, who look after the most frail and complex patient population.  The aim is to proactively support complex care planning and identify </w:t>
      </w:r>
      <w:r>
        <w:rPr>
          <w:rFonts w:ascii="Calibri" w:eastAsia="Times New Roman" w:hAnsi="Calibri" w:cs="Calibri"/>
        </w:rPr>
        <w:t>t</w:t>
      </w:r>
      <w:r w:rsidRPr="00E73B65">
        <w:rPr>
          <w:rFonts w:ascii="Calibri" w:eastAsia="Times New Roman" w:hAnsi="Calibri" w:cs="Calibri"/>
        </w:rPr>
        <w:t>hose that would benefit from a referral to a Consultant Geriatrician.  </w:t>
      </w:r>
    </w:p>
    <w:p w14:paraId="1036C74F" w14:textId="02091FEF" w:rsidR="00F03DB8" w:rsidRPr="00E73B65" w:rsidRDefault="00F03DB8" w:rsidP="007A53C2">
      <w:pPr>
        <w:spacing w:after="0"/>
        <w:textAlignment w:val="baseline"/>
        <w:rPr>
          <w:rFonts w:ascii="Calibri" w:eastAsia="Times New Roman" w:hAnsi="Calibri" w:cs="Calibri"/>
        </w:rPr>
      </w:pPr>
      <w:r w:rsidRPr="00E73B65">
        <w:rPr>
          <w:rFonts w:ascii="Calibri" w:eastAsia="Times New Roman" w:hAnsi="Calibri" w:cs="Calibri"/>
        </w:rPr>
        <w:t xml:space="preserve">The Frailty GP’s will advise practice GP’s and the wider healthcare team as part of the MDT action plan and may visit individual patients and their families to discuss their care. These visits may be conducted by a Frailty </w:t>
      </w:r>
      <w:bookmarkStart w:id="98" w:name="_Int_NALhl7pb"/>
      <w:r w:rsidRPr="00E73B65">
        <w:rPr>
          <w:rFonts w:ascii="Calibri" w:eastAsia="Times New Roman" w:hAnsi="Calibri" w:cs="Calibri"/>
        </w:rPr>
        <w:t>GP</w:t>
      </w:r>
      <w:bookmarkEnd w:id="98"/>
      <w:r w:rsidRPr="00E73B65">
        <w:rPr>
          <w:rFonts w:ascii="Calibri" w:eastAsia="Times New Roman" w:hAnsi="Calibri" w:cs="Calibri"/>
        </w:rPr>
        <w:t xml:space="preserve"> alone or in conjunction with another member of the team, such as Complex Care Nurses.  </w:t>
      </w:r>
    </w:p>
    <w:p w14:paraId="2088D82D" w14:textId="77777777" w:rsidR="00F03DB8" w:rsidRPr="00E73B65" w:rsidRDefault="00F03DB8" w:rsidP="007A53C2">
      <w:pPr>
        <w:spacing w:after="0"/>
        <w:textAlignment w:val="baseline"/>
        <w:rPr>
          <w:rFonts w:ascii="Calibri" w:eastAsia="Times New Roman" w:hAnsi="Calibri" w:cs="Calibri"/>
          <w:b/>
          <w:bCs/>
          <w:sz w:val="20"/>
          <w:szCs w:val="20"/>
        </w:rPr>
      </w:pPr>
      <w:r w:rsidRPr="5E4DB3C2">
        <w:rPr>
          <w:rFonts w:ascii="Calibri" w:eastAsia="Times New Roman" w:hAnsi="Calibri" w:cs="Calibri"/>
          <w:b/>
          <w:bCs/>
        </w:rPr>
        <w:t>After hospital support    </w:t>
      </w:r>
    </w:p>
    <w:p w14:paraId="0F39B1D6" w14:textId="331AC594" w:rsidR="00F03DB8" w:rsidRPr="007A53C2" w:rsidRDefault="00F03DB8" w:rsidP="007A53C2">
      <w:pPr>
        <w:spacing w:after="0"/>
        <w:textAlignment w:val="baseline"/>
        <w:rPr>
          <w:rFonts w:ascii="Calibri" w:eastAsia="Times New Roman" w:hAnsi="Calibri" w:cs="Calibri"/>
        </w:rPr>
      </w:pPr>
      <w:r w:rsidRPr="5E4DB3C2">
        <w:rPr>
          <w:rFonts w:ascii="Calibri" w:eastAsia="Times New Roman" w:hAnsi="Calibri" w:cs="Calibri"/>
        </w:rPr>
        <w:t xml:space="preserve">Kent County Council offer different forms of adult social care support. Care and support </w:t>
      </w:r>
      <w:bookmarkStart w:id="99" w:name="_Int_6cSXsvSu"/>
      <w:r w:rsidRPr="5E4DB3C2">
        <w:rPr>
          <w:rFonts w:ascii="Calibri" w:eastAsia="Times New Roman" w:hAnsi="Calibri" w:cs="Calibri"/>
        </w:rPr>
        <w:t>is</w:t>
      </w:r>
      <w:bookmarkEnd w:id="99"/>
      <w:r w:rsidRPr="5E4DB3C2">
        <w:rPr>
          <w:rFonts w:ascii="Calibri" w:eastAsia="Times New Roman" w:hAnsi="Calibri" w:cs="Calibri"/>
        </w:rPr>
        <w:t xml:space="preserve"> the term used to describe the help some adults need to live as well as possible with any illness of disability they may have. </w:t>
      </w:r>
    </w:p>
    <w:p w14:paraId="33681597" w14:textId="77777777" w:rsidR="00F03DB8" w:rsidRPr="00F00597" w:rsidRDefault="00F03DB8" w:rsidP="007A53C2">
      <w:pPr>
        <w:pStyle w:val="Heading1"/>
      </w:pPr>
      <w:bookmarkStart w:id="100" w:name="_Toc128133828"/>
      <w:r w:rsidRPr="00F00597">
        <w:t>Dementia</w:t>
      </w:r>
      <w:bookmarkEnd w:id="100"/>
    </w:p>
    <w:p w14:paraId="3B111A32" w14:textId="05540D4A" w:rsidR="00F03DB8" w:rsidRDefault="00F03DB8" w:rsidP="007A53C2">
      <w:pPr>
        <w:textAlignment w:val="baseline"/>
        <w:rPr>
          <w:rFonts w:ascii="Calibri" w:eastAsia="Calibri" w:hAnsi="Calibri" w:cs="Calibri"/>
        </w:rPr>
      </w:pPr>
      <w:r w:rsidRPr="640406B7">
        <w:rPr>
          <w:rFonts w:ascii="Calibri" w:eastAsia="Calibri" w:hAnsi="Calibri" w:cs="Calibri"/>
        </w:rPr>
        <w:t>The prevalence of dementia patients has reduced in Malling and South Maidstone</w:t>
      </w:r>
      <w:r w:rsidR="000D4853" w:rsidRPr="640406B7">
        <w:rPr>
          <w:rFonts w:ascii="Calibri" w:eastAsia="Calibri" w:hAnsi="Calibri" w:cs="Calibri"/>
        </w:rPr>
        <w:t xml:space="preserve"> PCNs</w:t>
      </w:r>
      <w:r w:rsidRPr="640406B7">
        <w:rPr>
          <w:rFonts w:ascii="Calibri" w:eastAsia="Calibri" w:hAnsi="Calibri" w:cs="Calibri"/>
        </w:rPr>
        <w:t xml:space="preserve"> over the years. It has remained unchanged in the Ridge, Sevenoaks, Weald, Kent</w:t>
      </w:r>
      <w:r w:rsidR="515ADD94" w:rsidRPr="740CDBE4">
        <w:rPr>
          <w:rFonts w:ascii="Calibri" w:eastAsia="Calibri" w:hAnsi="Calibri" w:cs="Calibri"/>
        </w:rPr>
        <w:t>,</w:t>
      </w:r>
      <w:r w:rsidRPr="640406B7">
        <w:rPr>
          <w:rFonts w:ascii="Calibri" w:eastAsia="Calibri" w:hAnsi="Calibri" w:cs="Calibri"/>
        </w:rPr>
        <w:t xml:space="preserve"> and Medway</w:t>
      </w:r>
      <w:r w:rsidR="00E04E38" w:rsidRPr="640406B7">
        <w:rPr>
          <w:rFonts w:ascii="Calibri" w:eastAsia="Calibri" w:hAnsi="Calibri" w:cs="Calibri"/>
        </w:rPr>
        <w:t xml:space="preserve"> PCNs</w:t>
      </w:r>
      <w:r w:rsidRPr="640406B7">
        <w:rPr>
          <w:rFonts w:ascii="Calibri" w:eastAsia="Calibri" w:hAnsi="Calibri" w:cs="Calibri"/>
        </w:rPr>
        <w:t xml:space="preserve">, whilst it increased significantly in ABC, Tunbridge Wells, Maidstone Central, and Tunbridge Wells PCNs from 2014 to 2022. </w:t>
      </w:r>
    </w:p>
    <w:p w14:paraId="1A26CFED" w14:textId="3BE82D04" w:rsidR="00F03DB8" w:rsidRDefault="00F03DB8" w:rsidP="007A53C2">
      <w:pPr>
        <w:spacing w:before="40" w:after="0"/>
        <w:textAlignment w:val="baseline"/>
        <w:rPr>
          <w:b/>
          <w:bCs/>
        </w:rPr>
      </w:pPr>
      <w:r w:rsidRPr="5E4DB3C2">
        <w:rPr>
          <w:b/>
          <w:bCs/>
        </w:rPr>
        <w:t>Figure 6</w:t>
      </w:r>
      <w:r w:rsidR="00B3426A">
        <w:rPr>
          <w:b/>
          <w:bCs/>
        </w:rPr>
        <w:t>7</w:t>
      </w:r>
      <w:r w:rsidRPr="5E4DB3C2">
        <w:rPr>
          <w:b/>
          <w:bCs/>
        </w:rPr>
        <w:t xml:space="preserve"> Dementia recorded in Primary care in West Kent trend 2014-2022</w:t>
      </w:r>
    </w:p>
    <w:p w14:paraId="5E036FD1" w14:textId="77777777" w:rsidR="00F03DB8" w:rsidRDefault="00F03DB8" w:rsidP="007A53C2">
      <w:pPr>
        <w:spacing w:after="160" w:line="259" w:lineRule="auto"/>
        <w:textAlignment w:val="baseline"/>
        <w:rPr>
          <w:rFonts w:ascii="Calibri" w:eastAsia="Calibri" w:hAnsi="Calibri" w:cs="Calibri"/>
        </w:rPr>
      </w:pPr>
      <w:r>
        <w:rPr>
          <w:noProof/>
        </w:rPr>
        <w:drawing>
          <wp:inline distT="0" distB="0" distL="0" distR="0" wp14:anchorId="4DA01728" wp14:editId="71BD0E7F">
            <wp:extent cx="5724524" cy="3343275"/>
            <wp:effectExtent l="0" t="0" r="0" b="0"/>
            <wp:docPr id="1849819288" name="Picture 1849819288" descr="Line graph showing dementia recorded in PCNs in West Kent from 2014/15 to 2021/22. The prevalence of dementia patients has reduced in Malling, and South Maidstone over the years. It has remained unchanged almost in the Ridge, Sevenoaks, Weald, Kent and Medway, whilst it increased significantly in ABC, Tunbridge Wells, Maidstone Central, and Tunbridge Wells PCNs from 2014 to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19288" name="Picture 1849819288" descr="Line graph showing dementia recorded in PCNs in West Kent from 2014/15 to 2021/22. The prevalence of dementia patients has reduced in Malling, and South Maidstone over the years. It has remained unchanged almost in the Ridge, Sevenoaks, Weald, Kent and Medway, whilst it increased significantly in ABC, Tunbridge Wells, Maidstone Central, and Tunbridge Wells PCNs from 2014 to 2022. "/>
                    <pic:cNvPicPr/>
                  </pic:nvPicPr>
                  <pic:blipFill>
                    <a:blip r:embed="rId116">
                      <a:extLst>
                        <a:ext uri="{28A0092B-C50C-407E-A947-70E740481C1C}">
                          <a14:useLocalDpi xmlns:a14="http://schemas.microsoft.com/office/drawing/2010/main" val="0"/>
                        </a:ext>
                      </a:extLst>
                    </a:blip>
                    <a:stretch>
                      <a:fillRect/>
                    </a:stretch>
                  </pic:blipFill>
                  <pic:spPr>
                    <a:xfrm>
                      <a:off x="0" y="0"/>
                      <a:ext cx="5724524" cy="3343275"/>
                    </a:xfrm>
                    <a:prstGeom prst="rect">
                      <a:avLst/>
                    </a:prstGeom>
                  </pic:spPr>
                </pic:pic>
              </a:graphicData>
            </a:graphic>
          </wp:inline>
        </w:drawing>
      </w:r>
    </w:p>
    <w:p w14:paraId="44E59205" w14:textId="3E788A59" w:rsidR="00F03DB8" w:rsidRDefault="00F03DB8" w:rsidP="007A53C2">
      <w:pPr>
        <w:textAlignment w:val="baseline"/>
        <w:rPr>
          <w:rFonts w:ascii="Calibri" w:eastAsia="Calibri" w:hAnsi="Calibri" w:cs="Calibri"/>
        </w:rPr>
      </w:pPr>
      <w:r w:rsidRPr="305ECFD1">
        <w:rPr>
          <w:rFonts w:ascii="Calibri" w:eastAsia="Calibri" w:hAnsi="Calibri" w:cs="Calibri"/>
        </w:rPr>
        <w:t xml:space="preserve">The percentage of registered patients aged 18+ with dementia is </w:t>
      </w:r>
      <w:bookmarkStart w:id="101" w:name="_Int_BcFDMsUw"/>
      <w:r w:rsidRPr="305ECFD1">
        <w:rPr>
          <w:rFonts w:ascii="Calibri" w:eastAsia="Calibri" w:hAnsi="Calibri" w:cs="Calibri"/>
        </w:rPr>
        <w:t>similar to</w:t>
      </w:r>
      <w:bookmarkEnd w:id="101"/>
      <w:r w:rsidRPr="305ECFD1">
        <w:rPr>
          <w:rFonts w:ascii="Calibri" w:eastAsia="Calibri" w:hAnsi="Calibri" w:cs="Calibri"/>
        </w:rPr>
        <w:t xml:space="preserve"> the Kent and Medway average for Ridge, Tonbridge, and Weald</w:t>
      </w:r>
      <w:r w:rsidR="00D20986">
        <w:rPr>
          <w:rFonts w:ascii="Calibri" w:eastAsia="Calibri" w:hAnsi="Calibri" w:cs="Calibri"/>
        </w:rPr>
        <w:t xml:space="preserve"> PCNs</w:t>
      </w:r>
      <w:r w:rsidRPr="305ECFD1">
        <w:rPr>
          <w:rFonts w:ascii="Calibri" w:eastAsia="Calibri" w:hAnsi="Calibri" w:cs="Calibri"/>
        </w:rPr>
        <w:t>. A</w:t>
      </w:r>
      <w:r>
        <w:rPr>
          <w:rFonts w:ascii="Calibri" w:eastAsia="Calibri" w:hAnsi="Calibri" w:cs="Calibri"/>
        </w:rPr>
        <w:t>BC</w:t>
      </w:r>
      <w:r w:rsidRPr="305ECFD1">
        <w:rPr>
          <w:rFonts w:ascii="Calibri" w:eastAsia="Calibri" w:hAnsi="Calibri" w:cs="Calibri"/>
        </w:rPr>
        <w:t xml:space="preserve">, Sevenoaks, Maidstone </w:t>
      </w:r>
      <w:r w:rsidRPr="305ECFD1">
        <w:rPr>
          <w:rFonts w:ascii="Calibri" w:eastAsia="Calibri" w:hAnsi="Calibri" w:cs="Calibri"/>
        </w:rPr>
        <w:lastRenderedPageBreak/>
        <w:t>Central, and Tunbridge Wells</w:t>
      </w:r>
      <w:r w:rsidR="00D20986">
        <w:rPr>
          <w:rFonts w:ascii="Calibri" w:eastAsia="Calibri" w:hAnsi="Calibri" w:cs="Calibri"/>
        </w:rPr>
        <w:t xml:space="preserve"> PCNs</w:t>
      </w:r>
      <w:r w:rsidRPr="305ECFD1">
        <w:rPr>
          <w:rFonts w:ascii="Calibri" w:eastAsia="Calibri" w:hAnsi="Calibri" w:cs="Calibri"/>
        </w:rPr>
        <w:t xml:space="preserve"> have higher prevalence of dementia compared to the Kent and Medway average whilst Malling and South Maidstone </w:t>
      </w:r>
      <w:r w:rsidR="00D20986">
        <w:rPr>
          <w:rFonts w:ascii="Calibri" w:eastAsia="Calibri" w:hAnsi="Calibri" w:cs="Calibri"/>
        </w:rPr>
        <w:t xml:space="preserve">PCNs </w:t>
      </w:r>
      <w:r w:rsidRPr="305ECFD1">
        <w:rPr>
          <w:rFonts w:ascii="Calibri" w:eastAsia="Calibri" w:hAnsi="Calibri" w:cs="Calibri"/>
        </w:rPr>
        <w:t>have lower prevalence.</w:t>
      </w:r>
    </w:p>
    <w:p w14:paraId="798816A9" w14:textId="715244C8" w:rsidR="00F03DB8" w:rsidRDefault="00F03DB8" w:rsidP="007A53C2">
      <w:pPr>
        <w:spacing w:before="40" w:after="0"/>
        <w:textAlignment w:val="baseline"/>
        <w:rPr>
          <w:b/>
          <w:bCs/>
        </w:rPr>
      </w:pPr>
      <w:r w:rsidRPr="5E4DB3C2">
        <w:rPr>
          <w:b/>
          <w:bCs/>
        </w:rPr>
        <w:t>Figure 6</w:t>
      </w:r>
      <w:r w:rsidR="00B3426A">
        <w:rPr>
          <w:b/>
          <w:bCs/>
        </w:rPr>
        <w:t>8</w:t>
      </w:r>
      <w:r w:rsidRPr="5E4DB3C2">
        <w:rPr>
          <w:b/>
          <w:bCs/>
        </w:rPr>
        <w:t xml:space="preserve"> Dementia recorded in Primary care in West Kent</w:t>
      </w:r>
    </w:p>
    <w:p w14:paraId="74DA5989" w14:textId="77777777" w:rsidR="00F03DB8" w:rsidRDefault="00F03DB8" w:rsidP="007A53C2">
      <w:pPr>
        <w:spacing w:after="160" w:line="259" w:lineRule="auto"/>
        <w:textAlignment w:val="baseline"/>
        <w:rPr>
          <w:rFonts w:ascii="Calibri" w:eastAsia="Calibri" w:hAnsi="Calibri" w:cs="Calibri"/>
        </w:rPr>
      </w:pPr>
      <w:r>
        <w:rPr>
          <w:noProof/>
        </w:rPr>
        <w:drawing>
          <wp:inline distT="0" distB="0" distL="0" distR="0" wp14:anchorId="0B236481" wp14:editId="0C94F525">
            <wp:extent cx="5724524" cy="3228975"/>
            <wp:effectExtent l="0" t="0" r="0" b="0"/>
            <wp:docPr id="1659578873" name="Picture 1659578873" descr="Column chart showing dementia recorded in primary care in West Kent. The percentage of registered patients aged 18+ with dementia is similar to the Kent and Medway average (about 0.75%) for Ridge, Tonbridge, and Weald. ABC, Sevenoaks, Maidstone Central, and Tunbridge Wells have higher prevalence of dementia compared to the Kent and Medway average whilst Malling and South Maidstone have lower prevalence (around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78873" name="Picture 1659578873" descr="Column chart showing dementia recorded in primary care in West Kent. The percentage of registered patients aged 18+ with dementia is similar to the Kent and Medway average (about 0.75%) for Ridge, Tonbridge, and Weald. ABC, Sevenoaks, Maidstone Central, and Tunbridge Wells have higher prevalence of dementia compared to the Kent and Medway average whilst Malling and South Maidstone have lower prevalence (around 0.5%)."/>
                    <pic:cNvPicPr/>
                  </pic:nvPicPr>
                  <pic:blipFill>
                    <a:blip r:embed="rId117">
                      <a:extLst>
                        <a:ext uri="{28A0092B-C50C-407E-A947-70E740481C1C}">
                          <a14:useLocalDpi xmlns:a14="http://schemas.microsoft.com/office/drawing/2010/main" val="0"/>
                        </a:ext>
                      </a:extLst>
                    </a:blip>
                    <a:stretch>
                      <a:fillRect/>
                    </a:stretch>
                  </pic:blipFill>
                  <pic:spPr>
                    <a:xfrm>
                      <a:off x="0" y="0"/>
                      <a:ext cx="5724524" cy="3228975"/>
                    </a:xfrm>
                    <a:prstGeom prst="rect">
                      <a:avLst/>
                    </a:prstGeom>
                  </pic:spPr>
                </pic:pic>
              </a:graphicData>
            </a:graphic>
          </wp:inline>
        </w:drawing>
      </w:r>
    </w:p>
    <w:p w14:paraId="2892E40E" w14:textId="2A2EECD7" w:rsidR="009E5B48" w:rsidRPr="00F00597" w:rsidRDefault="009E5B48" w:rsidP="007A53C2">
      <w:pPr>
        <w:pStyle w:val="Heading1"/>
      </w:pPr>
      <w:bookmarkStart w:id="102" w:name="_Toc128133829"/>
      <w:r w:rsidRPr="00F00597">
        <w:t xml:space="preserve">Adult Mental </w:t>
      </w:r>
      <w:r w:rsidR="00DC4536" w:rsidRPr="00F00597">
        <w:t>H</w:t>
      </w:r>
      <w:r w:rsidRPr="00F00597">
        <w:t>ealth in West Kent</w:t>
      </w:r>
      <w:bookmarkEnd w:id="102"/>
      <w:r w:rsidRPr="00F00597">
        <w:t xml:space="preserve"> </w:t>
      </w:r>
    </w:p>
    <w:p w14:paraId="2643AF8D" w14:textId="77777777" w:rsidR="009E5B48" w:rsidRDefault="009E5B48" w:rsidP="00F00D89">
      <w:pPr>
        <w:pStyle w:val="Heading2"/>
        <w:rPr>
          <w:b w:val="0"/>
          <w:bCs w:val="0"/>
        </w:rPr>
      </w:pPr>
      <w:bookmarkStart w:id="103" w:name="_Toc128133830"/>
      <w:r w:rsidRPr="347D5DEF">
        <w:t>Introduction</w:t>
      </w:r>
      <w:bookmarkEnd w:id="103"/>
    </w:p>
    <w:p w14:paraId="0DB26C1F" w14:textId="0170C22D" w:rsidR="009E5B48" w:rsidRDefault="009E5B48" w:rsidP="007A53C2">
      <w:r w:rsidRPr="15853314">
        <w:rPr>
          <w:rFonts w:ascii="Calibri" w:eastAsia="Calibri" w:hAnsi="Calibri" w:cs="Calibri"/>
        </w:rPr>
        <w:t xml:space="preserve">In West Kent it is estimated that 1 in 4 people will have (at some point in their lifetime) a mental health problem which can require a clinical or social intervention. The JSNA chapter for mental health is available at  </w:t>
      </w:r>
      <w:hyperlink r:id="rId118" w:anchor="tab1">
        <w:r w:rsidRPr="15853314">
          <w:rPr>
            <w:rStyle w:val="Hyperlink"/>
            <w:rFonts w:ascii="Calibri" w:eastAsia="Calibri" w:hAnsi="Calibri" w:cs="Calibri"/>
          </w:rPr>
          <w:t>mental health needs assessment for Kent</w:t>
        </w:r>
      </w:hyperlink>
      <w:r w:rsidRPr="15853314">
        <w:rPr>
          <w:rFonts w:ascii="Calibri" w:eastAsia="Calibri" w:hAnsi="Calibri" w:cs="Calibri"/>
        </w:rPr>
        <w:t xml:space="preserve"> which provides more in-depth analysis. The recent </w:t>
      </w:r>
      <w:hyperlink r:id="rId119" w:history="1">
        <w:r w:rsidRPr="00A7121A">
          <w:rPr>
            <w:rStyle w:val="Hyperlink"/>
            <w:rFonts w:ascii="Calibri" w:eastAsia="Calibri" w:hAnsi="Calibri" w:cs="Calibri"/>
          </w:rPr>
          <w:t>Kent and Medway Listens</w:t>
        </w:r>
      </w:hyperlink>
      <w:r w:rsidRPr="15853314">
        <w:rPr>
          <w:rFonts w:ascii="Calibri" w:eastAsia="Calibri" w:hAnsi="Calibri" w:cs="Calibri"/>
        </w:rPr>
        <w:t xml:space="preserve"> initiative highlighted the need for more support to help individuals and the impact of poor mental health.</w:t>
      </w:r>
    </w:p>
    <w:p w14:paraId="10EAA812" w14:textId="77777777" w:rsidR="009E5B48" w:rsidRDefault="009E5B48" w:rsidP="007A53C2">
      <w:pPr>
        <w:widowControl w:val="0"/>
        <w:numPr>
          <w:ilvl w:val="0"/>
          <w:numId w:val="10"/>
        </w:numPr>
        <w:spacing w:before="240" w:after="0"/>
      </w:pPr>
      <w:r w:rsidRPr="15853314">
        <w:t xml:space="preserve">More mental health and wellbeing support. </w:t>
      </w:r>
    </w:p>
    <w:p w14:paraId="153E86F8" w14:textId="5E9D2CA1" w:rsidR="009E5B48" w:rsidRDefault="009E5B48" w:rsidP="007A53C2">
      <w:pPr>
        <w:widowControl w:val="0"/>
        <w:numPr>
          <w:ilvl w:val="0"/>
          <w:numId w:val="10"/>
        </w:numPr>
        <w:spacing w:before="0" w:after="0"/>
      </w:pPr>
      <w:r w:rsidRPr="15853314">
        <w:t xml:space="preserve">More </w:t>
      </w:r>
      <w:r w:rsidR="00D74053" w:rsidRPr="15853314">
        <w:t>community-based</w:t>
      </w:r>
      <w:r w:rsidRPr="15853314">
        <w:t xml:space="preserve"> support and activities; and </w:t>
      </w:r>
    </w:p>
    <w:p w14:paraId="1ACC9610" w14:textId="77777777" w:rsidR="009E5B48" w:rsidRDefault="009E5B48" w:rsidP="007A53C2">
      <w:pPr>
        <w:widowControl w:val="0"/>
        <w:numPr>
          <w:ilvl w:val="0"/>
          <w:numId w:val="10"/>
        </w:numPr>
        <w:spacing w:before="0" w:after="240"/>
      </w:pPr>
      <w:r w:rsidRPr="15853314">
        <w:t>More face-to-face interactions for services and with loved ones by lifting restrictions.</w:t>
      </w:r>
    </w:p>
    <w:p w14:paraId="35A59F9B" w14:textId="6F0197B2" w:rsidR="009E5B48" w:rsidRDefault="009E5B48" w:rsidP="007A53C2">
      <w:r w:rsidRPr="5E4DB3C2">
        <w:rPr>
          <w:rFonts w:ascii="Calibri" w:eastAsia="Calibri" w:hAnsi="Calibri" w:cs="Calibri"/>
        </w:rPr>
        <w:t>There are two main categories of mental illness which are referred to as ‘common mental illness’ (CMI)</w:t>
      </w:r>
      <w:r w:rsidR="00481333">
        <w:rPr>
          <w:rFonts w:ascii="Calibri" w:eastAsia="Calibri" w:hAnsi="Calibri" w:cs="Calibri"/>
        </w:rPr>
        <w:t xml:space="preserve"> </w:t>
      </w:r>
      <w:r w:rsidRPr="5E4DB3C2">
        <w:rPr>
          <w:rFonts w:ascii="Calibri" w:eastAsia="Calibri" w:hAnsi="Calibri" w:cs="Calibri"/>
        </w:rPr>
        <w:t>depression</w:t>
      </w:r>
      <w:r w:rsidR="00481333">
        <w:rPr>
          <w:rFonts w:ascii="Calibri" w:eastAsia="Calibri" w:hAnsi="Calibri" w:cs="Calibri"/>
        </w:rPr>
        <w:t xml:space="preserve"> and</w:t>
      </w:r>
      <w:r w:rsidRPr="5E4DB3C2">
        <w:rPr>
          <w:rFonts w:ascii="Calibri" w:eastAsia="Calibri" w:hAnsi="Calibri" w:cs="Calibri"/>
        </w:rPr>
        <w:t xml:space="preserve"> anxiety' ‘</w:t>
      </w:r>
      <w:r w:rsidR="00481333">
        <w:rPr>
          <w:rFonts w:ascii="Calibri" w:eastAsia="Calibri" w:hAnsi="Calibri" w:cs="Calibri"/>
        </w:rPr>
        <w:t>S</w:t>
      </w:r>
      <w:r w:rsidRPr="5E4DB3C2">
        <w:rPr>
          <w:rFonts w:ascii="Calibri" w:eastAsia="Calibri" w:hAnsi="Calibri" w:cs="Calibri"/>
        </w:rPr>
        <w:t xml:space="preserve">evere and enduring mental illness (SMI)’ </w:t>
      </w:r>
      <w:r w:rsidR="00481333">
        <w:rPr>
          <w:rFonts w:ascii="Calibri" w:eastAsia="Calibri" w:hAnsi="Calibri" w:cs="Calibri"/>
        </w:rPr>
        <w:t xml:space="preserve">is usually </w:t>
      </w:r>
      <w:r w:rsidR="00127B5E">
        <w:rPr>
          <w:rFonts w:ascii="Calibri" w:eastAsia="Calibri" w:hAnsi="Calibri" w:cs="Calibri"/>
        </w:rPr>
        <w:t>defined</w:t>
      </w:r>
      <w:r w:rsidR="00481333">
        <w:rPr>
          <w:rFonts w:ascii="Calibri" w:eastAsia="Calibri" w:hAnsi="Calibri" w:cs="Calibri"/>
        </w:rPr>
        <w:t xml:space="preserve"> </w:t>
      </w:r>
      <w:r w:rsidR="00232C2F">
        <w:rPr>
          <w:rFonts w:ascii="Calibri" w:eastAsia="Calibri" w:hAnsi="Calibri" w:cs="Calibri"/>
        </w:rPr>
        <w:t>as</w:t>
      </w:r>
      <w:r w:rsidR="00232C2F" w:rsidRPr="5E4DB3C2">
        <w:rPr>
          <w:rFonts w:ascii="Calibri" w:eastAsia="Calibri" w:hAnsi="Calibri" w:cs="Calibri"/>
        </w:rPr>
        <w:t xml:space="preserve"> schizophrenia</w:t>
      </w:r>
      <w:r w:rsidRPr="5E4DB3C2">
        <w:rPr>
          <w:rFonts w:ascii="Calibri" w:eastAsia="Calibri" w:hAnsi="Calibri" w:cs="Calibri"/>
        </w:rPr>
        <w:t xml:space="preserve"> (psychosis) and bi-polar disorder. </w:t>
      </w:r>
    </w:p>
    <w:p w14:paraId="2DE8D533" w14:textId="77777777" w:rsidR="009E5B48" w:rsidRDefault="009E5B48" w:rsidP="00F00D89">
      <w:pPr>
        <w:pStyle w:val="Heading2"/>
      </w:pPr>
      <w:bookmarkStart w:id="104" w:name="_Int_pHFJBFiW"/>
      <w:bookmarkStart w:id="105" w:name="_Toc128133831"/>
      <w:r w:rsidRPr="5E4DB3C2">
        <w:rPr>
          <w:rFonts w:eastAsia="Calibri"/>
        </w:rPr>
        <w:t>APMS</w:t>
      </w:r>
      <w:bookmarkEnd w:id="104"/>
      <w:r w:rsidRPr="5E4DB3C2">
        <w:rPr>
          <w:rFonts w:eastAsia="Calibri"/>
        </w:rPr>
        <w:t xml:space="preserve"> Prevalence of Common Mental Health Illness (CMI)/ Conditions</w:t>
      </w:r>
      <w:bookmarkEnd w:id="105"/>
    </w:p>
    <w:p w14:paraId="5847E1D6" w14:textId="2CA5FF99" w:rsidR="009E5B48" w:rsidRDefault="005F2302" w:rsidP="007A53C2">
      <w:r>
        <w:rPr>
          <w:rFonts w:ascii="Calibri" w:eastAsia="Calibri" w:hAnsi="Calibri" w:cs="Calibri"/>
        </w:rPr>
        <w:t>Around a</w:t>
      </w:r>
      <w:r w:rsidR="009E5B48" w:rsidRPr="32F7F25D">
        <w:rPr>
          <w:rFonts w:ascii="Calibri" w:eastAsia="Calibri" w:hAnsi="Calibri" w:cs="Calibri"/>
        </w:rPr>
        <w:t xml:space="preserve"> quarter of </w:t>
      </w:r>
      <w:r w:rsidR="00127B5E">
        <w:rPr>
          <w:rFonts w:ascii="Calibri" w:eastAsia="Calibri" w:hAnsi="Calibri" w:cs="Calibri"/>
        </w:rPr>
        <w:t xml:space="preserve">the </w:t>
      </w:r>
      <w:r w:rsidR="009E5B48" w:rsidRPr="32F7F25D">
        <w:rPr>
          <w:rFonts w:ascii="Calibri" w:eastAsia="Calibri" w:hAnsi="Calibri" w:cs="Calibri"/>
        </w:rPr>
        <w:t xml:space="preserve">population will benefit from primary prevention for mental health - in West Kent it can be estimated that 13% of the </w:t>
      </w:r>
      <w:r w:rsidR="009E5B48">
        <w:rPr>
          <w:rFonts w:ascii="Calibri" w:eastAsia="Calibri" w:hAnsi="Calibri" w:cs="Calibri"/>
        </w:rPr>
        <w:t xml:space="preserve">517,189 </w:t>
      </w:r>
      <w:r w:rsidR="009E5B48" w:rsidRPr="32F7F25D">
        <w:rPr>
          <w:rFonts w:ascii="Calibri" w:eastAsia="Calibri" w:hAnsi="Calibri" w:cs="Calibri"/>
        </w:rPr>
        <w:t xml:space="preserve">population will have some CMI </w:t>
      </w:r>
      <w:r w:rsidR="009E5B48" w:rsidRPr="32F7F25D">
        <w:rPr>
          <w:rFonts w:ascii="Calibri" w:eastAsia="Calibri" w:hAnsi="Calibri" w:cs="Calibri"/>
        </w:rPr>
        <w:lastRenderedPageBreak/>
        <w:t xml:space="preserve">need that will need some kind of clinical intervention. There is also an increase in higher levels of depression in women. Covid 19 will render these to be underestimates. </w:t>
      </w:r>
    </w:p>
    <w:p w14:paraId="58AFC68D" w14:textId="77777777" w:rsidR="009E5B48" w:rsidRDefault="009E5B48" w:rsidP="00F00D89">
      <w:pPr>
        <w:pStyle w:val="Heading2"/>
      </w:pPr>
      <w:r w:rsidRPr="5E4DB3C2">
        <w:rPr>
          <w:rFonts w:eastAsia="Calibri"/>
        </w:rPr>
        <w:t xml:space="preserve"> </w:t>
      </w:r>
      <w:bookmarkStart w:id="106" w:name="_Toc128133832"/>
      <w:r w:rsidRPr="5E4DB3C2">
        <w:rPr>
          <w:rFonts w:eastAsia="Calibri"/>
        </w:rPr>
        <w:t>APMS Prevalence of Serious and Enduring Mental Health Conditions</w:t>
      </w:r>
      <w:bookmarkEnd w:id="106"/>
      <w:r w:rsidRPr="5E4DB3C2">
        <w:rPr>
          <w:rFonts w:eastAsia="Calibri"/>
        </w:rPr>
        <w:t xml:space="preserve"> </w:t>
      </w:r>
    </w:p>
    <w:p w14:paraId="6A60FA11" w14:textId="77777777" w:rsidR="009E5B48" w:rsidRDefault="009E5B48" w:rsidP="009E5B48">
      <w:r w:rsidRPr="5E4DB3C2">
        <w:rPr>
          <w:rFonts w:ascii="Calibri" w:eastAsia="Calibri" w:hAnsi="Calibri" w:cs="Calibri"/>
          <w:b/>
          <w:bCs/>
        </w:rPr>
        <w:t>Incidence of SMI in West Kent.</w:t>
      </w:r>
    </w:p>
    <w:p w14:paraId="25665F21" w14:textId="77777777" w:rsidR="009E5B48" w:rsidRDefault="009E5B48" w:rsidP="009E5B48">
      <w:pPr>
        <w:jc w:val="both"/>
      </w:pPr>
      <w:r w:rsidRPr="5E4DB3C2">
        <w:rPr>
          <w:rFonts w:ascii="Calibri" w:eastAsia="Calibri" w:hAnsi="Calibri" w:cs="Calibri"/>
        </w:rPr>
        <w:t>There is no recent nationally accepted marker for incidence of SMI other than a benchmark created in 2011. Using this crude rate (</w:t>
      </w:r>
      <w:bookmarkStart w:id="107" w:name="_Int_r8J2ugoS"/>
      <w:r w:rsidRPr="5E4DB3C2">
        <w:rPr>
          <w:rFonts w:ascii="Calibri" w:eastAsia="Calibri" w:hAnsi="Calibri" w:cs="Calibri"/>
        </w:rPr>
        <w:t>OHID</w:t>
      </w:r>
      <w:bookmarkEnd w:id="107"/>
      <w:r w:rsidRPr="5E4DB3C2">
        <w:rPr>
          <w:rFonts w:ascii="Calibri" w:eastAsia="Calibri" w:hAnsi="Calibri" w:cs="Calibri"/>
        </w:rPr>
        <w:t>) it is estimated that West Kent will have 52 new cases of psychosis each year (rate 18.4 per 100,000). England’s benchmark is 18.1.</w:t>
      </w:r>
    </w:p>
    <w:p w14:paraId="635C3F9D" w14:textId="268C4F7D" w:rsidR="009E5B48" w:rsidRDefault="009E5B48" w:rsidP="00F00D89">
      <w:pPr>
        <w:pStyle w:val="Heading2"/>
        <w:rPr>
          <w:rFonts w:eastAsia="Calibri"/>
        </w:rPr>
      </w:pPr>
      <w:bookmarkStart w:id="108" w:name="_Toc128133833"/>
      <w:r w:rsidRPr="347D5DEF">
        <w:rPr>
          <w:rFonts w:eastAsia="Calibri"/>
        </w:rPr>
        <w:t xml:space="preserve">Common Mental Illness (Depression) </w:t>
      </w:r>
      <w:bookmarkStart w:id="109" w:name="_Int_q8slmYYc"/>
      <w:proofErr w:type="spellStart"/>
      <w:r w:rsidR="00982582" w:rsidRPr="347D5DEF">
        <w:rPr>
          <w:rFonts w:eastAsia="Calibri"/>
        </w:rPr>
        <w:t>Q</w:t>
      </w:r>
      <w:r w:rsidR="00982582">
        <w:rPr>
          <w:rFonts w:eastAsia="Calibri"/>
        </w:rPr>
        <w:t>o</w:t>
      </w:r>
      <w:r w:rsidR="00982582" w:rsidRPr="347D5DEF">
        <w:rPr>
          <w:rFonts w:eastAsia="Calibri"/>
        </w:rPr>
        <w:t>F</w:t>
      </w:r>
      <w:bookmarkEnd w:id="108"/>
      <w:bookmarkEnd w:id="109"/>
      <w:proofErr w:type="spellEnd"/>
    </w:p>
    <w:p w14:paraId="650166F0" w14:textId="6678356A" w:rsidR="009E5B48" w:rsidRDefault="009E5B48" w:rsidP="009E5B48">
      <w:pPr>
        <w:jc w:val="both"/>
      </w:pPr>
      <w:r w:rsidRPr="32F7F25D">
        <w:rPr>
          <w:rFonts w:ascii="Calibri" w:eastAsia="Calibri" w:hAnsi="Calibri" w:cs="Calibri"/>
        </w:rPr>
        <w:t xml:space="preserve">West Kent has a </w:t>
      </w:r>
      <w:bookmarkStart w:id="110" w:name="_Int_OTUZ88bC"/>
      <w:r w:rsidRPr="32F7F25D">
        <w:rPr>
          <w:rFonts w:ascii="Calibri" w:eastAsia="Calibri" w:hAnsi="Calibri" w:cs="Calibri"/>
        </w:rPr>
        <w:t>South East</w:t>
      </w:r>
      <w:bookmarkEnd w:id="110"/>
      <w:r w:rsidRPr="32F7F25D">
        <w:rPr>
          <w:rFonts w:ascii="Calibri" w:eastAsia="Calibri" w:hAnsi="Calibri" w:cs="Calibri"/>
        </w:rPr>
        <w:t xml:space="preserve"> regional average for </w:t>
      </w:r>
      <w:proofErr w:type="spellStart"/>
      <w:r w:rsidRPr="32F7F25D">
        <w:rPr>
          <w:rFonts w:ascii="Calibri" w:eastAsia="Calibri" w:hAnsi="Calibri" w:cs="Calibri"/>
        </w:rPr>
        <w:t>QoF</w:t>
      </w:r>
      <w:proofErr w:type="spellEnd"/>
      <w:r w:rsidRPr="32F7F25D">
        <w:rPr>
          <w:rFonts w:ascii="Calibri" w:eastAsia="Calibri" w:hAnsi="Calibri" w:cs="Calibri"/>
        </w:rPr>
        <w:t xml:space="preserve"> prevalence estimate for depression, 13.4%</w:t>
      </w:r>
      <w:r w:rsidR="00A86C19">
        <w:rPr>
          <w:rFonts w:ascii="Calibri" w:eastAsia="Calibri" w:hAnsi="Calibri" w:cs="Calibri"/>
        </w:rPr>
        <w:t>,</w:t>
      </w:r>
      <w:r w:rsidRPr="32F7F25D">
        <w:rPr>
          <w:rFonts w:ascii="Calibri" w:eastAsia="Calibri" w:hAnsi="Calibri" w:cs="Calibri"/>
        </w:rPr>
        <w:t xml:space="preserve"> which is higher than the national </w:t>
      </w:r>
      <w:proofErr w:type="spellStart"/>
      <w:r w:rsidR="00A86C19" w:rsidRPr="32F7F25D">
        <w:rPr>
          <w:rFonts w:ascii="Calibri" w:eastAsia="Calibri" w:hAnsi="Calibri" w:cs="Calibri"/>
        </w:rPr>
        <w:t>Q</w:t>
      </w:r>
      <w:r w:rsidR="00A86C19">
        <w:rPr>
          <w:rFonts w:ascii="Calibri" w:eastAsia="Calibri" w:hAnsi="Calibri" w:cs="Calibri"/>
        </w:rPr>
        <w:t>o</w:t>
      </w:r>
      <w:r w:rsidR="00A86C19" w:rsidRPr="32F7F25D">
        <w:rPr>
          <w:rFonts w:ascii="Calibri" w:eastAsia="Calibri" w:hAnsi="Calibri" w:cs="Calibri"/>
        </w:rPr>
        <w:t>F</w:t>
      </w:r>
      <w:proofErr w:type="spellEnd"/>
      <w:r w:rsidR="00A86C19" w:rsidRPr="32F7F25D">
        <w:rPr>
          <w:rFonts w:ascii="Calibri" w:eastAsia="Calibri" w:hAnsi="Calibri" w:cs="Calibri"/>
        </w:rPr>
        <w:t xml:space="preserve"> </w:t>
      </w:r>
      <w:r w:rsidRPr="32F7F25D">
        <w:rPr>
          <w:rFonts w:ascii="Calibri" w:eastAsia="Calibri" w:hAnsi="Calibri" w:cs="Calibri"/>
        </w:rPr>
        <w:t xml:space="preserve">prevalence of 12.3%. The incidence of depression in West Kent (1.4%) is same as the England average (1.4%), however, it is lower than the incidence </w:t>
      </w:r>
      <w:r w:rsidR="00AF37D0">
        <w:rPr>
          <w:rFonts w:ascii="Calibri" w:eastAsia="Calibri" w:hAnsi="Calibri" w:cs="Calibri"/>
        </w:rPr>
        <w:t>for</w:t>
      </w:r>
      <w:r w:rsidRPr="32F7F25D">
        <w:rPr>
          <w:rFonts w:ascii="Calibri" w:eastAsia="Calibri" w:hAnsi="Calibri" w:cs="Calibri"/>
        </w:rPr>
        <w:t xml:space="preserve"> Kent and Medway (1.7%).</w:t>
      </w:r>
    </w:p>
    <w:p w14:paraId="01D6FD87" w14:textId="77777777" w:rsidR="009E5B48" w:rsidRDefault="009E5B48" w:rsidP="00F00D89">
      <w:pPr>
        <w:pStyle w:val="Heading2"/>
      </w:pPr>
      <w:bookmarkStart w:id="111" w:name="_Toc128133834"/>
      <w:r w:rsidRPr="5E4DB3C2">
        <w:rPr>
          <w:rFonts w:eastAsia="Calibri"/>
        </w:rPr>
        <w:t xml:space="preserve">Depression </w:t>
      </w:r>
      <w:proofErr w:type="spellStart"/>
      <w:r w:rsidRPr="5E4DB3C2">
        <w:rPr>
          <w:rFonts w:eastAsia="Calibri"/>
        </w:rPr>
        <w:t>QoF</w:t>
      </w:r>
      <w:proofErr w:type="spellEnd"/>
      <w:r w:rsidRPr="5E4DB3C2">
        <w:rPr>
          <w:rFonts w:eastAsia="Calibri"/>
        </w:rPr>
        <w:t xml:space="preserve"> in West Kent PCNs</w:t>
      </w:r>
      <w:bookmarkEnd w:id="111"/>
    </w:p>
    <w:p w14:paraId="2FC8CC95" w14:textId="7EC92395" w:rsidR="009E5B48" w:rsidRDefault="009E5B48" w:rsidP="00D1594F">
      <w:r w:rsidRPr="32F7F25D">
        <w:rPr>
          <w:rFonts w:ascii="Calibri" w:eastAsia="Calibri" w:hAnsi="Calibri" w:cs="Calibri"/>
        </w:rPr>
        <w:t xml:space="preserve">The ABC PCN has highest levels of depression compared to the other West Kent PCNs and it is also one of the more deprived PCNs of West Kent in 2021/22. The percentage of registered patients aged 18+ with depression is </w:t>
      </w:r>
      <w:bookmarkStart w:id="112" w:name="_Int_XYCQ56n6"/>
      <w:r w:rsidRPr="32F7F25D">
        <w:rPr>
          <w:rFonts w:ascii="Calibri" w:eastAsia="Calibri" w:hAnsi="Calibri" w:cs="Calibri"/>
        </w:rPr>
        <w:t>similar to</w:t>
      </w:r>
      <w:bookmarkEnd w:id="112"/>
      <w:r w:rsidRPr="32F7F25D">
        <w:rPr>
          <w:rFonts w:ascii="Calibri" w:eastAsia="Calibri" w:hAnsi="Calibri" w:cs="Calibri"/>
        </w:rPr>
        <w:t xml:space="preserve"> the Kent and Medway average for Ridge, Tonbridge, Malling, Tunbridge Wells </w:t>
      </w:r>
      <w:r w:rsidR="00561158">
        <w:rPr>
          <w:rFonts w:ascii="Calibri" w:eastAsia="Calibri" w:hAnsi="Calibri" w:cs="Calibri"/>
        </w:rPr>
        <w:t>PCNs</w:t>
      </w:r>
      <w:r w:rsidR="00D95B9F">
        <w:rPr>
          <w:rFonts w:ascii="Calibri" w:eastAsia="Calibri" w:hAnsi="Calibri" w:cs="Calibri"/>
        </w:rPr>
        <w:t xml:space="preserve"> </w:t>
      </w:r>
      <w:r w:rsidRPr="32F7F25D">
        <w:rPr>
          <w:rFonts w:ascii="Calibri" w:eastAsia="Calibri" w:hAnsi="Calibri" w:cs="Calibri"/>
        </w:rPr>
        <w:t xml:space="preserve">as shown in figure </w:t>
      </w:r>
      <w:r w:rsidR="00B3426A">
        <w:rPr>
          <w:rFonts w:ascii="Calibri" w:eastAsia="Calibri" w:hAnsi="Calibri" w:cs="Calibri"/>
        </w:rPr>
        <w:t>69</w:t>
      </w:r>
      <w:r w:rsidRPr="32F7F25D">
        <w:rPr>
          <w:rFonts w:ascii="Calibri" w:eastAsia="Calibri" w:hAnsi="Calibri" w:cs="Calibri"/>
        </w:rPr>
        <w:t xml:space="preserve"> below. ABC has higher prevalence of depression compared to the Kent and Medway average whilst Maidstone Central and South, Sevenoaks, and Weald</w:t>
      </w:r>
      <w:r w:rsidR="00701C4D">
        <w:rPr>
          <w:rFonts w:ascii="Calibri" w:eastAsia="Calibri" w:hAnsi="Calibri" w:cs="Calibri"/>
        </w:rPr>
        <w:t xml:space="preserve"> PCNs</w:t>
      </w:r>
      <w:r w:rsidRPr="32F7F25D">
        <w:rPr>
          <w:rFonts w:ascii="Calibri" w:eastAsia="Calibri" w:hAnsi="Calibri" w:cs="Calibri"/>
        </w:rPr>
        <w:t xml:space="preserve"> have lower prevalence in 2021/22.</w:t>
      </w:r>
    </w:p>
    <w:p w14:paraId="455D2DDF" w14:textId="15EAE314" w:rsidR="009E5B48" w:rsidRDefault="009E5B48" w:rsidP="00D1594F">
      <w:pPr>
        <w:rPr>
          <w:rFonts w:ascii="Calibri" w:eastAsia="Calibri" w:hAnsi="Calibri" w:cs="Calibri"/>
          <w:b/>
          <w:bCs/>
        </w:rPr>
      </w:pPr>
      <w:r w:rsidRPr="5E4DB3C2">
        <w:rPr>
          <w:rFonts w:ascii="Calibri" w:eastAsia="Calibri" w:hAnsi="Calibri" w:cs="Calibri"/>
          <w:b/>
          <w:bCs/>
        </w:rPr>
        <w:t xml:space="preserve">Figure </w:t>
      </w:r>
      <w:r w:rsidR="00B3426A">
        <w:rPr>
          <w:rFonts w:ascii="Calibri" w:eastAsia="Calibri" w:hAnsi="Calibri" w:cs="Calibri"/>
          <w:b/>
          <w:bCs/>
        </w:rPr>
        <w:t>69</w:t>
      </w:r>
      <w:r w:rsidRPr="5E4DB3C2">
        <w:rPr>
          <w:rFonts w:ascii="Calibri" w:eastAsia="Calibri" w:hAnsi="Calibri" w:cs="Calibri"/>
          <w:b/>
          <w:bCs/>
        </w:rPr>
        <w:t xml:space="preserve"> Depression prevalence recorded in Primary care in West Kent, 2021-2022</w:t>
      </w:r>
    </w:p>
    <w:p w14:paraId="2E0513E4" w14:textId="46649786" w:rsidR="009E5B48" w:rsidRDefault="009E5B48" w:rsidP="00D1594F">
      <w:r>
        <w:rPr>
          <w:noProof/>
        </w:rPr>
        <w:drawing>
          <wp:inline distT="0" distB="0" distL="0" distR="0" wp14:anchorId="608300A3" wp14:editId="47179AF9">
            <wp:extent cx="5332242" cy="3088257"/>
            <wp:effectExtent l="0" t="0" r="1905" b="0"/>
            <wp:docPr id="1802914228" name="Picture 1802914228" descr="A combination chart showing depression prevalence recorded in primary care in West Kent PCNs. Out of the 9 PCNs 2 showed a higher prevalence then the Kent and Medway average with 14.4% of the registered 18+ population in ABC PCN and 15% in Tunbridge Wells PCN recorded as depression. The lowest % was seen in Maidstone Central PCN at 11.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14228" name="Picture 1802914228" descr="A combination chart showing depression prevalence recorded in primary care in West Kent PCNs. Out of the 9 PCNs 2 showed a higher prevalence then the Kent and Medway average with 14.4% of the registered 18+ population in ABC PCN and 15% in Tunbridge Wells PCN recorded as depression. The lowest % was seen in Maidstone Central PCN at 11.6%.">
                      <a:extLst>
                        <a:ext uri="{C183D7F6-B498-43B3-948B-1728B52AA6E4}">
                          <adec:decorative xmlns:adec="http://schemas.microsoft.com/office/drawing/2017/decorative" val="0"/>
                        </a:ext>
                      </a:extLst>
                    </pic:cNvPr>
                    <pic:cNvPicPr/>
                  </pic:nvPicPr>
                  <pic:blipFill>
                    <a:blip r:embed="rId120">
                      <a:extLst>
                        <a:ext uri="{28A0092B-C50C-407E-A947-70E740481C1C}">
                          <a14:useLocalDpi xmlns:a14="http://schemas.microsoft.com/office/drawing/2010/main" val="0"/>
                        </a:ext>
                      </a:extLst>
                    </a:blip>
                    <a:stretch>
                      <a:fillRect/>
                    </a:stretch>
                  </pic:blipFill>
                  <pic:spPr>
                    <a:xfrm>
                      <a:off x="0" y="0"/>
                      <a:ext cx="5345428" cy="3095894"/>
                    </a:xfrm>
                    <a:prstGeom prst="rect">
                      <a:avLst/>
                    </a:prstGeom>
                  </pic:spPr>
                </pic:pic>
              </a:graphicData>
            </a:graphic>
          </wp:inline>
        </w:drawing>
      </w:r>
    </w:p>
    <w:p w14:paraId="13D8EDD8" w14:textId="77777777" w:rsidR="009E5B48" w:rsidRDefault="009E5B48" w:rsidP="00F00D89">
      <w:pPr>
        <w:pStyle w:val="Heading2"/>
      </w:pPr>
      <w:bookmarkStart w:id="113" w:name="_Toc128133835"/>
      <w:r w:rsidRPr="5E4DB3C2">
        <w:rPr>
          <w:rFonts w:eastAsia="Calibri"/>
        </w:rPr>
        <w:lastRenderedPageBreak/>
        <w:t>Other Indicators of population Common Mental Health for West Kent</w:t>
      </w:r>
      <w:bookmarkEnd w:id="113"/>
      <w:r w:rsidRPr="5E4DB3C2">
        <w:rPr>
          <w:rFonts w:eastAsia="Calibri"/>
        </w:rPr>
        <w:t xml:space="preserve"> </w:t>
      </w:r>
    </w:p>
    <w:p w14:paraId="04292D0C" w14:textId="19CC8A3F" w:rsidR="009E5B48" w:rsidRDefault="009E5B48" w:rsidP="00D1594F">
      <w:r w:rsidRPr="5E4DB3C2">
        <w:rPr>
          <w:rFonts w:ascii="Calibri" w:eastAsia="Calibri" w:hAnsi="Calibri" w:cs="Calibri"/>
        </w:rPr>
        <w:t>Data available nationally is from 2019/20 and</w:t>
      </w:r>
      <w:r w:rsidR="003F6EA5">
        <w:rPr>
          <w:rFonts w:ascii="Calibri" w:eastAsia="Calibri" w:hAnsi="Calibri" w:cs="Calibri"/>
        </w:rPr>
        <w:t xml:space="preserve"> is</w:t>
      </w:r>
      <w:r w:rsidRPr="5E4DB3C2">
        <w:rPr>
          <w:rFonts w:ascii="Calibri" w:eastAsia="Calibri" w:hAnsi="Calibri" w:cs="Calibri"/>
        </w:rPr>
        <w:t xml:space="preserve"> therefore historic. There are several key indicators that can be useful for ‘triangulating’ actions on tackling depression and CMI at primary care. There are: </w:t>
      </w:r>
    </w:p>
    <w:p w14:paraId="3AB1D3F7" w14:textId="77777777" w:rsidR="009E5B48" w:rsidRDefault="009E5B48" w:rsidP="00D1594F">
      <w:pPr>
        <w:pStyle w:val="ListParagraph"/>
        <w:numPr>
          <w:ilvl w:val="0"/>
          <w:numId w:val="9"/>
        </w:numPr>
        <w:rPr>
          <w:rFonts w:ascii="Calibri" w:eastAsia="Calibri" w:hAnsi="Calibri" w:cs="Calibri"/>
          <w:sz w:val="24"/>
          <w:szCs w:val="24"/>
        </w:rPr>
      </w:pPr>
      <w:r w:rsidRPr="5E4DB3C2">
        <w:rPr>
          <w:rFonts w:ascii="Calibri" w:eastAsia="Calibri" w:hAnsi="Calibri" w:cs="Calibri"/>
          <w:sz w:val="24"/>
          <w:szCs w:val="24"/>
        </w:rPr>
        <w:t xml:space="preserve">Access to IAPT services as a % of anxiety and depression prevalence. In 2019/20 West Kent </w:t>
      </w:r>
      <w:bookmarkStart w:id="114" w:name="_Int_36DXGDVj"/>
      <w:r w:rsidRPr="5E4DB3C2">
        <w:rPr>
          <w:rFonts w:ascii="Calibri" w:eastAsia="Calibri" w:hAnsi="Calibri" w:cs="Calibri"/>
          <w:sz w:val="24"/>
          <w:szCs w:val="24"/>
        </w:rPr>
        <w:t>CCG</w:t>
      </w:r>
      <w:bookmarkEnd w:id="114"/>
      <w:r w:rsidRPr="5E4DB3C2">
        <w:rPr>
          <w:rFonts w:ascii="Calibri" w:eastAsia="Calibri" w:hAnsi="Calibri" w:cs="Calibri"/>
          <w:sz w:val="24"/>
          <w:szCs w:val="24"/>
        </w:rPr>
        <w:t xml:space="preserve"> had 20% of its predicted treatment population accessing NHS counselling services (higher than the England average).</w:t>
      </w:r>
    </w:p>
    <w:p w14:paraId="531D83D2" w14:textId="77777777" w:rsidR="009E5B48" w:rsidRDefault="009E5B48" w:rsidP="00D1594F">
      <w:pPr>
        <w:pStyle w:val="ListParagraph"/>
        <w:numPr>
          <w:ilvl w:val="0"/>
          <w:numId w:val="9"/>
        </w:numPr>
        <w:rPr>
          <w:rFonts w:ascii="Calibri" w:eastAsia="Calibri" w:hAnsi="Calibri" w:cs="Calibri"/>
          <w:sz w:val="24"/>
          <w:szCs w:val="24"/>
        </w:rPr>
      </w:pPr>
      <w:r w:rsidRPr="5E4DB3C2">
        <w:rPr>
          <w:rFonts w:ascii="Calibri" w:eastAsia="Calibri" w:hAnsi="Calibri" w:cs="Calibri"/>
          <w:sz w:val="24"/>
          <w:szCs w:val="24"/>
        </w:rPr>
        <w:t xml:space="preserve">In 2019/20 there was an increasing number of people entering IAPT services – but still lower than the England average. This is likely to have increased further in recent years. </w:t>
      </w:r>
    </w:p>
    <w:p w14:paraId="2E56E801" w14:textId="77777777" w:rsidR="009E5B48" w:rsidRDefault="009E5B48" w:rsidP="00D1594F">
      <w:pPr>
        <w:pStyle w:val="ListParagraph"/>
        <w:numPr>
          <w:ilvl w:val="0"/>
          <w:numId w:val="9"/>
        </w:numPr>
        <w:rPr>
          <w:rFonts w:ascii="Calibri" w:eastAsia="Calibri" w:hAnsi="Calibri" w:cs="Calibri"/>
          <w:sz w:val="24"/>
          <w:szCs w:val="24"/>
        </w:rPr>
      </w:pPr>
      <w:r w:rsidRPr="32F7F25D">
        <w:rPr>
          <w:rFonts w:ascii="Calibri" w:eastAsia="Calibri" w:hAnsi="Calibri" w:cs="Calibri"/>
          <w:sz w:val="24"/>
          <w:szCs w:val="24"/>
        </w:rPr>
        <w:t xml:space="preserve">However, in 2019/20 West Kent had one of the lowest IAPT completion rates (65 per 100,000 population) in the </w:t>
      </w:r>
      <w:bookmarkStart w:id="115" w:name="_Int_JPRK2Mdi"/>
      <w:r w:rsidRPr="32F7F25D">
        <w:rPr>
          <w:rFonts w:ascii="Calibri" w:eastAsia="Calibri" w:hAnsi="Calibri" w:cs="Calibri"/>
          <w:sz w:val="24"/>
          <w:szCs w:val="24"/>
        </w:rPr>
        <w:t>South East</w:t>
      </w:r>
      <w:bookmarkEnd w:id="115"/>
      <w:r w:rsidRPr="32F7F25D">
        <w:rPr>
          <w:rFonts w:ascii="Calibri" w:eastAsia="Calibri" w:hAnsi="Calibri" w:cs="Calibri"/>
          <w:sz w:val="24"/>
          <w:szCs w:val="24"/>
        </w:rPr>
        <w:t xml:space="preserve">. It will be important to monitor progress against that baseline benchmark. </w:t>
      </w:r>
    </w:p>
    <w:p w14:paraId="570F4A99" w14:textId="77777777" w:rsidR="009E5B48" w:rsidRDefault="009E5B48" w:rsidP="00D1594F">
      <w:pPr>
        <w:pStyle w:val="ListParagraph"/>
        <w:numPr>
          <w:ilvl w:val="0"/>
          <w:numId w:val="9"/>
        </w:numPr>
        <w:rPr>
          <w:rFonts w:ascii="Calibri" w:eastAsia="Calibri" w:hAnsi="Calibri" w:cs="Calibri"/>
          <w:sz w:val="24"/>
          <w:szCs w:val="24"/>
        </w:rPr>
      </w:pPr>
      <w:r w:rsidRPr="15853314">
        <w:rPr>
          <w:rFonts w:ascii="Calibri" w:eastAsia="Calibri" w:hAnsi="Calibri" w:cs="Calibri"/>
          <w:sz w:val="24"/>
          <w:szCs w:val="24"/>
        </w:rPr>
        <w:t xml:space="preserve">It is anticipated that more up to date data regarding IAPT will be available in 2023. </w:t>
      </w:r>
    </w:p>
    <w:p w14:paraId="00ADC06E" w14:textId="77777777" w:rsidR="009E5B48" w:rsidRDefault="009E5B48" w:rsidP="00F00D89">
      <w:pPr>
        <w:pStyle w:val="Heading2"/>
      </w:pPr>
      <w:bookmarkStart w:id="116" w:name="_Toc128133836"/>
      <w:r w:rsidRPr="5E4DB3C2">
        <w:rPr>
          <w:rFonts w:eastAsia="Calibri"/>
        </w:rPr>
        <w:t>Serious and Enduring Mental Illness in West Kent</w:t>
      </w:r>
      <w:bookmarkEnd w:id="116"/>
      <w:r w:rsidRPr="5E4DB3C2">
        <w:rPr>
          <w:rFonts w:eastAsia="Calibri"/>
        </w:rPr>
        <w:t xml:space="preserve"> </w:t>
      </w:r>
    </w:p>
    <w:p w14:paraId="24BBDE35" w14:textId="3DBD2EA7" w:rsidR="009E5B48" w:rsidRDefault="009E5B48" w:rsidP="00D1594F">
      <w:r w:rsidRPr="5E4DB3C2">
        <w:rPr>
          <w:rFonts w:ascii="Calibri" w:eastAsia="Calibri" w:hAnsi="Calibri" w:cs="Calibri"/>
        </w:rPr>
        <w:t xml:space="preserve">In West Kent in 2019/20 there were </w:t>
      </w:r>
      <w:r w:rsidRPr="00232C2F">
        <w:rPr>
          <w:rFonts w:ascii="Calibri" w:eastAsia="Calibri" w:hAnsi="Calibri" w:cs="Calibri"/>
        </w:rPr>
        <w:t>7</w:t>
      </w:r>
      <w:r w:rsidR="00256F2F" w:rsidRPr="00232C2F">
        <w:rPr>
          <w:rFonts w:ascii="Calibri" w:eastAsia="Calibri" w:hAnsi="Calibri" w:cs="Calibri"/>
        </w:rPr>
        <w:t>,</w:t>
      </w:r>
      <w:r w:rsidRPr="00232C2F">
        <w:rPr>
          <w:rFonts w:ascii="Calibri" w:eastAsia="Calibri" w:hAnsi="Calibri" w:cs="Calibri"/>
        </w:rPr>
        <w:t>995</w:t>
      </w:r>
      <w:r w:rsidRPr="5E4DB3C2">
        <w:rPr>
          <w:rFonts w:ascii="Calibri" w:eastAsia="Calibri" w:hAnsi="Calibri" w:cs="Calibri"/>
        </w:rPr>
        <w:t xml:space="preserve"> adults (aged 18+) in contact with specialist adult mental health services. This is a rate of 2,100 per 100,000 population. It was the second lowest in Kent and well below the England average of 2</w:t>
      </w:r>
      <w:r w:rsidR="008B1F63">
        <w:rPr>
          <w:rFonts w:ascii="Calibri" w:eastAsia="Calibri" w:hAnsi="Calibri" w:cs="Calibri"/>
        </w:rPr>
        <w:t>,</w:t>
      </w:r>
      <w:r w:rsidRPr="5E4DB3C2">
        <w:rPr>
          <w:rFonts w:ascii="Calibri" w:eastAsia="Calibri" w:hAnsi="Calibri" w:cs="Calibri"/>
        </w:rPr>
        <w:t xml:space="preserve">381 per 100,000 population. The trend is increasing in West Kent and there are variations across </w:t>
      </w:r>
      <w:r w:rsidR="008B1F63">
        <w:rPr>
          <w:rFonts w:ascii="Calibri" w:eastAsia="Calibri" w:hAnsi="Calibri" w:cs="Calibri"/>
        </w:rPr>
        <w:t>W</w:t>
      </w:r>
      <w:r w:rsidR="008B1F63" w:rsidRPr="5E4DB3C2">
        <w:rPr>
          <w:rFonts w:ascii="Calibri" w:eastAsia="Calibri" w:hAnsi="Calibri" w:cs="Calibri"/>
        </w:rPr>
        <w:t xml:space="preserve">est </w:t>
      </w:r>
      <w:r w:rsidRPr="5E4DB3C2">
        <w:rPr>
          <w:rFonts w:ascii="Calibri" w:eastAsia="Calibri" w:hAnsi="Calibri" w:cs="Calibri"/>
        </w:rPr>
        <w:t xml:space="preserve">Kent PCNs. </w:t>
      </w:r>
    </w:p>
    <w:p w14:paraId="56484B1B" w14:textId="071B3213" w:rsidR="009E5B48" w:rsidRDefault="009E5B48" w:rsidP="00F00D89">
      <w:pPr>
        <w:pStyle w:val="Heading2"/>
      </w:pPr>
      <w:bookmarkStart w:id="117" w:name="_Toc128133837"/>
      <w:r w:rsidRPr="5E4DB3C2">
        <w:rPr>
          <w:rFonts w:eastAsia="Calibri"/>
        </w:rPr>
        <w:t>SMI (Psychosis) in Primary Care</w:t>
      </w:r>
      <w:bookmarkEnd w:id="117"/>
    </w:p>
    <w:p w14:paraId="2E762476" w14:textId="052AF26A" w:rsidR="009E5B48" w:rsidRDefault="009E5B48" w:rsidP="00D1594F">
      <w:r w:rsidRPr="5E4DB3C2">
        <w:rPr>
          <w:rFonts w:ascii="Calibri" w:eastAsia="Calibri" w:hAnsi="Calibri" w:cs="Calibri"/>
        </w:rPr>
        <w:t xml:space="preserve">The prevalence of serious mental illness has increased slightly for most PCNs in West Kent HCP. However, for South Maidstone and ABC PCNs there is a sharper increase from 2014 to 2022. Tunbridge Wells, ABC and Maidstone Central </w:t>
      </w:r>
      <w:r w:rsidR="005B4F43">
        <w:rPr>
          <w:rFonts w:ascii="Calibri" w:eastAsia="Calibri" w:hAnsi="Calibri" w:cs="Calibri"/>
        </w:rPr>
        <w:t xml:space="preserve">PCNs </w:t>
      </w:r>
      <w:r w:rsidRPr="5E4DB3C2">
        <w:rPr>
          <w:rFonts w:ascii="Calibri" w:eastAsia="Calibri" w:hAnsi="Calibri" w:cs="Calibri"/>
        </w:rPr>
        <w:t>have higher rates of serious mental illness compared to the Kent and Medway average for most years, whilst it has been lower for Weald, Malling, Ridge, Sevenoaks, and Tonbridge PCNs</w:t>
      </w:r>
      <w:r w:rsidR="00563BB2">
        <w:rPr>
          <w:rFonts w:ascii="Calibri" w:eastAsia="Calibri" w:hAnsi="Calibri" w:cs="Calibri"/>
        </w:rPr>
        <w:t>.</w:t>
      </w:r>
    </w:p>
    <w:p w14:paraId="4CAF938B" w14:textId="77777777" w:rsidR="002F2E25" w:rsidRDefault="002F2E25">
      <w:pPr>
        <w:spacing w:before="0" w:after="200"/>
        <w:rPr>
          <w:b/>
          <w:bCs/>
        </w:rPr>
      </w:pPr>
      <w:r>
        <w:rPr>
          <w:b/>
          <w:bCs/>
        </w:rPr>
        <w:br w:type="page"/>
      </w:r>
    </w:p>
    <w:p w14:paraId="05619657" w14:textId="6C4275D6" w:rsidR="009E5B48" w:rsidRPr="009D38FF" w:rsidRDefault="009E5B48" w:rsidP="00D1594F">
      <w:pPr>
        <w:rPr>
          <w:b/>
          <w:bCs/>
        </w:rPr>
      </w:pPr>
      <w:r w:rsidRPr="009D38FF">
        <w:rPr>
          <w:b/>
          <w:bCs/>
        </w:rPr>
        <w:lastRenderedPageBreak/>
        <w:t>Figure 7</w:t>
      </w:r>
      <w:r w:rsidR="00B3426A">
        <w:rPr>
          <w:b/>
          <w:bCs/>
        </w:rPr>
        <w:t>0</w:t>
      </w:r>
      <w:r w:rsidRPr="009D38FF">
        <w:rPr>
          <w:b/>
          <w:bCs/>
        </w:rPr>
        <w:t xml:space="preserve"> Serious mental illness recorded in Primary care in West Kent, trend 2014-2022</w:t>
      </w:r>
    </w:p>
    <w:p w14:paraId="0BD1486C" w14:textId="77777777" w:rsidR="009E5B48" w:rsidRDefault="009E5B48" w:rsidP="00D1594F">
      <w:r w:rsidRPr="5E4DB3C2">
        <w:rPr>
          <w:rFonts w:ascii="Calibri" w:eastAsia="Calibri" w:hAnsi="Calibri" w:cs="Calibri"/>
        </w:rPr>
        <w:t xml:space="preserve"> </w:t>
      </w:r>
      <w:r>
        <w:rPr>
          <w:noProof/>
        </w:rPr>
        <w:drawing>
          <wp:inline distT="0" distB="0" distL="0" distR="0" wp14:anchorId="00C795B0" wp14:editId="7A5C465C">
            <wp:extent cx="5629275" cy="2826365"/>
            <wp:effectExtent l="0" t="0" r="0" b="0"/>
            <wp:docPr id="1946525769" name="Picture 1946525769" descr="A line chart showing trends in serious mental illness by PCN in West Kent. The general trend shows in gradual increase. Tunbridge Wells PCN had the highest rate for all years except 2020-21 when ABC was the highes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25769" name="Picture 1946525769" descr="A line chart showing trends in serious mental illness by PCN in West Kent. The general trend shows in gradual increase. Tunbridge Wells PCN had the highest rate for all years except 2020-21 when ABC was the highest. ">
                      <a:extLst>
                        <a:ext uri="{C183D7F6-B498-43B3-948B-1728B52AA6E4}">
                          <adec:decorative xmlns:adec="http://schemas.microsoft.com/office/drawing/2017/decorative" val="0"/>
                        </a:ext>
                      </a:extLst>
                    </pic:cNvPr>
                    <pic:cNvPicPr/>
                  </pic:nvPicPr>
                  <pic:blipFill>
                    <a:blip r:embed="rId121">
                      <a:extLst>
                        <a:ext uri="{28A0092B-C50C-407E-A947-70E740481C1C}">
                          <a14:useLocalDpi xmlns:a14="http://schemas.microsoft.com/office/drawing/2010/main" val="0"/>
                        </a:ext>
                      </a:extLst>
                    </a:blip>
                    <a:stretch>
                      <a:fillRect/>
                    </a:stretch>
                  </pic:blipFill>
                  <pic:spPr>
                    <a:xfrm>
                      <a:off x="0" y="0"/>
                      <a:ext cx="5629275" cy="2826365"/>
                    </a:xfrm>
                    <a:prstGeom prst="rect">
                      <a:avLst/>
                    </a:prstGeom>
                  </pic:spPr>
                </pic:pic>
              </a:graphicData>
            </a:graphic>
          </wp:inline>
        </w:drawing>
      </w:r>
    </w:p>
    <w:p w14:paraId="76D40F47" w14:textId="164C1A0D" w:rsidR="009E5B48" w:rsidRPr="00425EE0" w:rsidRDefault="009E5B48" w:rsidP="00D1594F">
      <w:pPr>
        <w:pStyle w:val="ListParagraph"/>
        <w:numPr>
          <w:ilvl w:val="0"/>
          <w:numId w:val="11"/>
        </w:numPr>
        <w:rPr>
          <w:rFonts w:ascii="Calibri" w:eastAsia="Calibri" w:hAnsi="Calibri" w:cs="Calibri"/>
          <w:sz w:val="24"/>
          <w:szCs w:val="24"/>
        </w:rPr>
      </w:pPr>
      <w:r w:rsidRPr="00425EE0">
        <w:rPr>
          <w:rFonts w:ascii="Calibri" w:eastAsia="Calibri" w:hAnsi="Calibri" w:cs="Calibri"/>
          <w:sz w:val="24"/>
          <w:szCs w:val="24"/>
        </w:rPr>
        <w:t>Tunbridge Wells PCN has</w:t>
      </w:r>
      <w:r w:rsidR="001877CE">
        <w:rPr>
          <w:rFonts w:ascii="Calibri" w:eastAsia="Calibri" w:hAnsi="Calibri" w:cs="Calibri"/>
          <w:sz w:val="24"/>
          <w:szCs w:val="24"/>
        </w:rPr>
        <w:t xml:space="preserve"> the</w:t>
      </w:r>
      <w:r w:rsidRPr="00425EE0">
        <w:rPr>
          <w:rFonts w:ascii="Calibri" w:eastAsia="Calibri" w:hAnsi="Calibri" w:cs="Calibri"/>
          <w:sz w:val="24"/>
          <w:szCs w:val="24"/>
        </w:rPr>
        <w:t xml:space="preserve"> highest levels of </w:t>
      </w:r>
      <w:r w:rsidR="0078678A">
        <w:rPr>
          <w:rFonts w:ascii="Calibri" w:eastAsia="Calibri" w:hAnsi="Calibri" w:cs="Calibri"/>
          <w:sz w:val="24"/>
          <w:szCs w:val="24"/>
        </w:rPr>
        <w:t>SMI</w:t>
      </w:r>
      <w:r w:rsidRPr="00425EE0">
        <w:rPr>
          <w:rFonts w:ascii="Calibri" w:eastAsia="Calibri" w:hAnsi="Calibri" w:cs="Calibri"/>
          <w:sz w:val="24"/>
          <w:szCs w:val="24"/>
        </w:rPr>
        <w:t xml:space="preserve"> compared to the other West Kent PCNs (2020/21) as shown in figure 70 and 71. </w:t>
      </w:r>
    </w:p>
    <w:p w14:paraId="405B11E7" w14:textId="009032CD" w:rsidR="009E5B48" w:rsidRPr="00425EE0" w:rsidRDefault="009E5B48" w:rsidP="00D1594F">
      <w:pPr>
        <w:pStyle w:val="ListParagraph"/>
        <w:numPr>
          <w:ilvl w:val="0"/>
          <w:numId w:val="11"/>
        </w:numPr>
        <w:rPr>
          <w:rFonts w:ascii="Calibri" w:eastAsia="Calibri" w:hAnsi="Calibri" w:cs="Calibri"/>
          <w:sz w:val="24"/>
          <w:szCs w:val="24"/>
        </w:rPr>
      </w:pPr>
      <w:r w:rsidRPr="00425EE0">
        <w:rPr>
          <w:rFonts w:ascii="Calibri" w:eastAsia="Calibri" w:hAnsi="Calibri" w:cs="Calibri"/>
          <w:sz w:val="24"/>
          <w:szCs w:val="24"/>
        </w:rPr>
        <w:t xml:space="preserve">The percentage of registered patients aged 18+ with </w:t>
      </w:r>
      <w:r w:rsidR="0078678A">
        <w:rPr>
          <w:rFonts w:ascii="Calibri" w:eastAsia="Calibri" w:hAnsi="Calibri" w:cs="Calibri"/>
          <w:sz w:val="24"/>
          <w:szCs w:val="24"/>
        </w:rPr>
        <w:t>SMI</w:t>
      </w:r>
      <w:r w:rsidRPr="00425EE0">
        <w:rPr>
          <w:rFonts w:ascii="Calibri" w:eastAsia="Calibri" w:hAnsi="Calibri" w:cs="Calibri"/>
          <w:sz w:val="24"/>
          <w:szCs w:val="24"/>
        </w:rPr>
        <w:t xml:space="preserve"> is </w:t>
      </w:r>
      <w:bookmarkStart w:id="118" w:name="_Int_GrOM64ed"/>
      <w:r w:rsidRPr="00425EE0">
        <w:rPr>
          <w:rFonts w:ascii="Calibri" w:eastAsia="Calibri" w:hAnsi="Calibri" w:cs="Calibri"/>
          <w:sz w:val="24"/>
          <w:szCs w:val="24"/>
        </w:rPr>
        <w:t>similar to</w:t>
      </w:r>
      <w:bookmarkEnd w:id="118"/>
      <w:r w:rsidRPr="00425EE0">
        <w:rPr>
          <w:rFonts w:ascii="Calibri" w:eastAsia="Calibri" w:hAnsi="Calibri" w:cs="Calibri"/>
          <w:sz w:val="24"/>
          <w:szCs w:val="24"/>
        </w:rPr>
        <w:t xml:space="preserve"> the Kent and Medway average for South Maidstone and Tonbridge PCNs. </w:t>
      </w:r>
    </w:p>
    <w:p w14:paraId="00CA8F2F" w14:textId="36F9A04A" w:rsidR="009E5B48" w:rsidRPr="00425EE0" w:rsidRDefault="009E5B48" w:rsidP="00D1594F">
      <w:pPr>
        <w:pStyle w:val="ListParagraph"/>
        <w:numPr>
          <w:ilvl w:val="0"/>
          <w:numId w:val="11"/>
        </w:numPr>
      </w:pPr>
      <w:r w:rsidRPr="15853314">
        <w:rPr>
          <w:rFonts w:ascii="Calibri" w:eastAsia="Calibri" w:hAnsi="Calibri" w:cs="Calibri"/>
          <w:sz w:val="24"/>
          <w:szCs w:val="24"/>
        </w:rPr>
        <w:t xml:space="preserve">ABC, Maidstone Central, and Tunbridge Wells PCNs have higher prevalence of </w:t>
      </w:r>
      <w:r w:rsidR="0078678A">
        <w:rPr>
          <w:rFonts w:ascii="Calibri" w:eastAsia="Calibri" w:hAnsi="Calibri" w:cs="Calibri"/>
          <w:sz w:val="24"/>
          <w:szCs w:val="24"/>
        </w:rPr>
        <w:t>SMI</w:t>
      </w:r>
      <w:r w:rsidRPr="15853314">
        <w:rPr>
          <w:rFonts w:ascii="Calibri" w:eastAsia="Calibri" w:hAnsi="Calibri" w:cs="Calibri"/>
          <w:sz w:val="24"/>
          <w:szCs w:val="24"/>
        </w:rPr>
        <w:t xml:space="preserve"> compared to the Kent and Medway average whilst Malling, Sevenoaks, Ridge, and Weald PCNs have lower prevalence.</w:t>
      </w:r>
    </w:p>
    <w:p w14:paraId="75E39D64" w14:textId="2E62F19C" w:rsidR="009E5B48" w:rsidRPr="009D38FF" w:rsidRDefault="009E5B48" w:rsidP="00D1594F">
      <w:pPr>
        <w:rPr>
          <w:rFonts w:eastAsia="Calibri"/>
          <w:b/>
          <w:bCs/>
        </w:rPr>
      </w:pPr>
      <w:r w:rsidRPr="009D38FF">
        <w:rPr>
          <w:rFonts w:eastAsia="Calibri"/>
          <w:b/>
          <w:bCs/>
          <w:color w:val="243F60"/>
        </w:rPr>
        <w:t>F</w:t>
      </w:r>
      <w:r w:rsidRPr="009D38FF">
        <w:rPr>
          <w:rFonts w:eastAsia="Calibri"/>
          <w:b/>
          <w:bCs/>
        </w:rPr>
        <w:t>igure 7</w:t>
      </w:r>
      <w:r w:rsidR="00B3426A">
        <w:rPr>
          <w:rFonts w:eastAsia="Calibri"/>
          <w:b/>
          <w:bCs/>
        </w:rPr>
        <w:t>1</w:t>
      </w:r>
      <w:r w:rsidRPr="009D38FF">
        <w:rPr>
          <w:rFonts w:eastAsia="Calibri"/>
          <w:b/>
          <w:bCs/>
        </w:rPr>
        <w:t xml:space="preserve"> Serious mental illness recorded in Primary care in West Kent, 2021-2022</w:t>
      </w:r>
    </w:p>
    <w:p w14:paraId="381A02AF" w14:textId="77777777" w:rsidR="009E5B48" w:rsidRDefault="009E5B48" w:rsidP="00D1594F">
      <w:r w:rsidRPr="5E4DB3C2">
        <w:rPr>
          <w:rFonts w:ascii="Calibri" w:eastAsia="Calibri" w:hAnsi="Calibri" w:cs="Calibri"/>
        </w:rPr>
        <w:t xml:space="preserve"> </w:t>
      </w:r>
      <w:r>
        <w:rPr>
          <w:noProof/>
        </w:rPr>
        <w:drawing>
          <wp:inline distT="0" distB="0" distL="0" distR="0" wp14:anchorId="67D54129" wp14:editId="3BAEAC84">
            <wp:extent cx="5688418" cy="3057525"/>
            <wp:effectExtent l="0" t="0" r="0" b="0"/>
            <wp:docPr id="1310027934" name="Picture 1310027934" descr="A combination chart showing the percentage of registered population recorded with serious mental illness by West Kent PCN. ABC, Maidstone Central, and Tunbridge Wells PCNs have higher prevalence of serious illness compared to the Kent and Medway average whilst Malling, Sevenoaks, Ridge, and Weald PCNs have lower preval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27934" name="Picture 1310027934" descr="A combination chart showing the percentage of registered population recorded with serious mental illness by West Kent PCN. ABC, Maidstone Central, and Tunbridge Wells PCNs have higher prevalence of serious illness compared to the Kent and Medway average whilst Malling, Sevenoaks, Ridge, and Weald PCNs have lower prevalence.">
                      <a:extLst>
                        <a:ext uri="{C183D7F6-B498-43B3-948B-1728B52AA6E4}">
                          <adec:decorative xmlns:adec="http://schemas.microsoft.com/office/drawing/2017/decorative" val="0"/>
                        </a:ext>
                      </a:extLst>
                    </pic:cNvPr>
                    <pic:cNvPicPr/>
                  </pic:nvPicPr>
                  <pic:blipFill>
                    <a:blip r:embed="rId122">
                      <a:extLst>
                        <a:ext uri="{28A0092B-C50C-407E-A947-70E740481C1C}">
                          <a14:useLocalDpi xmlns:a14="http://schemas.microsoft.com/office/drawing/2010/main" val="0"/>
                        </a:ext>
                      </a:extLst>
                    </a:blip>
                    <a:stretch>
                      <a:fillRect/>
                    </a:stretch>
                  </pic:blipFill>
                  <pic:spPr>
                    <a:xfrm>
                      <a:off x="0" y="0"/>
                      <a:ext cx="5688418" cy="3057525"/>
                    </a:xfrm>
                    <a:prstGeom prst="rect">
                      <a:avLst/>
                    </a:prstGeom>
                  </pic:spPr>
                </pic:pic>
              </a:graphicData>
            </a:graphic>
          </wp:inline>
        </w:drawing>
      </w:r>
    </w:p>
    <w:p w14:paraId="58E5D49B" w14:textId="77777777" w:rsidR="009E5B48" w:rsidRDefault="009E5B48" w:rsidP="00F00D89">
      <w:pPr>
        <w:pStyle w:val="Heading2"/>
      </w:pPr>
      <w:bookmarkStart w:id="119" w:name="_Toc128133838"/>
      <w:r w:rsidRPr="5E4DB3C2">
        <w:rPr>
          <w:rFonts w:eastAsia="Calibri"/>
        </w:rPr>
        <w:lastRenderedPageBreak/>
        <w:t>Mental Illness and Worklessness (Claiming Benefits)</w:t>
      </w:r>
      <w:bookmarkEnd w:id="119"/>
      <w:r w:rsidRPr="5E4DB3C2">
        <w:rPr>
          <w:rFonts w:eastAsia="Calibri"/>
        </w:rPr>
        <w:t xml:space="preserve"> </w:t>
      </w:r>
    </w:p>
    <w:p w14:paraId="041A20C5" w14:textId="4F721B58" w:rsidR="009E5B48" w:rsidRDefault="009E5B48" w:rsidP="00D1594F">
      <w:r w:rsidRPr="5E4DB3C2">
        <w:rPr>
          <w:rFonts w:ascii="Calibri" w:eastAsia="Calibri" w:hAnsi="Calibri" w:cs="Calibri"/>
        </w:rPr>
        <w:t xml:space="preserve">Another way to assess the extent of the scale of mental health problems in a local area is by counting those who are unable to work full time due to their mental health disability. The </w:t>
      </w:r>
      <w:bookmarkStart w:id="120" w:name="_Int_rGoD7oR3"/>
      <w:r w:rsidR="00B40D73">
        <w:rPr>
          <w:rFonts w:ascii="Calibri" w:eastAsia="Calibri" w:hAnsi="Calibri" w:cs="Calibri"/>
        </w:rPr>
        <w:t>new style</w:t>
      </w:r>
      <w:bookmarkEnd w:id="120"/>
      <w:r w:rsidR="00232486">
        <w:rPr>
          <w:rFonts w:ascii="Calibri" w:eastAsia="Calibri" w:hAnsi="Calibri" w:cs="Calibri"/>
        </w:rPr>
        <w:t xml:space="preserve"> </w:t>
      </w:r>
      <w:r w:rsidRPr="5E4DB3C2">
        <w:rPr>
          <w:rFonts w:ascii="Calibri" w:eastAsia="Calibri" w:hAnsi="Calibri" w:cs="Calibri"/>
        </w:rPr>
        <w:t xml:space="preserve">Employment Support Allowance (ESA) </w:t>
      </w:r>
      <w:r w:rsidR="00232486">
        <w:rPr>
          <w:rFonts w:ascii="Calibri" w:eastAsia="Calibri" w:hAnsi="Calibri" w:cs="Calibri"/>
        </w:rPr>
        <w:t xml:space="preserve">can be claimed at the same time as </w:t>
      </w:r>
      <w:r w:rsidR="00232486" w:rsidRPr="5E4DB3C2">
        <w:rPr>
          <w:rFonts w:ascii="Calibri" w:eastAsia="Calibri" w:hAnsi="Calibri" w:cs="Calibri"/>
        </w:rPr>
        <w:t>Universal</w:t>
      </w:r>
      <w:r w:rsidRPr="5E4DB3C2">
        <w:rPr>
          <w:rFonts w:ascii="Calibri" w:eastAsia="Calibri" w:hAnsi="Calibri" w:cs="Calibri"/>
        </w:rPr>
        <w:t xml:space="preserve"> Credit. However, these are the 2019/20 figures for West Kent districts. All West Kent districts are below the national and Kent average for benefits claimed. Maidstone is the highest in West Kent overall. </w:t>
      </w:r>
    </w:p>
    <w:p w14:paraId="7967CC9A" w14:textId="77777777" w:rsidR="009E5B48" w:rsidRPr="00F00597" w:rsidRDefault="009E5B48" w:rsidP="00F00D89">
      <w:pPr>
        <w:pStyle w:val="Heading2"/>
        <w:rPr>
          <w:rFonts w:eastAsia="Calibri"/>
        </w:rPr>
      </w:pPr>
      <w:bookmarkStart w:id="121" w:name="_Toc128133839"/>
      <w:r w:rsidRPr="00F00597">
        <w:rPr>
          <w:rFonts w:eastAsia="Calibri"/>
        </w:rPr>
        <w:t>Managing Demand: Hospital Admissions for Mental Illness</w:t>
      </w:r>
      <w:bookmarkEnd w:id="121"/>
      <w:r w:rsidRPr="00F00597">
        <w:rPr>
          <w:rFonts w:eastAsia="Calibri"/>
        </w:rPr>
        <w:t xml:space="preserve"> </w:t>
      </w:r>
    </w:p>
    <w:p w14:paraId="1E212223" w14:textId="645024C5" w:rsidR="009E5B48" w:rsidRDefault="009E5B48" w:rsidP="00A17E03">
      <w:r w:rsidRPr="5E4DB3C2">
        <w:rPr>
          <w:rFonts w:ascii="Calibri" w:eastAsia="Calibri" w:hAnsi="Calibri" w:cs="Calibri"/>
        </w:rPr>
        <w:t>West Kent has lower rates of mental illness then the national average and on most indicators the need is lower than regional and national average</w:t>
      </w:r>
      <w:r w:rsidR="00B2682D">
        <w:rPr>
          <w:rFonts w:ascii="Calibri" w:eastAsia="Calibri" w:hAnsi="Calibri" w:cs="Calibri"/>
        </w:rPr>
        <w:t>s</w:t>
      </w:r>
      <w:r w:rsidRPr="5E4DB3C2">
        <w:rPr>
          <w:rFonts w:ascii="Calibri" w:eastAsia="Calibri" w:hAnsi="Calibri" w:cs="Calibri"/>
        </w:rPr>
        <w:t>. Once a person becomes</w:t>
      </w:r>
      <w:r>
        <w:rPr>
          <w:rFonts w:ascii="Calibri" w:eastAsia="Calibri" w:hAnsi="Calibri" w:cs="Calibri"/>
        </w:rPr>
        <w:t xml:space="preserve"> acutely</w:t>
      </w:r>
      <w:r w:rsidRPr="5E4DB3C2">
        <w:rPr>
          <w:rFonts w:ascii="Calibri" w:eastAsia="Calibri" w:hAnsi="Calibri" w:cs="Calibri"/>
        </w:rPr>
        <w:t xml:space="preserve"> ill it is important that they have a timely hospital admission.</w:t>
      </w:r>
    </w:p>
    <w:p w14:paraId="78276BA8" w14:textId="67A5C6EA" w:rsidR="009E5B48" w:rsidRDefault="009E5B48" w:rsidP="00A17E03">
      <w:r w:rsidRPr="32F7F25D">
        <w:rPr>
          <w:rFonts w:ascii="Calibri" w:eastAsia="Calibri" w:hAnsi="Calibri" w:cs="Calibri"/>
        </w:rPr>
        <w:t xml:space="preserve">The overall rate of people admitted to hospital in West Kent in 2019/20 was the second lowest in the </w:t>
      </w:r>
      <w:bookmarkStart w:id="122" w:name="_Int_HwuLNlhm"/>
      <w:r w:rsidRPr="32F7F25D">
        <w:rPr>
          <w:rFonts w:ascii="Calibri" w:eastAsia="Calibri" w:hAnsi="Calibri" w:cs="Calibri"/>
        </w:rPr>
        <w:t>South East</w:t>
      </w:r>
      <w:bookmarkEnd w:id="122"/>
      <w:r w:rsidRPr="32F7F25D">
        <w:rPr>
          <w:rFonts w:ascii="Calibri" w:eastAsia="Calibri" w:hAnsi="Calibri" w:cs="Calibri"/>
        </w:rPr>
        <w:t xml:space="preserve"> region and the lowest in Kent. The crude rate was 150 per 100,000 population in 2019/20. The England average is 276 per 100,000. The number of people affected in West Kent in 2019/20 was 150. However, these admissions </w:t>
      </w:r>
      <w:r w:rsidR="00DF485D">
        <w:rPr>
          <w:rFonts w:ascii="Calibri" w:eastAsia="Calibri" w:hAnsi="Calibri" w:cs="Calibri"/>
        </w:rPr>
        <w:t>have been</w:t>
      </w:r>
      <w:r w:rsidR="00DF485D" w:rsidRPr="32F7F25D">
        <w:rPr>
          <w:rFonts w:ascii="Calibri" w:eastAsia="Calibri" w:hAnsi="Calibri" w:cs="Calibri"/>
        </w:rPr>
        <w:t xml:space="preserve"> </w:t>
      </w:r>
      <w:r w:rsidRPr="32F7F25D">
        <w:rPr>
          <w:rFonts w:ascii="Calibri" w:eastAsia="Calibri" w:hAnsi="Calibri" w:cs="Calibri"/>
        </w:rPr>
        <w:t xml:space="preserve">increasing </w:t>
      </w:r>
      <w:r w:rsidR="00DF485D">
        <w:rPr>
          <w:rFonts w:ascii="Calibri" w:eastAsia="Calibri" w:hAnsi="Calibri" w:cs="Calibri"/>
        </w:rPr>
        <w:t>in</w:t>
      </w:r>
      <w:r w:rsidRPr="32F7F25D">
        <w:rPr>
          <w:rFonts w:ascii="Calibri" w:eastAsia="Calibri" w:hAnsi="Calibri" w:cs="Calibri"/>
        </w:rPr>
        <w:t xml:space="preserve"> the last few years. Admissions for mental health and behavioural disorders in Kent and Medway and their </w:t>
      </w:r>
      <w:bookmarkStart w:id="123" w:name="_Int_wNACQa0B"/>
      <w:r w:rsidRPr="32F7F25D">
        <w:rPr>
          <w:rFonts w:ascii="Calibri" w:eastAsia="Calibri" w:hAnsi="Calibri" w:cs="Calibri"/>
        </w:rPr>
        <w:t>HCPs</w:t>
      </w:r>
      <w:bookmarkEnd w:id="123"/>
      <w:r w:rsidRPr="32F7F25D">
        <w:rPr>
          <w:rFonts w:ascii="Calibri" w:eastAsia="Calibri" w:hAnsi="Calibri" w:cs="Calibri"/>
        </w:rPr>
        <w:t xml:space="preserve"> have increased from 2017/18 to 2021/22. The rate of hospital admissions has increased to 220 (2021/22) per 100</w:t>
      </w:r>
      <w:r w:rsidR="00325601">
        <w:rPr>
          <w:rFonts w:ascii="Calibri" w:eastAsia="Calibri" w:hAnsi="Calibri" w:cs="Calibri"/>
        </w:rPr>
        <w:t>,</w:t>
      </w:r>
      <w:r w:rsidRPr="32F7F25D">
        <w:rPr>
          <w:rFonts w:ascii="Calibri" w:eastAsia="Calibri" w:hAnsi="Calibri" w:cs="Calibri"/>
        </w:rPr>
        <w:t xml:space="preserve">000 registered patients over last few years in West Kent. </w:t>
      </w:r>
    </w:p>
    <w:p w14:paraId="1B5A0F29" w14:textId="296D11F4" w:rsidR="009E5B48" w:rsidRDefault="009E5B48" w:rsidP="00A17E03">
      <w:r w:rsidRPr="32F7F25D">
        <w:rPr>
          <w:rFonts w:ascii="Calibri" w:eastAsia="Calibri" w:hAnsi="Calibri" w:cs="Calibri"/>
        </w:rPr>
        <w:t>The Figure 72 shows the rate of admissions and individuals admitted per 1</w:t>
      </w:r>
      <w:r w:rsidR="005C307B">
        <w:rPr>
          <w:rFonts w:ascii="Calibri" w:eastAsia="Calibri" w:hAnsi="Calibri" w:cs="Calibri"/>
        </w:rPr>
        <w:t>,</w:t>
      </w:r>
      <w:r w:rsidRPr="32F7F25D">
        <w:rPr>
          <w:rFonts w:ascii="Calibri" w:eastAsia="Calibri" w:hAnsi="Calibri" w:cs="Calibri"/>
        </w:rPr>
        <w:t xml:space="preserve">000 registered population in 2021/22 was </w:t>
      </w:r>
      <w:bookmarkStart w:id="124" w:name="_Int_lUxF7fi9"/>
      <w:r w:rsidRPr="32F7F25D">
        <w:rPr>
          <w:rFonts w:ascii="Calibri" w:eastAsia="Calibri" w:hAnsi="Calibri" w:cs="Calibri"/>
        </w:rPr>
        <w:t>similar to</w:t>
      </w:r>
      <w:bookmarkEnd w:id="124"/>
      <w:r w:rsidRPr="32F7F25D">
        <w:rPr>
          <w:rFonts w:ascii="Calibri" w:eastAsia="Calibri" w:hAnsi="Calibri" w:cs="Calibri"/>
        </w:rPr>
        <w:t xml:space="preserve"> the West Kent average for ABC, Malling, Sevenoaks, Ridge, Tonbridge, and Tunbridge Wells</w:t>
      </w:r>
      <w:r w:rsidR="005C307B">
        <w:rPr>
          <w:rFonts w:ascii="Calibri" w:eastAsia="Calibri" w:hAnsi="Calibri" w:cs="Calibri"/>
        </w:rPr>
        <w:t xml:space="preserve"> PCNs.</w:t>
      </w:r>
      <w:r w:rsidRPr="32F7F25D">
        <w:rPr>
          <w:rFonts w:ascii="Calibri" w:eastAsia="Calibri" w:hAnsi="Calibri" w:cs="Calibri"/>
        </w:rPr>
        <w:t xml:space="preserve"> Weald </w:t>
      </w:r>
      <w:r w:rsidR="005C307B">
        <w:rPr>
          <w:rFonts w:ascii="Calibri" w:eastAsia="Calibri" w:hAnsi="Calibri" w:cs="Calibri"/>
        </w:rPr>
        <w:t xml:space="preserve">PCN </w:t>
      </w:r>
      <w:r w:rsidRPr="32F7F25D">
        <w:rPr>
          <w:rFonts w:ascii="Calibri" w:eastAsia="Calibri" w:hAnsi="Calibri" w:cs="Calibri"/>
        </w:rPr>
        <w:t>has lower admissions and individuals admitted than the West Kent average. Maidstone South and Central</w:t>
      </w:r>
      <w:r w:rsidR="005C307B">
        <w:rPr>
          <w:rFonts w:ascii="Calibri" w:eastAsia="Calibri" w:hAnsi="Calibri" w:cs="Calibri"/>
        </w:rPr>
        <w:t xml:space="preserve"> PCNs</w:t>
      </w:r>
      <w:r w:rsidRPr="32F7F25D">
        <w:rPr>
          <w:rFonts w:ascii="Calibri" w:eastAsia="Calibri" w:hAnsi="Calibri" w:cs="Calibri"/>
        </w:rPr>
        <w:t xml:space="preserve"> have higher rates of admissions than the West Kent average, whilst Maidstone </w:t>
      </w:r>
      <w:r w:rsidR="005C307B">
        <w:rPr>
          <w:rFonts w:ascii="Calibri" w:eastAsia="Calibri" w:hAnsi="Calibri" w:cs="Calibri"/>
        </w:rPr>
        <w:t>C</w:t>
      </w:r>
      <w:r w:rsidRPr="32F7F25D">
        <w:rPr>
          <w:rFonts w:ascii="Calibri" w:eastAsia="Calibri" w:hAnsi="Calibri" w:cs="Calibri"/>
        </w:rPr>
        <w:t xml:space="preserve">entral </w:t>
      </w:r>
      <w:r w:rsidR="005C307B">
        <w:rPr>
          <w:rFonts w:ascii="Calibri" w:eastAsia="Calibri" w:hAnsi="Calibri" w:cs="Calibri"/>
        </w:rPr>
        <w:t xml:space="preserve">PCN </w:t>
      </w:r>
      <w:r w:rsidRPr="32F7F25D">
        <w:rPr>
          <w:rFonts w:ascii="Calibri" w:eastAsia="Calibri" w:hAnsi="Calibri" w:cs="Calibri"/>
        </w:rPr>
        <w:t xml:space="preserve">also had higher rates of individuals admitted. Maidstone South </w:t>
      </w:r>
      <w:r w:rsidR="005C307B">
        <w:rPr>
          <w:rFonts w:ascii="Calibri" w:eastAsia="Calibri" w:hAnsi="Calibri" w:cs="Calibri"/>
        </w:rPr>
        <w:t xml:space="preserve">PCN </w:t>
      </w:r>
      <w:r w:rsidRPr="32F7F25D">
        <w:rPr>
          <w:rFonts w:ascii="Calibri" w:eastAsia="Calibri" w:hAnsi="Calibri" w:cs="Calibri"/>
        </w:rPr>
        <w:t xml:space="preserve">has the highest average admissions per individual. Maidstone South and central have significantly raised admissions for mental health and behavioural disorders compared to West Kent from 2017 to 2022. The rate of admissions for the other West Kent PCNs was </w:t>
      </w:r>
      <w:bookmarkStart w:id="125" w:name="_Int_wykkaXhJ"/>
      <w:r w:rsidRPr="32F7F25D">
        <w:rPr>
          <w:rFonts w:ascii="Calibri" w:eastAsia="Calibri" w:hAnsi="Calibri" w:cs="Calibri"/>
        </w:rPr>
        <w:t>similar to</w:t>
      </w:r>
      <w:bookmarkEnd w:id="125"/>
      <w:r w:rsidRPr="32F7F25D">
        <w:rPr>
          <w:rFonts w:ascii="Calibri" w:eastAsia="Calibri" w:hAnsi="Calibri" w:cs="Calibri"/>
        </w:rPr>
        <w:t xml:space="preserve"> the West Kent average for most years (Figure 7</w:t>
      </w:r>
      <w:r w:rsidR="00B3426A">
        <w:rPr>
          <w:rFonts w:ascii="Calibri" w:eastAsia="Calibri" w:hAnsi="Calibri" w:cs="Calibri"/>
        </w:rPr>
        <w:t>2</w:t>
      </w:r>
      <w:r w:rsidRPr="32F7F25D">
        <w:rPr>
          <w:rFonts w:ascii="Calibri" w:eastAsia="Calibri" w:hAnsi="Calibri" w:cs="Calibri"/>
        </w:rPr>
        <w:t>)</w:t>
      </w:r>
      <w:r w:rsidR="00596C07">
        <w:rPr>
          <w:rFonts w:ascii="Calibri" w:eastAsia="Calibri" w:hAnsi="Calibri" w:cs="Calibri"/>
        </w:rPr>
        <w:t>.</w:t>
      </w:r>
    </w:p>
    <w:p w14:paraId="69044693" w14:textId="6C09889A" w:rsidR="009E5B48" w:rsidRDefault="009E5B48" w:rsidP="00A17E03">
      <w:pPr>
        <w:rPr>
          <w:rFonts w:ascii="Calibri" w:eastAsia="Calibri" w:hAnsi="Calibri" w:cs="Calibri"/>
        </w:rPr>
      </w:pPr>
      <w:r w:rsidRPr="5E4DB3C2">
        <w:rPr>
          <w:rFonts w:ascii="Calibri" w:eastAsia="Calibri" w:hAnsi="Calibri" w:cs="Calibri"/>
        </w:rPr>
        <w:t xml:space="preserve">From 2019-2022 </w:t>
      </w:r>
      <w:r w:rsidRPr="00D1594F">
        <w:rPr>
          <w:rFonts w:ascii="Calibri" w:eastAsia="Calibri" w:hAnsi="Calibri" w:cs="Calibri"/>
        </w:rPr>
        <w:t>27.1%</w:t>
      </w:r>
      <w:r w:rsidRPr="5E4DB3C2">
        <w:rPr>
          <w:rFonts w:ascii="Calibri" w:eastAsia="Calibri" w:hAnsi="Calibri" w:cs="Calibri"/>
        </w:rPr>
        <w:t xml:space="preserve"> of admitted patients were due to mental and behavioural disorders due to use of alcohol, 22.1% were due to delirium (not related to alcohol), 12% due to anxiety, 8% due to depressive episode, and 7% due to CMI in West Kent. West Kent has a higher percentage of admissions due to alcohol than the other Kent and Medway HCPs.</w:t>
      </w:r>
    </w:p>
    <w:p w14:paraId="207DA5F4" w14:textId="77777777" w:rsidR="00184748" w:rsidRDefault="00184748" w:rsidP="00A17E03"/>
    <w:p w14:paraId="64145575" w14:textId="3EAD55E3" w:rsidR="009E5B48" w:rsidRPr="00563BB2" w:rsidRDefault="009E5B48" w:rsidP="00F00D89">
      <w:pPr>
        <w:pStyle w:val="Heading2"/>
      </w:pPr>
      <w:bookmarkStart w:id="126" w:name="_Toc128133840"/>
      <w:r w:rsidRPr="00563BB2">
        <w:lastRenderedPageBreak/>
        <w:t>Detentions under the Mental Health Act</w:t>
      </w:r>
      <w:bookmarkEnd w:id="126"/>
    </w:p>
    <w:p w14:paraId="3FE29451" w14:textId="7E8715D6" w:rsidR="00184748" w:rsidRPr="002F2E25" w:rsidRDefault="009E5B48" w:rsidP="00A17E03">
      <w:pPr>
        <w:rPr>
          <w:rFonts w:ascii="Calibri" w:eastAsia="Calibri" w:hAnsi="Calibri" w:cs="Calibri"/>
        </w:rPr>
      </w:pPr>
      <w:r w:rsidRPr="045A98DE">
        <w:rPr>
          <w:rFonts w:ascii="Calibri" w:eastAsia="Calibri" w:hAnsi="Calibri" w:cs="Calibri"/>
        </w:rPr>
        <w:t xml:space="preserve">West Kent also has </w:t>
      </w:r>
      <w:bookmarkStart w:id="127" w:name="_Int_mKhIIVFr"/>
      <w:r w:rsidRPr="045A98DE">
        <w:rPr>
          <w:rFonts w:ascii="Calibri" w:eastAsia="Calibri" w:hAnsi="Calibri" w:cs="Calibri"/>
        </w:rPr>
        <w:t>relatively low</w:t>
      </w:r>
      <w:bookmarkEnd w:id="127"/>
      <w:r w:rsidRPr="045A98DE">
        <w:rPr>
          <w:rFonts w:ascii="Calibri" w:eastAsia="Calibri" w:hAnsi="Calibri" w:cs="Calibri"/>
        </w:rPr>
        <w:t xml:space="preserve"> levels of patients detained under the mental health act (sectioned) compared to the England average</w:t>
      </w:r>
      <w:r w:rsidR="00C4606E">
        <w:rPr>
          <w:rFonts w:ascii="Calibri" w:eastAsia="Calibri" w:hAnsi="Calibri" w:cs="Calibri"/>
        </w:rPr>
        <w:t>.</w:t>
      </w:r>
      <w:r w:rsidR="00C4606E" w:rsidRPr="045A98DE">
        <w:rPr>
          <w:rFonts w:ascii="Calibri" w:eastAsia="Calibri" w:hAnsi="Calibri" w:cs="Calibri"/>
        </w:rPr>
        <w:t xml:space="preserve"> </w:t>
      </w:r>
      <w:r w:rsidRPr="045A98DE">
        <w:rPr>
          <w:rFonts w:ascii="Calibri" w:eastAsia="Calibri" w:hAnsi="Calibri" w:cs="Calibri"/>
        </w:rPr>
        <w:t>0.64</w:t>
      </w:r>
      <w:r w:rsidR="243096A2" w:rsidRPr="045A98DE">
        <w:rPr>
          <w:rFonts w:ascii="Calibri" w:eastAsia="Calibri" w:hAnsi="Calibri" w:cs="Calibri"/>
        </w:rPr>
        <w:t>% of the adult population</w:t>
      </w:r>
      <w:r w:rsidR="00732E8F">
        <w:rPr>
          <w:rFonts w:ascii="Calibri" w:eastAsia="Calibri" w:hAnsi="Calibri" w:cs="Calibri"/>
        </w:rPr>
        <w:t xml:space="preserve"> in contact with </w:t>
      </w:r>
      <w:bookmarkStart w:id="128" w:name="_Int_6PL4JVxr"/>
      <w:r w:rsidR="00732E8F">
        <w:rPr>
          <w:rFonts w:ascii="Calibri" w:eastAsia="Calibri" w:hAnsi="Calibri" w:cs="Calibri"/>
        </w:rPr>
        <w:t>MH</w:t>
      </w:r>
      <w:bookmarkEnd w:id="128"/>
      <w:r w:rsidR="00732E8F">
        <w:rPr>
          <w:rFonts w:ascii="Calibri" w:eastAsia="Calibri" w:hAnsi="Calibri" w:cs="Calibri"/>
        </w:rPr>
        <w:t xml:space="preserve"> services</w:t>
      </w:r>
      <w:r w:rsidR="243096A2" w:rsidRPr="045A98DE">
        <w:rPr>
          <w:rFonts w:ascii="Calibri" w:eastAsia="Calibri" w:hAnsi="Calibri" w:cs="Calibri"/>
        </w:rPr>
        <w:t xml:space="preserve"> (</w:t>
      </w:r>
      <w:r w:rsidRPr="045A98DE">
        <w:rPr>
          <w:rFonts w:ascii="Calibri" w:eastAsia="Calibri" w:hAnsi="Calibri" w:cs="Calibri"/>
        </w:rPr>
        <w:t xml:space="preserve">65 patients) </w:t>
      </w:r>
      <w:r w:rsidR="00C4606E">
        <w:rPr>
          <w:rFonts w:ascii="Calibri" w:eastAsia="Calibri" w:hAnsi="Calibri" w:cs="Calibri"/>
        </w:rPr>
        <w:t xml:space="preserve">were detained, </w:t>
      </w:r>
      <w:r w:rsidRPr="045A98DE">
        <w:rPr>
          <w:rFonts w:ascii="Calibri" w:eastAsia="Calibri" w:hAnsi="Calibri" w:cs="Calibri"/>
        </w:rPr>
        <w:t xml:space="preserve">compared to 1.4% nationally. </w:t>
      </w:r>
    </w:p>
    <w:p w14:paraId="7E5DDF7A" w14:textId="296CDFCC" w:rsidR="009E5B48" w:rsidRDefault="009E5B48" w:rsidP="00A17E03">
      <w:pPr>
        <w:rPr>
          <w:rFonts w:ascii="Calibri" w:eastAsia="Calibri" w:hAnsi="Calibri" w:cs="Calibri"/>
          <w:b/>
          <w:bCs/>
        </w:rPr>
      </w:pPr>
      <w:r w:rsidRPr="32F7F25D">
        <w:rPr>
          <w:rFonts w:ascii="Calibri" w:eastAsia="Calibri" w:hAnsi="Calibri" w:cs="Calibri"/>
          <w:b/>
          <w:bCs/>
          <w:color w:val="243F60"/>
        </w:rPr>
        <w:t>F</w:t>
      </w:r>
      <w:r w:rsidRPr="32F7F25D">
        <w:rPr>
          <w:rFonts w:ascii="Calibri" w:eastAsia="Calibri" w:hAnsi="Calibri" w:cs="Calibri"/>
          <w:b/>
          <w:bCs/>
        </w:rPr>
        <w:t>igure 7</w:t>
      </w:r>
      <w:r w:rsidR="00B3426A">
        <w:rPr>
          <w:rFonts w:ascii="Calibri" w:eastAsia="Calibri" w:hAnsi="Calibri" w:cs="Calibri"/>
          <w:b/>
          <w:bCs/>
        </w:rPr>
        <w:t>2</w:t>
      </w:r>
      <w:r w:rsidRPr="32F7F25D">
        <w:rPr>
          <w:rFonts w:ascii="Calibri" w:eastAsia="Calibri" w:hAnsi="Calibri" w:cs="Calibri"/>
          <w:b/>
          <w:bCs/>
        </w:rPr>
        <w:t xml:space="preserve"> Admissions for Mental health and behavioural disorders, Kent</w:t>
      </w:r>
      <w:r w:rsidR="5E4D8E69" w:rsidRPr="740CDBE4">
        <w:rPr>
          <w:rFonts w:ascii="Calibri" w:eastAsia="Calibri" w:hAnsi="Calibri" w:cs="Calibri"/>
          <w:b/>
          <w:bCs/>
        </w:rPr>
        <w:t>,</w:t>
      </w:r>
      <w:r w:rsidRPr="32F7F25D">
        <w:rPr>
          <w:rFonts w:ascii="Calibri" w:eastAsia="Calibri" w:hAnsi="Calibri" w:cs="Calibri"/>
          <w:b/>
          <w:bCs/>
        </w:rPr>
        <w:t xml:space="preserve"> and Medway HCPs, 2017/18 to 2021/22, adults, trend</w:t>
      </w:r>
    </w:p>
    <w:p w14:paraId="01A96A96" w14:textId="4878617F" w:rsidR="009E5B48" w:rsidRDefault="009E5B48" w:rsidP="00A17E03">
      <w:r>
        <w:rPr>
          <w:noProof/>
        </w:rPr>
        <w:drawing>
          <wp:inline distT="0" distB="0" distL="0" distR="0" wp14:anchorId="3A25E3F2" wp14:editId="0671B3BA">
            <wp:extent cx="5676900" cy="3276044"/>
            <wp:effectExtent l="0" t="0" r="0" b="635"/>
            <wp:docPr id="1701510074" name="Picture 1701510074" descr="Line graph showing Admissions for Mental health and behavioural disorders, Kent and Medway HCPs, 2017/18 to 2021/22. The rate of admissions for the other West Kent PCNs was similar to the West Kent average for most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10074" name="Picture 1701510074" descr="Line graph showing Admissions for Mental health and behavioural disorders, Kent and Medway HCPs, 2017/18 to 2021/22. The rate of admissions for the other West Kent PCNs was similar to the West Kent average for most years. "/>
                    <pic:cNvPicPr/>
                  </pic:nvPicPr>
                  <pic:blipFill>
                    <a:blip r:embed="rId123">
                      <a:extLst>
                        <a:ext uri="{28A0092B-C50C-407E-A947-70E740481C1C}">
                          <a14:useLocalDpi xmlns:a14="http://schemas.microsoft.com/office/drawing/2010/main" val="0"/>
                        </a:ext>
                      </a:extLst>
                    </a:blip>
                    <a:stretch>
                      <a:fillRect/>
                    </a:stretch>
                  </pic:blipFill>
                  <pic:spPr>
                    <a:xfrm>
                      <a:off x="0" y="0"/>
                      <a:ext cx="5686545" cy="3281610"/>
                    </a:xfrm>
                    <a:prstGeom prst="rect">
                      <a:avLst/>
                    </a:prstGeom>
                  </pic:spPr>
                </pic:pic>
              </a:graphicData>
            </a:graphic>
          </wp:inline>
        </w:drawing>
      </w:r>
    </w:p>
    <w:p w14:paraId="5B6ABBF5" w14:textId="1B5C128B" w:rsidR="009E5B48" w:rsidRPr="009D38FF" w:rsidRDefault="009E5B48" w:rsidP="00A17E03">
      <w:pPr>
        <w:rPr>
          <w:rFonts w:eastAsia="Calibri"/>
          <w:b/>
          <w:bCs/>
        </w:rPr>
      </w:pPr>
      <w:r w:rsidRPr="009D38FF">
        <w:rPr>
          <w:rFonts w:eastAsia="Calibri"/>
          <w:b/>
          <w:bCs/>
        </w:rPr>
        <w:t>Figure 7</w:t>
      </w:r>
      <w:r w:rsidR="00B3426A">
        <w:rPr>
          <w:rFonts w:eastAsia="Calibri"/>
          <w:b/>
          <w:bCs/>
        </w:rPr>
        <w:t xml:space="preserve">3 </w:t>
      </w:r>
      <w:r w:rsidRPr="009D38FF">
        <w:rPr>
          <w:rFonts w:eastAsia="Calibri"/>
          <w:b/>
          <w:bCs/>
        </w:rPr>
        <w:t>Admissions for Mental health and behavioural disorders, West Kent PCNs, 2019/20 to 2021/22, adults</w:t>
      </w:r>
    </w:p>
    <w:p w14:paraId="28B97A14" w14:textId="77777777" w:rsidR="009E5B48" w:rsidRDefault="009E5B48" w:rsidP="00A17E03">
      <w:r>
        <w:rPr>
          <w:noProof/>
        </w:rPr>
        <w:drawing>
          <wp:inline distT="0" distB="0" distL="0" distR="0" wp14:anchorId="40022BB0" wp14:editId="626968A9">
            <wp:extent cx="6232849" cy="3181350"/>
            <wp:effectExtent l="0" t="0" r="0" b="0"/>
            <wp:docPr id="1304680963" name="Picture 1304680963" descr="Line graph showing Admissions for Mental health and behavioural disorders, West Kent PCNs, 2019/20 to 2021/22. The West Kent benchmark sits around 250 per 100,000 residents. Maidstone Central and Maidstone South have significantly higher rates at around 380. ABC, Malling and Tunbridge Wells have similar rates to the West Kent average while Sevenoaks, The Ridge, Tonbridge and Weald are much l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80963" name="Picture 1304680963" descr="Line graph showing Admissions for Mental health and behavioural disorders, West Kent PCNs, 2019/20 to 2021/22. The West Kent benchmark sits around 250 per 100,000 residents. Maidstone Central and Maidstone South have significantly higher rates at around 380. ABC, Malling and Tunbridge Wells have similar rates to the West Kent average while Sevenoaks, The Ridge, Tonbridge and Weald are much lower. "/>
                    <pic:cNvPicPr/>
                  </pic:nvPicPr>
                  <pic:blipFill>
                    <a:blip r:embed="rId124">
                      <a:extLst>
                        <a:ext uri="{28A0092B-C50C-407E-A947-70E740481C1C}">
                          <a14:useLocalDpi xmlns:a14="http://schemas.microsoft.com/office/drawing/2010/main" val="0"/>
                        </a:ext>
                      </a:extLst>
                    </a:blip>
                    <a:stretch>
                      <a:fillRect/>
                    </a:stretch>
                  </pic:blipFill>
                  <pic:spPr>
                    <a:xfrm>
                      <a:off x="0" y="0"/>
                      <a:ext cx="6238530" cy="3184250"/>
                    </a:xfrm>
                    <a:prstGeom prst="rect">
                      <a:avLst/>
                    </a:prstGeom>
                  </pic:spPr>
                </pic:pic>
              </a:graphicData>
            </a:graphic>
          </wp:inline>
        </w:drawing>
      </w:r>
    </w:p>
    <w:p w14:paraId="6E8D088F" w14:textId="560F0BD2" w:rsidR="009E5B48" w:rsidRDefault="009E5B48" w:rsidP="00A17E03">
      <w:pPr>
        <w:rPr>
          <w:rFonts w:ascii="Calibri" w:eastAsia="Calibri" w:hAnsi="Calibri" w:cs="Calibri"/>
          <w:b/>
          <w:bCs/>
        </w:rPr>
      </w:pPr>
      <w:r w:rsidRPr="32F7F25D">
        <w:rPr>
          <w:rFonts w:ascii="Calibri" w:eastAsia="Calibri" w:hAnsi="Calibri" w:cs="Calibri"/>
        </w:rPr>
        <w:lastRenderedPageBreak/>
        <w:t xml:space="preserve"> </w:t>
      </w:r>
      <w:r w:rsidRPr="32F7F25D">
        <w:rPr>
          <w:rFonts w:ascii="Calibri" w:eastAsia="Calibri" w:hAnsi="Calibri" w:cs="Calibri"/>
          <w:b/>
          <w:bCs/>
        </w:rPr>
        <w:t>Figure 7</w:t>
      </w:r>
      <w:r w:rsidR="00B3426A">
        <w:rPr>
          <w:rFonts w:ascii="Calibri" w:eastAsia="Calibri" w:hAnsi="Calibri" w:cs="Calibri"/>
          <w:b/>
          <w:bCs/>
        </w:rPr>
        <w:t>4</w:t>
      </w:r>
      <w:r w:rsidRPr="32F7F25D">
        <w:rPr>
          <w:rFonts w:ascii="Calibri" w:eastAsia="Calibri" w:hAnsi="Calibri" w:cs="Calibri"/>
          <w:b/>
          <w:bCs/>
        </w:rPr>
        <w:t xml:space="preserve"> Mental health admissions, West Kent PCNs, 2021/22</w:t>
      </w:r>
    </w:p>
    <w:p w14:paraId="3B647836" w14:textId="06DEDF04" w:rsidR="00184748" w:rsidRDefault="009E5B48" w:rsidP="00A17E03">
      <w:r>
        <w:rPr>
          <w:noProof/>
        </w:rPr>
        <w:drawing>
          <wp:inline distT="0" distB="0" distL="0" distR="0" wp14:anchorId="3A2269AD" wp14:editId="1419EB41">
            <wp:extent cx="5857875" cy="3722192"/>
            <wp:effectExtent l="0" t="0" r="0" b="0"/>
            <wp:docPr id="7479644" name="Picture 7479644" descr="A chart with columns for admissions and individuals, and a line for average admissions per individual for mental health. Average admissions per individuals are slightly higher in Maidstone South and Tunbridge Wells but all PCNs sit between 1 and 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644" name="Picture 7479644" descr="A chart with columns for admissions and individuals, and a line for average admissions per individual for mental health. Average admissions per individuals are slightly higher in Maidstone South and Tunbridge Wells but all PCNs sit between 1 and 1.3. "/>
                    <pic:cNvPicPr/>
                  </pic:nvPicPr>
                  <pic:blipFill>
                    <a:blip r:embed="rId125">
                      <a:extLst>
                        <a:ext uri="{28A0092B-C50C-407E-A947-70E740481C1C}">
                          <a14:useLocalDpi xmlns:a14="http://schemas.microsoft.com/office/drawing/2010/main" val="0"/>
                        </a:ext>
                      </a:extLst>
                    </a:blip>
                    <a:stretch>
                      <a:fillRect/>
                    </a:stretch>
                  </pic:blipFill>
                  <pic:spPr>
                    <a:xfrm>
                      <a:off x="0" y="0"/>
                      <a:ext cx="5866843" cy="3727891"/>
                    </a:xfrm>
                    <a:prstGeom prst="rect">
                      <a:avLst/>
                    </a:prstGeom>
                  </pic:spPr>
                </pic:pic>
              </a:graphicData>
            </a:graphic>
          </wp:inline>
        </w:drawing>
      </w:r>
    </w:p>
    <w:p w14:paraId="23739D86" w14:textId="7414A4D1" w:rsidR="009E5B48" w:rsidRDefault="009E5B48" w:rsidP="00A17E03">
      <w:pPr>
        <w:rPr>
          <w:rFonts w:ascii="Calibri" w:eastAsia="Calibri" w:hAnsi="Calibri" w:cs="Calibri"/>
          <w:b/>
          <w:bCs/>
        </w:rPr>
      </w:pPr>
      <w:r w:rsidRPr="32F7F25D">
        <w:rPr>
          <w:rFonts w:ascii="Calibri" w:eastAsia="Calibri" w:hAnsi="Calibri" w:cs="Calibri"/>
          <w:b/>
          <w:bCs/>
        </w:rPr>
        <w:t>Figure 7</w:t>
      </w:r>
      <w:r w:rsidR="00B3426A">
        <w:rPr>
          <w:rFonts w:ascii="Calibri" w:eastAsia="Calibri" w:hAnsi="Calibri" w:cs="Calibri"/>
          <w:b/>
          <w:bCs/>
        </w:rPr>
        <w:t>5</w:t>
      </w:r>
      <w:r w:rsidRPr="32F7F25D">
        <w:rPr>
          <w:rFonts w:ascii="Calibri" w:eastAsia="Calibri" w:hAnsi="Calibri" w:cs="Calibri"/>
          <w:b/>
          <w:bCs/>
        </w:rPr>
        <w:t xml:space="preserve"> Admissions for Mental health or behavioural disorders, West Kent PCNs, 2017/18 to 2021/22, adults, trend</w:t>
      </w:r>
    </w:p>
    <w:p w14:paraId="767AE4C8" w14:textId="466519BA" w:rsidR="00184748" w:rsidRPr="002F2E25" w:rsidRDefault="009E5B48" w:rsidP="00A17E03">
      <w:r>
        <w:rPr>
          <w:noProof/>
        </w:rPr>
        <w:drawing>
          <wp:inline distT="0" distB="0" distL="0" distR="0" wp14:anchorId="1992B9FF" wp14:editId="7F43D312">
            <wp:extent cx="5875802" cy="3219450"/>
            <wp:effectExtent l="0" t="0" r="0" b="0"/>
            <wp:docPr id="503079887" name="Picture 503079887" descr="Line chart showing Admissions for Mental health or behavioural disorders, West Kent PCNs, 2017/18 to 2021/22. Rates are consistently higher in Maidstone Central and Maidstone South at around 400 per 100,000 population. The other PCNs overlap a lot and vary between 100 and 300 per 100,0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79887" name="Picture 503079887" descr="Line chart showing Admissions for Mental health or behavioural disorders, West Kent PCNs, 2017/18 to 2021/22. Rates are consistently higher in Maidstone Central and Maidstone South at around 400 per 100,000 population. The other PCNs overlap a lot and vary between 100 and 300 per 100,000. "/>
                    <pic:cNvPicPr/>
                  </pic:nvPicPr>
                  <pic:blipFill>
                    <a:blip r:embed="rId126">
                      <a:extLst>
                        <a:ext uri="{28A0092B-C50C-407E-A947-70E740481C1C}">
                          <a14:useLocalDpi xmlns:a14="http://schemas.microsoft.com/office/drawing/2010/main" val="0"/>
                        </a:ext>
                      </a:extLst>
                    </a:blip>
                    <a:stretch>
                      <a:fillRect/>
                    </a:stretch>
                  </pic:blipFill>
                  <pic:spPr>
                    <a:xfrm>
                      <a:off x="0" y="0"/>
                      <a:ext cx="5878896" cy="3221145"/>
                    </a:xfrm>
                    <a:prstGeom prst="rect">
                      <a:avLst/>
                    </a:prstGeom>
                  </pic:spPr>
                </pic:pic>
              </a:graphicData>
            </a:graphic>
          </wp:inline>
        </w:drawing>
      </w:r>
    </w:p>
    <w:p w14:paraId="08B2FE90" w14:textId="77777777" w:rsidR="002F2E25" w:rsidRDefault="002F2E25">
      <w:pPr>
        <w:spacing w:before="0" w:after="200"/>
        <w:rPr>
          <w:rFonts w:ascii="Calibri" w:eastAsia="Calibri" w:hAnsi="Calibri" w:cs="Calibri"/>
          <w:b/>
          <w:bCs/>
        </w:rPr>
      </w:pPr>
      <w:r>
        <w:rPr>
          <w:rFonts w:ascii="Calibri" w:eastAsia="Calibri" w:hAnsi="Calibri" w:cs="Calibri"/>
          <w:b/>
          <w:bCs/>
        </w:rPr>
        <w:br w:type="page"/>
      </w:r>
    </w:p>
    <w:p w14:paraId="2C348556" w14:textId="4162DC87" w:rsidR="009E5B48" w:rsidRPr="00563BB2" w:rsidRDefault="009E5B48" w:rsidP="00A17E03">
      <w:r w:rsidRPr="32F7F25D">
        <w:rPr>
          <w:rFonts w:ascii="Calibri" w:eastAsia="Calibri" w:hAnsi="Calibri" w:cs="Calibri"/>
          <w:b/>
          <w:bCs/>
        </w:rPr>
        <w:lastRenderedPageBreak/>
        <w:t>Table 1</w:t>
      </w:r>
      <w:r>
        <w:rPr>
          <w:rFonts w:ascii="Calibri" w:eastAsia="Calibri" w:hAnsi="Calibri" w:cs="Calibri"/>
          <w:b/>
          <w:bCs/>
        </w:rPr>
        <w:t>2</w:t>
      </w:r>
      <w:r w:rsidRPr="32F7F25D">
        <w:rPr>
          <w:rFonts w:ascii="Calibri" w:eastAsia="Calibri" w:hAnsi="Calibri" w:cs="Calibri"/>
          <w:b/>
          <w:bCs/>
        </w:rPr>
        <w:t xml:space="preserve"> Emergency hospital admissions for mental illness for adults, in West Kent districts, 2019/20</w:t>
      </w:r>
      <w:r w:rsidR="00563BB2">
        <w:rPr>
          <w:rFonts w:ascii="Calibri" w:eastAsia="Calibri" w:hAnsi="Calibri" w:cs="Calibri"/>
          <w:b/>
          <w:bCs/>
        </w:rPr>
        <w:t xml:space="preserve">. </w:t>
      </w:r>
      <w:r w:rsidR="00563BB2" w:rsidRPr="5E4DB3C2">
        <w:rPr>
          <w:rFonts w:ascii="Calibri" w:eastAsia="Calibri" w:hAnsi="Calibri" w:cs="Calibri"/>
          <w:color w:val="000000" w:themeColor="text1"/>
        </w:rPr>
        <w:t xml:space="preserve">Source: </w:t>
      </w:r>
      <w:r w:rsidR="00563BB2" w:rsidRPr="5E4DB3C2">
        <w:rPr>
          <w:rFonts w:ascii="Calibri" w:eastAsia="Calibri" w:hAnsi="Calibri" w:cs="Calibri"/>
        </w:rPr>
        <w:t>Fingertips, OHID, prepared by JM</w:t>
      </w:r>
    </w:p>
    <w:tbl>
      <w:tblPr>
        <w:tblW w:w="0" w:type="auto"/>
        <w:tblLayout w:type="fixed"/>
        <w:tblLook w:val="04A0" w:firstRow="1" w:lastRow="0" w:firstColumn="1" w:lastColumn="0" w:noHBand="0" w:noVBand="1"/>
      </w:tblPr>
      <w:tblGrid>
        <w:gridCol w:w="3225"/>
        <w:gridCol w:w="2265"/>
      </w:tblGrid>
      <w:tr w:rsidR="009E5B48" w14:paraId="6E5F97C2" w14:textId="77777777">
        <w:tc>
          <w:tcPr>
            <w:tcW w:w="3225" w:type="dxa"/>
            <w:tcBorders>
              <w:top w:val="single" w:sz="8" w:space="0" w:color="auto"/>
              <w:left w:val="single" w:sz="8" w:space="0" w:color="auto"/>
              <w:bottom w:val="single" w:sz="8" w:space="0" w:color="auto"/>
              <w:right w:val="single" w:sz="8" w:space="0" w:color="auto"/>
            </w:tcBorders>
            <w:shd w:val="clear" w:color="auto" w:fill="2D7C82"/>
          </w:tcPr>
          <w:p w14:paraId="75EBFE0B" w14:textId="77777777" w:rsidR="009E5B48" w:rsidRDefault="009E5B48" w:rsidP="00A17E03">
            <w:r w:rsidRPr="5E4DB3C2">
              <w:rPr>
                <w:rFonts w:ascii="Calibri" w:eastAsia="Calibri" w:hAnsi="Calibri" w:cs="Calibri"/>
                <w:b/>
                <w:bCs/>
                <w:color w:val="FFFFFF" w:themeColor="background1"/>
              </w:rPr>
              <w:t>Standardised Ratios for Emergency Hospital Admissions for Adults 18+ by west Kent districts</w:t>
            </w:r>
          </w:p>
        </w:tc>
        <w:tc>
          <w:tcPr>
            <w:tcW w:w="2265" w:type="dxa"/>
            <w:tcBorders>
              <w:top w:val="single" w:sz="8" w:space="0" w:color="auto"/>
              <w:left w:val="single" w:sz="8" w:space="0" w:color="auto"/>
              <w:bottom w:val="single" w:sz="8" w:space="0" w:color="auto"/>
              <w:right w:val="single" w:sz="8" w:space="0" w:color="auto"/>
            </w:tcBorders>
            <w:shd w:val="clear" w:color="auto" w:fill="2D7C82"/>
          </w:tcPr>
          <w:p w14:paraId="797DE8F9" w14:textId="77777777" w:rsidR="009E5B48" w:rsidRDefault="009E5B48" w:rsidP="00A17E03">
            <w:r w:rsidRPr="5E4DB3C2">
              <w:rPr>
                <w:rFonts w:ascii="Calibri" w:eastAsia="Calibri" w:hAnsi="Calibri" w:cs="Calibri"/>
                <w:b/>
                <w:bCs/>
                <w:color w:val="FFFFFF" w:themeColor="background1"/>
              </w:rPr>
              <w:t xml:space="preserve">Values: Standardised Ratio (England =100) per 100 from </w:t>
            </w:r>
            <w:bookmarkStart w:id="129" w:name="_Int_g5b2KPXc"/>
            <w:r w:rsidRPr="5E4DB3C2">
              <w:rPr>
                <w:rFonts w:ascii="Calibri" w:eastAsia="Calibri" w:hAnsi="Calibri" w:cs="Calibri"/>
                <w:b/>
                <w:bCs/>
                <w:color w:val="FFFFFF" w:themeColor="background1"/>
              </w:rPr>
              <w:t>HES</w:t>
            </w:r>
            <w:bookmarkEnd w:id="129"/>
            <w:r w:rsidRPr="5E4DB3C2">
              <w:rPr>
                <w:rFonts w:ascii="Calibri" w:eastAsia="Calibri" w:hAnsi="Calibri" w:cs="Calibri"/>
                <w:b/>
                <w:bCs/>
                <w:color w:val="FFFFFF" w:themeColor="background1"/>
              </w:rPr>
              <w:t xml:space="preserve"> data </w:t>
            </w:r>
          </w:p>
        </w:tc>
      </w:tr>
      <w:tr w:rsidR="009E5B48" w14:paraId="334FC63B" w14:textId="77777777">
        <w:tc>
          <w:tcPr>
            <w:tcW w:w="3225" w:type="dxa"/>
            <w:tcBorders>
              <w:top w:val="single" w:sz="8" w:space="0" w:color="auto"/>
              <w:left w:val="single" w:sz="8" w:space="0" w:color="auto"/>
              <w:bottom w:val="single" w:sz="8" w:space="0" w:color="auto"/>
              <w:right w:val="single" w:sz="8" w:space="0" w:color="auto"/>
            </w:tcBorders>
            <w:shd w:val="clear" w:color="auto" w:fill="DDF1F3"/>
          </w:tcPr>
          <w:p w14:paraId="644DDEB1" w14:textId="77777777" w:rsidR="009E5B48" w:rsidRDefault="009E5B48" w:rsidP="00A17E03">
            <w:r w:rsidRPr="5E4DB3C2">
              <w:rPr>
                <w:rFonts w:ascii="Calibri" w:eastAsia="Calibri" w:hAnsi="Calibri" w:cs="Calibri"/>
                <w:color w:val="000000" w:themeColor="text1"/>
              </w:rPr>
              <w:t xml:space="preserve">Maidstone </w:t>
            </w:r>
          </w:p>
        </w:tc>
        <w:tc>
          <w:tcPr>
            <w:tcW w:w="2265" w:type="dxa"/>
            <w:tcBorders>
              <w:top w:val="single" w:sz="8" w:space="0" w:color="auto"/>
              <w:left w:val="single" w:sz="8" w:space="0" w:color="auto"/>
              <w:bottom w:val="single" w:sz="8" w:space="0" w:color="auto"/>
              <w:right w:val="single" w:sz="8" w:space="0" w:color="auto"/>
            </w:tcBorders>
            <w:shd w:val="clear" w:color="auto" w:fill="DDF1F3"/>
          </w:tcPr>
          <w:p w14:paraId="1A6517D3" w14:textId="77777777" w:rsidR="009E5B48" w:rsidRDefault="009E5B48" w:rsidP="00A17E03">
            <w:r w:rsidRPr="5E4DB3C2">
              <w:rPr>
                <w:rFonts w:ascii="Calibri" w:eastAsia="Calibri" w:hAnsi="Calibri" w:cs="Calibri"/>
                <w:color w:val="000000" w:themeColor="text1"/>
              </w:rPr>
              <w:t>143.0 per 100</w:t>
            </w:r>
          </w:p>
        </w:tc>
      </w:tr>
      <w:tr w:rsidR="009E5B48" w14:paraId="250D592C" w14:textId="77777777">
        <w:tc>
          <w:tcPr>
            <w:tcW w:w="3225" w:type="dxa"/>
            <w:tcBorders>
              <w:top w:val="single" w:sz="8" w:space="0" w:color="auto"/>
              <w:left w:val="single" w:sz="8" w:space="0" w:color="auto"/>
              <w:bottom w:val="single" w:sz="8" w:space="0" w:color="auto"/>
              <w:right w:val="single" w:sz="8" w:space="0" w:color="auto"/>
            </w:tcBorders>
            <w:shd w:val="clear" w:color="auto" w:fill="DDF1F3"/>
          </w:tcPr>
          <w:p w14:paraId="16749157" w14:textId="77777777" w:rsidR="009E5B48" w:rsidRDefault="009E5B48" w:rsidP="00A17E03">
            <w:r w:rsidRPr="5E4DB3C2">
              <w:rPr>
                <w:rFonts w:ascii="Calibri" w:eastAsia="Calibri" w:hAnsi="Calibri" w:cs="Calibri"/>
                <w:color w:val="000000" w:themeColor="text1"/>
              </w:rPr>
              <w:t xml:space="preserve">Tonbridge and Malling </w:t>
            </w:r>
          </w:p>
        </w:tc>
        <w:tc>
          <w:tcPr>
            <w:tcW w:w="2265" w:type="dxa"/>
            <w:tcBorders>
              <w:top w:val="single" w:sz="8" w:space="0" w:color="auto"/>
              <w:left w:val="single" w:sz="8" w:space="0" w:color="auto"/>
              <w:bottom w:val="single" w:sz="8" w:space="0" w:color="auto"/>
              <w:right w:val="single" w:sz="8" w:space="0" w:color="auto"/>
            </w:tcBorders>
            <w:shd w:val="clear" w:color="auto" w:fill="DDF1F3"/>
          </w:tcPr>
          <w:p w14:paraId="10F86A29" w14:textId="77777777" w:rsidR="009E5B48" w:rsidRDefault="009E5B48" w:rsidP="00A17E03">
            <w:r w:rsidRPr="5E4DB3C2">
              <w:rPr>
                <w:rFonts w:ascii="Calibri" w:eastAsia="Calibri" w:hAnsi="Calibri" w:cs="Calibri"/>
                <w:color w:val="000000" w:themeColor="text1"/>
              </w:rPr>
              <w:t>103.9 per 100</w:t>
            </w:r>
          </w:p>
        </w:tc>
      </w:tr>
      <w:tr w:rsidR="009E5B48" w14:paraId="39923436" w14:textId="77777777">
        <w:tc>
          <w:tcPr>
            <w:tcW w:w="3225" w:type="dxa"/>
            <w:tcBorders>
              <w:top w:val="single" w:sz="8" w:space="0" w:color="auto"/>
              <w:left w:val="single" w:sz="8" w:space="0" w:color="auto"/>
              <w:bottom w:val="single" w:sz="8" w:space="0" w:color="auto"/>
              <w:right w:val="single" w:sz="8" w:space="0" w:color="auto"/>
            </w:tcBorders>
            <w:shd w:val="clear" w:color="auto" w:fill="DDF1F3"/>
          </w:tcPr>
          <w:p w14:paraId="0C22C242" w14:textId="77777777" w:rsidR="009E5B48" w:rsidRDefault="009E5B48" w:rsidP="00A17E03">
            <w:r w:rsidRPr="5E4DB3C2">
              <w:rPr>
                <w:rFonts w:ascii="Calibri" w:eastAsia="Calibri" w:hAnsi="Calibri" w:cs="Calibri"/>
                <w:color w:val="000000" w:themeColor="text1"/>
              </w:rPr>
              <w:t xml:space="preserve">Tunbridge Wells </w:t>
            </w:r>
          </w:p>
        </w:tc>
        <w:tc>
          <w:tcPr>
            <w:tcW w:w="2265" w:type="dxa"/>
            <w:tcBorders>
              <w:top w:val="single" w:sz="8" w:space="0" w:color="auto"/>
              <w:left w:val="single" w:sz="8" w:space="0" w:color="auto"/>
              <w:bottom w:val="single" w:sz="8" w:space="0" w:color="auto"/>
              <w:right w:val="single" w:sz="8" w:space="0" w:color="auto"/>
            </w:tcBorders>
            <w:shd w:val="clear" w:color="auto" w:fill="DDF1F3"/>
          </w:tcPr>
          <w:p w14:paraId="2C830637" w14:textId="77777777" w:rsidR="009E5B48" w:rsidRDefault="009E5B48" w:rsidP="00A17E03">
            <w:r w:rsidRPr="5E4DB3C2">
              <w:rPr>
                <w:rFonts w:ascii="Calibri" w:eastAsia="Calibri" w:hAnsi="Calibri" w:cs="Calibri"/>
                <w:color w:val="000000" w:themeColor="text1"/>
              </w:rPr>
              <w:t>107.5 per 100</w:t>
            </w:r>
          </w:p>
        </w:tc>
      </w:tr>
      <w:tr w:rsidR="009E5B48" w14:paraId="199D090E" w14:textId="77777777">
        <w:tc>
          <w:tcPr>
            <w:tcW w:w="3225" w:type="dxa"/>
            <w:tcBorders>
              <w:top w:val="single" w:sz="8" w:space="0" w:color="auto"/>
              <w:left w:val="single" w:sz="8" w:space="0" w:color="auto"/>
              <w:bottom w:val="single" w:sz="8" w:space="0" w:color="auto"/>
              <w:right w:val="single" w:sz="8" w:space="0" w:color="auto"/>
            </w:tcBorders>
            <w:shd w:val="clear" w:color="auto" w:fill="DDF1F3"/>
          </w:tcPr>
          <w:p w14:paraId="38E9D95A" w14:textId="77777777" w:rsidR="009E5B48" w:rsidRDefault="009E5B48" w:rsidP="00A17E03">
            <w:r w:rsidRPr="5E4DB3C2">
              <w:rPr>
                <w:rFonts w:ascii="Calibri" w:eastAsia="Calibri" w:hAnsi="Calibri" w:cs="Calibri"/>
                <w:color w:val="000000" w:themeColor="text1"/>
              </w:rPr>
              <w:t xml:space="preserve">Sevenoaks </w:t>
            </w:r>
          </w:p>
        </w:tc>
        <w:tc>
          <w:tcPr>
            <w:tcW w:w="2265" w:type="dxa"/>
            <w:tcBorders>
              <w:top w:val="single" w:sz="8" w:space="0" w:color="auto"/>
              <w:left w:val="single" w:sz="8" w:space="0" w:color="auto"/>
              <w:bottom w:val="single" w:sz="8" w:space="0" w:color="auto"/>
              <w:right w:val="single" w:sz="8" w:space="0" w:color="auto"/>
            </w:tcBorders>
            <w:shd w:val="clear" w:color="auto" w:fill="DDF1F3"/>
          </w:tcPr>
          <w:p w14:paraId="7E443473" w14:textId="77777777" w:rsidR="009E5B48" w:rsidRDefault="009E5B48" w:rsidP="00A17E03">
            <w:r w:rsidRPr="5E4DB3C2">
              <w:rPr>
                <w:rFonts w:ascii="Calibri" w:eastAsia="Calibri" w:hAnsi="Calibri" w:cs="Calibri"/>
                <w:color w:val="000000" w:themeColor="text1"/>
              </w:rPr>
              <w:t>86.2 per 100</w:t>
            </w:r>
          </w:p>
        </w:tc>
      </w:tr>
    </w:tbl>
    <w:p w14:paraId="65EC4546" w14:textId="77777777" w:rsidR="009E5B48" w:rsidRDefault="009E5B48" w:rsidP="00F00D89">
      <w:pPr>
        <w:pStyle w:val="Heading2"/>
      </w:pPr>
      <w:bookmarkStart w:id="130" w:name="_Toc128133841"/>
      <w:r w:rsidRPr="5E4DB3C2">
        <w:rPr>
          <w:rFonts w:eastAsia="Calibri"/>
        </w:rPr>
        <w:t>Hospital Admissions for Self-Harm</w:t>
      </w:r>
      <w:bookmarkEnd w:id="130"/>
      <w:r w:rsidRPr="5E4DB3C2">
        <w:rPr>
          <w:rFonts w:eastAsia="Calibri"/>
        </w:rPr>
        <w:t xml:space="preserve"> </w:t>
      </w:r>
    </w:p>
    <w:p w14:paraId="342A7F59" w14:textId="77777777" w:rsidR="009E5B48" w:rsidRDefault="009E5B48" w:rsidP="00A17E03">
      <w:r w:rsidRPr="5E4DB3C2">
        <w:rPr>
          <w:rFonts w:ascii="Calibri" w:eastAsia="Calibri" w:hAnsi="Calibri" w:cs="Calibri"/>
        </w:rPr>
        <w:t xml:space="preserve">The hospital admissions </w:t>
      </w:r>
      <w:bookmarkStart w:id="131" w:name="_Int_C7U6MZY8"/>
      <w:r w:rsidRPr="5E4DB3C2">
        <w:rPr>
          <w:rFonts w:ascii="Calibri" w:eastAsia="Calibri" w:hAnsi="Calibri" w:cs="Calibri"/>
        </w:rPr>
        <w:t>as a result of</w:t>
      </w:r>
      <w:bookmarkEnd w:id="131"/>
      <w:r w:rsidRPr="5E4DB3C2">
        <w:rPr>
          <w:rFonts w:ascii="Calibri" w:eastAsia="Calibri" w:hAnsi="Calibri" w:cs="Calibri"/>
        </w:rPr>
        <w:t xml:space="preserve"> self-harm in Kent and West Kent is higher than the England average in 2020/21. Maidstone has the highest standard ratio (difference from England benchmark). </w:t>
      </w:r>
    </w:p>
    <w:p w14:paraId="2A3E0BDD" w14:textId="2FC62066" w:rsidR="00847220" w:rsidRPr="00C642A6" w:rsidRDefault="009E5B48" w:rsidP="00C642A6">
      <w:r w:rsidRPr="5E4DB3C2">
        <w:rPr>
          <w:rFonts w:ascii="Calibri" w:eastAsia="Calibri" w:hAnsi="Calibri" w:cs="Calibri"/>
        </w:rPr>
        <w:t>The emergency hospital admissions for intentional self-harm, standardised admission ratio is highest for Maidstone at 143.0. There is variation in the value at electoral district levels as seen in the figure below. The top 5 wards with the highest rates in West Kent are:  Maidstone High Street (313.0), Seal and Weald (295.4), Bridge (249), Shepway South (241), and Sherwood (232).</w:t>
      </w:r>
    </w:p>
    <w:p w14:paraId="6B4DC25F" w14:textId="492ACDFB" w:rsidR="009E5B48" w:rsidRDefault="009E5B48" w:rsidP="00A17E03">
      <w:pPr>
        <w:rPr>
          <w:rFonts w:ascii="Calibri" w:eastAsia="Calibri" w:hAnsi="Calibri" w:cs="Calibri"/>
          <w:b/>
          <w:bCs/>
        </w:rPr>
      </w:pPr>
      <w:r w:rsidRPr="32F7F25D">
        <w:rPr>
          <w:rFonts w:ascii="Calibri" w:eastAsia="Calibri" w:hAnsi="Calibri" w:cs="Calibri"/>
          <w:b/>
          <w:bCs/>
        </w:rPr>
        <w:t>Figure 7</w:t>
      </w:r>
      <w:r w:rsidR="00B3426A">
        <w:rPr>
          <w:rFonts w:ascii="Calibri" w:eastAsia="Calibri" w:hAnsi="Calibri" w:cs="Calibri"/>
          <w:b/>
          <w:bCs/>
        </w:rPr>
        <w:t>6</w:t>
      </w:r>
      <w:r w:rsidRPr="32F7F25D">
        <w:rPr>
          <w:rFonts w:ascii="Calibri" w:eastAsia="Calibri" w:hAnsi="Calibri" w:cs="Calibri"/>
          <w:b/>
          <w:bCs/>
        </w:rPr>
        <w:t xml:space="preserve"> Hospital admissions </w:t>
      </w:r>
      <w:bookmarkStart w:id="132" w:name="_Int_wCnCUh8x"/>
      <w:r w:rsidRPr="32F7F25D">
        <w:rPr>
          <w:rFonts w:ascii="Calibri" w:eastAsia="Calibri" w:hAnsi="Calibri" w:cs="Calibri"/>
          <w:b/>
          <w:bCs/>
        </w:rPr>
        <w:t>as a result of</w:t>
      </w:r>
      <w:bookmarkEnd w:id="132"/>
      <w:r w:rsidRPr="32F7F25D">
        <w:rPr>
          <w:rFonts w:ascii="Calibri" w:eastAsia="Calibri" w:hAnsi="Calibri" w:cs="Calibri"/>
          <w:b/>
          <w:bCs/>
        </w:rPr>
        <w:t xml:space="preserve"> self-harm</w:t>
      </w:r>
      <w:r w:rsidR="00847220">
        <w:rPr>
          <w:rFonts w:ascii="Calibri" w:eastAsia="Calibri" w:hAnsi="Calibri" w:cs="Calibri"/>
          <w:b/>
          <w:bCs/>
        </w:rPr>
        <w:t xml:space="preserve"> (10-24 years old)</w:t>
      </w:r>
    </w:p>
    <w:p w14:paraId="2126AB67" w14:textId="77777777" w:rsidR="009E5B48" w:rsidRDefault="009E5B48" w:rsidP="00A17E03">
      <w:r w:rsidRPr="5E4DB3C2">
        <w:rPr>
          <w:rFonts w:ascii="Calibri" w:eastAsia="Calibri" w:hAnsi="Calibri" w:cs="Calibri"/>
        </w:rPr>
        <w:t xml:space="preserve"> </w:t>
      </w:r>
      <w:r>
        <w:rPr>
          <w:noProof/>
        </w:rPr>
        <w:drawing>
          <wp:inline distT="0" distB="0" distL="0" distR="0" wp14:anchorId="7B2B1526" wp14:editId="11E1AA82">
            <wp:extent cx="4038600" cy="2867025"/>
            <wp:effectExtent l="0" t="0" r="0" b="9525"/>
            <wp:docPr id="1728551405" name="Picture 1728551405" descr="Diagram showing PCNs in West Kent and hospital admissions as a result of self-harm compared to England in 2020/21. Sevenoaks has lower rates than England at 276 and 422. ABC, Maidstone South, Maidstone Central and Malling perform worse than England. Tunbridge Wells, Tonbridge, Weald and The Ridge perform similarly to England. Overall West Kent is worse than England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51405" name="Picture 1728551405" descr="Diagram showing PCNs in West Kent and hospital admissions as a result of self-harm compared to England in 2020/21. Sevenoaks has lower rates than England at 276 and 422. ABC, Maidstone South, Maidstone Central and Malling perform worse than England. Tunbridge Wells, Tonbridge, Weald and The Ridge perform similarly to England. Overall West Kent is worse than England (489)."/>
                    <pic:cNvPicPr/>
                  </pic:nvPicPr>
                  <pic:blipFill>
                    <a:blip r:embed="rId127">
                      <a:extLst>
                        <a:ext uri="{28A0092B-C50C-407E-A947-70E740481C1C}">
                          <a14:useLocalDpi xmlns:a14="http://schemas.microsoft.com/office/drawing/2010/main" val="0"/>
                        </a:ext>
                      </a:extLst>
                    </a:blip>
                    <a:stretch>
                      <a:fillRect/>
                    </a:stretch>
                  </pic:blipFill>
                  <pic:spPr>
                    <a:xfrm>
                      <a:off x="0" y="0"/>
                      <a:ext cx="4043309" cy="2870368"/>
                    </a:xfrm>
                    <a:prstGeom prst="rect">
                      <a:avLst/>
                    </a:prstGeom>
                  </pic:spPr>
                </pic:pic>
              </a:graphicData>
            </a:graphic>
          </wp:inline>
        </w:drawing>
      </w:r>
    </w:p>
    <w:p w14:paraId="638A4FAE" w14:textId="38868A75" w:rsidR="009E5B48" w:rsidRDefault="009E5B48" w:rsidP="00F00D89">
      <w:pPr>
        <w:pStyle w:val="Heading2"/>
      </w:pPr>
      <w:bookmarkStart w:id="133" w:name="_Toc128133842"/>
      <w:r w:rsidRPr="5E4DB3C2">
        <w:rPr>
          <w:rFonts w:eastAsia="Calibri"/>
        </w:rPr>
        <w:lastRenderedPageBreak/>
        <w:t>Premature Mortality</w:t>
      </w:r>
      <w:r w:rsidR="00C666D0">
        <w:rPr>
          <w:rFonts w:eastAsia="Calibri"/>
        </w:rPr>
        <w:t xml:space="preserve"> from SMI</w:t>
      </w:r>
      <w:bookmarkEnd w:id="133"/>
    </w:p>
    <w:p w14:paraId="4C1FA811" w14:textId="74B8FC71" w:rsidR="009E5B48" w:rsidRDefault="009E5B48" w:rsidP="00A17E03">
      <w:pPr>
        <w:rPr>
          <w:rFonts w:ascii="Calibri" w:eastAsia="Calibri" w:hAnsi="Calibri" w:cs="Calibri"/>
        </w:rPr>
      </w:pPr>
      <w:r w:rsidRPr="5E4DB3C2">
        <w:rPr>
          <w:rFonts w:ascii="Calibri" w:eastAsia="Calibri" w:hAnsi="Calibri" w:cs="Calibri"/>
        </w:rPr>
        <w:t xml:space="preserve">An OHID 2022 report shows that adults with severe mental illness die in England on average 2.7 – 7 times earlier and from a greater range of health conditions than adults in the general population. People with mental illness are also likely to self-neglect (poor health behaviour) and self-medicate with drugs and alcohol (further exacerbating illness and slowing recovery). Causes of premature death to people with long term mental illness are cancer, </w:t>
      </w:r>
      <w:bookmarkStart w:id="134" w:name="_Int_R3mY2CQy"/>
      <w:r w:rsidRPr="5E4DB3C2">
        <w:rPr>
          <w:rFonts w:ascii="Calibri" w:eastAsia="Calibri" w:hAnsi="Calibri" w:cs="Calibri"/>
        </w:rPr>
        <w:t>CVD</w:t>
      </w:r>
      <w:bookmarkEnd w:id="134"/>
      <w:r w:rsidRPr="5E4DB3C2">
        <w:rPr>
          <w:rFonts w:ascii="Calibri" w:eastAsia="Calibri" w:hAnsi="Calibri" w:cs="Calibri"/>
        </w:rPr>
        <w:t xml:space="preserve">, COPD, stroke, and liver disease. People who suffer mental illness are often poorly equipped to manage the confusing array of fragmented services and their health outcomes show a 20-year mortality gap compared with those who do not have mental illness. Currently this data is not available at HCP and PCN level. </w:t>
      </w:r>
    </w:p>
    <w:p w14:paraId="757F768E" w14:textId="0052B204" w:rsidR="009E5B48" w:rsidRDefault="009E5B48" w:rsidP="00F00D89">
      <w:pPr>
        <w:pStyle w:val="Heading2"/>
        <w:rPr>
          <w:rFonts w:eastAsia="Calibri"/>
        </w:rPr>
      </w:pPr>
      <w:bookmarkStart w:id="135" w:name="_Toc128133843"/>
      <w:r w:rsidRPr="5E4DB3C2">
        <w:rPr>
          <w:rFonts w:eastAsia="Calibri"/>
        </w:rPr>
        <w:t>Suicide</w:t>
      </w:r>
      <w:bookmarkEnd w:id="135"/>
    </w:p>
    <w:p w14:paraId="35F41262" w14:textId="77777777" w:rsidR="009E5B48" w:rsidRDefault="009E5B48" w:rsidP="00A17E03">
      <w:pPr>
        <w:rPr>
          <w:rFonts w:ascii="Calibri" w:eastAsia="Calibri" w:hAnsi="Calibri" w:cs="Calibri"/>
        </w:rPr>
      </w:pPr>
      <w:r w:rsidRPr="5E4DB3C2">
        <w:rPr>
          <w:rFonts w:ascii="Calibri" w:eastAsia="Calibri" w:hAnsi="Calibri" w:cs="Calibri"/>
        </w:rPr>
        <w:t xml:space="preserve">The rate for completed suicide in Kent is 11.7 (3 year rolling average rate per 100,000) for 2019-21, which is 479 deaths. The rate has increased slightly from the previous 3 year rolling average. Maidstone (13.4) has the highest rate amongst all the West Kent districts, followed by Tonbridge and Malling at 12.3. </w:t>
      </w:r>
    </w:p>
    <w:p w14:paraId="6F72098C" w14:textId="7BF4E5D6" w:rsidR="009E5B48" w:rsidRDefault="009E5B48" w:rsidP="00A17E03">
      <w:pPr>
        <w:rPr>
          <w:rFonts w:ascii="Calibri" w:eastAsia="Calibri" w:hAnsi="Calibri" w:cs="Calibri"/>
          <w:b/>
          <w:bCs/>
        </w:rPr>
      </w:pPr>
      <w:r w:rsidRPr="32F7F25D">
        <w:rPr>
          <w:rFonts w:ascii="Calibri" w:eastAsia="Calibri" w:hAnsi="Calibri" w:cs="Calibri"/>
          <w:b/>
          <w:bCs/>
          <w:color w:val="1F3763"/>
        </w:rPr>
        <w:t>F</w:t>
      </w:r>
      <w:r w:rsidRPr="32F7F25D">
        <w:rPr>
          <w:rFonts w:ascii="Calibri" w:eastAsia="Calibri" w:hAnsi="Calibri" w:cs="Calibri"/>
          <w:b/>
          <w:bCs/>
        </w:rPr>
        <w:t>igure 7</w:t>
      </w:r>
      <w:r w:rsidR="00B3426A">
        <w:rPr>
          <w:rFonts w:ascii="Calibri" w:eastAsia="Calibri" w:hAnsi="Calibri" w:cs="Calibri"/>
          <w:b/>
          <w:bCs/>
        </w:rPr>
        <w:t>7</w:t>
      </w:r>
      <w:r w:rsidRPr="32F7F25D">
        <w:rPr>
          <w:rFonts w:ascii="Calibri" w:eastAsia="Calibri" w:hAnsi="Calibri" w:cs="Calibri"/>
          <w:b/>
          <w:bCs/>
        </w:rPr>
        <w:t xml:space="preserve"> Kent and Medway Suicide Rate compared to English average and West Kent districts (rate per 100,000, all people, 2018-20 3 </w:t>
      </w:r>
      <w:bookmarkStart w:id="136" w:name="_Int_6AywEhyR"/>
      <w:r w:rsidRPr="32F7F25D">
        <w:rPr>
          <w:rFonts w:ascii="Calibri" w:eastAsia="Calibri" w:hAnsi="Calibri" w:cs="Calibri"/>
          <w:b/>
          <w:bCs/>
        </w:rPr>
        <w:t>year</w:t>
      </w:r>
      <w:bookmarkEnd w:id="136"/>
      <w:r w:rsidRPr="32F7F25D">
        <w:rPr>
          <w:rFonts w:ascii="Calibri" w:eastAsia="Calibri" w:hAnsi="Calibri" w:cs="Calibri"/>
          <w:b/>
          <w:bCs/>
        </w:rPr>
        <w:t xml:space="preserve"> rolling averages).</w:t>
      </w:r>
    </w:p>
    <w:p w14:paraId="04E538CC" w14:textId="77777777" w:rsidR="009E5B48" w:rsidRDefault="009E5B48" w:rsidP="00A17E03">
      <w:r w:rsidRPr="5E4DB3C2">
        <w:rPr>
          <w:rFonts w:ascii="Calibri" w:eastAsia="Calibri" w:hAnsi="Calibri" w:cs="Calibri"/>
        </w:rPr>
        <w:t xml:space="preserve"> </w:t>
      </w:r>
      <w:r>
        <w:rPr>
          <w:noProof/>
        </w:rPr>
        <w:drawing>
          <wp:inline distT="0" distB="0" distL="0" distR="0" wp14:anchorId="65A3C4F4" wp14:editId="0E3CB625">
            <wp:extent cx="5382732" cy="3857625"/>
            <wp:effectExtent l="0" t="0" r="8890" b="0"/>
            <wp:docPr id="840771638" name="Picture 840771638" descr="Infographic showing Kent and Medway Suicide Rate compared to English average and West Kent districts (rate per 100,000, all people, 2018-20 3 year rolling averages). England 10. Kent and Medway 11. West Kent HCP 11. Tonbridge and Malling 11. Tunbridge Wells 11. Maidstone 12. Sevenoaks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771638" name="Picture 840771638" descr="Infographic showing Kent and Medway Suicide Rate compared to English average and West Kent districts (rate per 100,000, all people, 2018-20 3 year rolling averages). England 10. Kent and Medway 11. West Kent HCP 11. Tonbridge and Malling 11. Tunbridge Wells 11. Maidstone 12. Sevenoaks 9. "/>
                    <pic:cNvPicPr/>
                  </pic:nvPicPr>
                  <pic:blipFill>
                    <a:blip r:embed="rId128">
                      <a:extLst>
                        <a:ext uri="{28A0092B-C50C-407E-A947-70E740481C1C}">
                          <a14:useLocalDpi xmlns:a14="http://schemas.microsoft.com/office/drawing/2010/main" val="0"/>
                        </a:ext>
                      </a:extLst>
                    </a:blip>
                    <a:stretch>
                      <a:fillRect/>
                    </a:stretch>
                  </pic:blipFill>
                  <pic:spPr>
                    <a:xfrm>
                      <a:off x="0" y="0"/>
                      <a:ext cx="5384148" cy="3858640"/>
                    </a:xfrm>
                    <a:prstGeom prst="rect">
                      <a:avLst/>
                    </a:prstGeom>
                  </pic:spPr>
                </pic:pic>
              </a:graphicData>
            </a:graphic>
          </wp:inline>
        </w:drawing>
      </w:r>
    </w:p>
    <w:p w14:paraId="297DBB1A" w14:textId="77777777" w:rsidR="00CC2FAC" w:rsidRDefault="00CC2FAC">
      <w:pPr>
        <w:spacing w:before="0" w:after="200"/>
        <w:rPr>
          <w:rFonts w:eastAsia="Calibri"/>
          <w:b/>
          <w:bCs/>
        </w:rPr>
      </w:pPr>
      <w:r>
        <w:rPr>
          <w:rFonts w:eastAsia="Calibri"/>
          <w:b/>
          <w:bCs/>
        </w:rPr>
        <w:br w:type="page"/>
      </w:r>
    </w:p>
    <w:p w14:paraId="1AA3E346" w14:textId="37D6C238" w:rsidR="009D38FF" w:rsidRPr="00CC2FAC" w:rsidRDefault="009E5B48" w:rsidP="00C642A6">
      <w:pPr>
        <w:rPr>
          <w:rFonts w:eastAsia="Calibri"/>
        </w:rPr>
      </w:pPr>
      <w:r w:rsidRPr="009D38FF">
        <w:rPr>
          <w:rFonts w:eastAsia="Calibri"/>
          <w:b/>
          <w:bCs/>
        </w:rPr>
        <w:lastRenderedPageBreak/>
        <w:t>Figure 7</w:t>
      </w:r>
      <w:r w:rsidR="00B3426A">
        <w:rPr>
          <w:rFonts w:eastAsia="Calibri"/>
          <w:b/>
          <w:bCs/>
        </w:rPr>
        <w:t>8</w:t>
      </w:r>
      <w:r w:rsidRPr="009D38FF">
        <w:rPr>
          <w:rFonts w:eastAsia="Calibri"/>
          <w:b/>
          <w:bCs/>
        </w:rPr>
        <w:t xml:space="preserve"> Kent and Medway Suicide Rate compared to England average (rate per 100,000, all people, 2019-21 3 </w:t>
      </w:r>
      <w:bookmarkStart w:id="137" w:name="_Int_kRzN9w13"/>
      <w:r w:rsidRPr="009D38FF">
        <w:rPr>
          <w:rFonts w:eastAsia="Calibri"/>
          <w:b/>
          <w:bCs/>
        </w:rPr>
        <w:t>year</w:t>
      </w:r>
      <w:bookmarkEnd w:id="137"/>
      <w:r w:rsidRPr="009D38FF">
        <w:rPr>
          <w:rFonts w:eastAsia="Calibri"/>
          <w:b/>
          <w:bCs/>
        </w:rPr>
        <w:t xml:space="preserve"> rolling averages)</w:t>
      </w:r>
      <w:r w:rsidR="009D38FF">
        <w:rPr>
          <w:rFonts w:eastAsia="Calibri"/>
          <w:b/>
          <w:bCs/>
        </w:rPr>
        <w:t xml:space="preserve">. </w:t>
      </w:r>
      <w:r w:rsidR="009D38FF" w:rsidRPr="5E4DB3C2">
        <w:rPr>
          <w:rFonts w:eastAsia="Calibri"/>
        </w:rPr>
        <w:t>Source</w:t>
      </w:r>
      <w:r w:rsidR="00BD47D0">
        <w:rPr>
          <w:rFonts w:eastAsia="Calibri"/>
        </w:rPr>
        <w:t>:</w:t>
      </w:r>
      <w:r w:rsidR="009D38FF" w:rsidRPr="5E4DB3C2">
        <w:rPr>
          <w:rFonts w:eastAsia="Calibri"/>
        </w:rPr>
        <w:t xml:space="preserve"> </w:t>
      </w:r>
      <w:bookmarkStart w:id="138" w:name="_Int_repOugBi"/>
      <w:r w:rsidR="009D38FF" w:rsidRPr="5E4DB3C2">
        <w:rPr>
          <w:rFonts w:eastAsia="Calibri"/>
        </w:rPr>
        <w:t>ONS</w:t>
      </w:r>
      <w:bookmarkEnd w:id="138"/>
      <w:r w:rsidR="009D38FF" w:rsidRPr="5E4DB3C2">
        <w:rPr>
          <w:rFonts w:eastAsia="Calibri"/>
        </w:rPr>
        <w:t xml:space="preserve"> Suicides in England and Wales by local authority - Office for National Statistics (ons.gov.uk)</w:t>
      </w:r>
      <w:r w:rsidR="00C240B1">
        <w:rPr>
          <w:noProof/>
        </w:rPr>
        <w:drawing>
          <wp:inline distT="0" distB="0" distL="0" distR="0" wp14:anchorId="61FCDA85" wp14:editId="7D2DA86F">
            <wp:extent cx="5878216" cy="4081255"/>
            <wp:effectExtent l="0" t="0" r="8255" b="0"/>
            <wp:docPr id="1704452128" name="Picture 1704452128" descr="Suicide rate per 100,000 2019-21. Ashford, Maidstone, Dover and Thanet districts are all significantly higher than the Kent average of 11.7 per 100,0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452128"/>
                    <pic:cNvPicPr/>
                  </pic:nvPicPr>
                  <pic:blipFill>
                    <a:blip r:embed="rId129">
                      <a:extLst>
                        <a:ext uri="{28A0092B-C50C-407E-A947-70E740481C1C}">
                          <a14:useLocalDpi xmlns:a14="http://schemas.microsoft.com/office/drawing/2010/main" val="0"/>
                        </a:ext>
                      </a:extLst>
                    </a:blip>
                    <a:stretch>
                      <a:fillRect/>
                    </a:stretch>
                  </pic:blipFill>
                  <pic:spPr>
                    <a:xfrm>
                      <a:off x="0" y="0"/>
                      <a:ext cx="5878216" cy="4081255"/>
                    </a:xfrm>
                    <a:prstGeom prst="rect">
                      <a:avLst/>
                    </a:prstGeom>
                  </pic:spPr>
                </pic:pic>
              </a:graphicData>
            </a:graphic>
          </wp:inline>
        </w:drawing>
      </w:r>
    </w:p>
    <w:p w14:paraId="24F435FC" w14:textId="6BE98E03" w:rsidR="00F86BAD" w:rsidRPr="009D38FF" w:rsidRDefault="00F86BAD" w:rsidP="00A17E03">
      <w:pPr>
        <w:pStyle w:val="Heading1"/>
      </w:pPr>
      <w:bookmarkStart w:id="139" w:name="_Toc128133844"/>
      <w:r w:rsidRPr="009D38FF">
        <w:t>Sexual Health</w:t>
      </w:r>
      <w:bookmarkEnd w:id="139"/>
    </w:p>
    <w:p w14:paraId="56D6EE3A" w14:textId="0CC67F86" w:rsidR="00F86BAD" w:rsidRDefault="00F86BAD" w:rsidP="00A17E03">
      <w:pPr>
        <w:spacing w:after="0" w:line="240" w:lineRule="auto"/>
        <w:rPr>
          <w:rFonts w:ascii="Calibri" w:eastAsia="Times New Roman" w:hAnsi="Calibri" w:cs="Calibri"/>
          <w:color w:val="000000" w:themeColor="text1"/>
        </w:rPr>
      </w:pPr>
      <w:r w:rsidRPr="32F7F25D">
        <w:rPr>
          <w:rFonts w:ascii="Calibri" w:eastAsia="Times New Roman" w:hAnsi="Calibri" w:cs="Calibri"/>
          <w:color w:val="000000" w:themeColor="text1"/>
        </w:rPr>
        <w:t xml:space="preserve">Mirroring national trends, chlamydia was the most prevalent Sexually Transmitted Infection (STI) in West Kent, with Maidstone having the highest diagnostic rate at 288.2 per 100,000 population (figure </w:t>
      </w:r>
      <w:r w:rsidR="00B3426A">
        <w:rPr>
          <w:rFonts w:ascii="Calibri" w:eastAsia="Times New Roman" w:hAnsi="Calibri" w:cs="Calibri"/>
          <w:color w:val="000000" w:themeColor="text1"/>
        </w:rPr>
        <w:t>79</w:t>
      </w:r>
      <w:r w:rsidRPr="32F7F25D">
        <w:rPr>
          <w:rFonts w:ascii="Calibri" w:eastAsia="Times New Roman" w:hAnsi="Calibri" w:cs="Calibri"/>
          <w:color w:val="000000" w:themeColor="text1"/>
        </w:rPr>
        <w:t>). After chlamydia</w:t>
      </w:r>
      <w:r w:rsidR="00720074">
        <w:rPr>
          <w:rFonts w:ascii="Calibri" w:eastAsia="Times New Roman" w:hAnsi="Calibri" w:cs="Calibri"/>
          <w:color w:val="000000" w:themeColor="text1"/>
        </w:rPr>
        <w:t>,</w:t>
      </w:r>
      <w:r w:rsidRPr="32F7F25D">
        <w:rPr>
          <w:rFonts w:ascii="Calibri" w:eastAsia="Times New Roman" w:hAnsi="Calibri" w:cs="Calibri"/>
          <w:color w:val="000000" w:themeColor="text1"/>
        </w:rPr>
        <w:t xml:space="preserve"> genital warts </w:t>
      </w:r>
      <w:r w:rsidR="19494332" w:rsidRPr="740CDBE4">
        <w:rPr>
          <w:rFonts w:ascii="Calibri" w:eastAsia="Times New Roman" w:hAnsi="Calibri" w:cs="Calibri"/>
          <w:color w:val="000000" w:themeColor="text1"/>
        </w:rPr>
        <w:t>were</w:t>
      </w:r>
      <w:r w:rsidRPr="740CDBE4">
        <w:rPr>
          <w:rFonts w:ascii="Calibri" w:eastAsia="Times New Roman" w:hAnsi="Calibri" w:cs="Calibri"/>
          <w:color w:val="000000" w:themeColor="text1"/>
        </w:rPr>
        <w:t xml:space="preserve"> </w:t>
      </w:r>
      <w:r w:rsidRPr="32F7F25D">
        <w:rPr>
          <w:rFonts w:ascii="Calibri" w:eastAsia="Times New Roman" w:hAnsi="Calibri" w:cs="Calibri"/>
          <w:color w:val="000000" w:themeColor="text1"/>
        </w:rPr>
        <w:t>the most prevalent STI. Maidstone also had the highest diagnostic rates of all STIs in West Kent. Diagnostic rates were lowest in Tunbridge Wells (figure 8</w:t>
      </w:r>
      <w:r w:rsidR="00B3426A">
        <w:rPr>
          <w:rFonts w:ascii="Calibri" w:eastAsia="Times New Roman" w:hAnsi="Calibri" w:cs="Calibri"/>
          <w:color w:val="000000" w:themeColor="text1"/>
        </w:rPr>
        <w:t>0</w:t>
      </w:r>
      <w:r w:rsidRPr="32F7F25D">
        <w:rPr>
          <w:rFonts w:ascii="Calibri" w:eastAsia="Times New Roman" w:hAnsi="Calibri" w:cs="Calibri"/>
          <w:color w:val="000000" w:themeColor="text1"/>
        </w:rPr>
        <w:t>).   </w:t>
      </w:r>
    </w:p>
    <w:p w14:paraId="5AB47232" w14:textId="77777777" w:rsidR="00F51AFF" w:rsidRPr="00A17E03" w:rsidRDefault="00F51AFF" w:rsidP="00A17E03">
      <w:pPr>
        <w:spacing w:after="0" w:line="240" w:lineRule="auto"/>
        <w:rPr>
          <w:rFonts w:ascii="Calibri" w:eastAsia="Times New Roman" w:hAnsi="Calibri" w:cs="Calibri"/>
          <w:color w:val="000000" w:themeColor="text1"/>
        </w:rPr>
      </w:pPr>
    </w:p>
    <w:p w14:paraId="3AA9E253" w14:textId="77777777" w:rsidR="00CC2FAC" w:rsidRDefault="00CC2FAC">
      <w:pPr>
        <w:spacing w:before="0" w:after="200"/>
        <w:rPr>
          <w:rFonts w:ascii="Calibri" w:eastAsia="Times New Roman" w:hAnsi="Calibri" w:cs="Calibri"/>
          <w:b/>
          <w:bCs/>
          <w:color w:val="000000" w:themeColor="text1"/>
        </w:rPr>
      </w:pPr>
      <w:r>
        <w:rPr>
          <w:rFonts w:ascii="Calibri" w:eastAsia="Times New Roman" w:hAnsi="Calibri" w:cs="Calibri"/>
          <w:b/>
          <w:bCs/>
          <w:color w:val="000000" w:themeColor="text1"/>
        </w:rPr>
        <w:br w:type="page"/>
      </w:r>
    </w:p>
    <w:p w14:paraId="0E7E0329" w14:textId="44E5B051" w:rsidR="00F86BAD" w:rsidRDefault="00F86BAD" w:rsidP="00A17E03">
      <w:pPr>
        <w:spacing w:after="0" w:line="240" w:lineRule="auto"/>
        <w:rPr>
          <w:rFonts w:ascii="Segoe UI" w:eastAsia="Times New Roman" w:hAnsi="Segoe UI" w:cs="Segoe UI"/>
          <w:sz w:val="18"/>
          <w:szCs w:val="18"/>
        </w:rPr>
      </w:pPr>
      <w:r w:rsidRPr="347D5DEF">
        <w:rPr>
          <w:rFonts w:ascii="Calibri" w:eastAsia="Times New Roman" w:hAnsi="Calibri" w:cs="Calibri"/>
          <w:b/>
          <w:bCs/>
          <w:color w:val="000000" w:themeColor="text1"/>
        </w:rPr>
        <w:lastRenderedPageBreak/>
        <w:t xml:space="preserve">Figure </w:t>
      </w:r>
      <w:r w:rsidR="00B3426A">
        <w:rPr>
          <w:rFonts w:ascii="Calibri" w:eastAsia="Times New Roman" w:hAnsi="Calibri" w:cs="Calibri"/>
          <w:b/>
          <w:bCs/>
          <w:color w:val="000000" w:themeColor="text1"/>
        </w:rPr>
        <w:t>79</w:t>
      </w:r>
      <w:r w:rsidRPr="347D5DEF">
        <w:rPr>
          <w:rFonts w:ascii="Calibri" w:eastAsia="Times New Roman" w:hAnsi="Calibri" w:cs="Calibri"/>
          <w:b/>
          <w:bCs/>
          <w:color w:val="000000" w:themeColor="text1"/>
        </w:rPr>
        <w:t xml:space="preserve">: Chlamydia diagnostic rate among people accessing </w:t>
      </w:r>
      <w:bookmarkStart w:id="140" w:name="_Int_SZgtfk5Z"/>
      <w:r w:rsidRPr="347D5DEF">
        <w:rPr>
          <w:rFonts w:ascii="Calibri" w:eastAsia="Times New Roman" w:hAnsi="Calibri" w:cs="Calibri"/>
          <w:b/>
          <w:bCs/>
          <w:color w:val="000000" w:themeColor="text1"/>
        </w:rPr>
        <w:t>SHS</w:t>
      </w:r>
      <w:bookmarkEnd w:id="140"/>
      <w:r w:rsidRPr="347D5DEF">
        <w:rPr>
          <w:rFonts w:ascii="Calibri" w:eastAsia="Times New Roman" w:hAnsi="Calibri" w:cs="Calibri"/>
          <w:b/>
          <w:bCs/>
          <w:color w:val="000000" w:themeColor="text1"/>
        </w:rPr>
        <w:t xml:space="preserve">, in all ages by district in </w:t>
      </w:r>
      <w:r w:rsidR="00B3426A" w:rsidRPr="347D5DEF">
        <w:rPr>
          <w:rFonts w:ascii="Calibri" w:eastAsia="Times New Roman" w:hAnsi="Calibri" w:cs="Calibri"/>
          <w:b/>
          <w:bCs/>
          <w:color w:val="000000" w:themeColor="text1"/>
        </w:rPr>
        <w:t>2021.</w:t>
      </w:r>
      <w:r w:rsidRPr="347D5DEF">
        <w:rPr>
          <w:rFonts w:ascii="Calibri" w:eastAsia="Times New Roman" w:hAnsi="Calibri" w:cs="Calibri"/>
          <w:color w:val="000000" w:themeColor="text1"/>
        </w:rPr>
        <w:t> </w:t>
      </w:r>
    </w:p>
    <w:p w14:paraId="134BF871" w14:textId="0D30A283" w:rsidR="00F86BAD" w:rsidRDefault="00F86BAD" w:rsidP="00A17E03">
      <w:pPr>
        <w:spacing w:after="0" w:line="240" w:lineRule="auto"/>
        <w:rPr>
          <w:rFonts w:ascii="Segoe UI" w:eastAsia="Times New Roman" w:hAnsi="Segoe UI" w:cs="Segoe UI"/>
          <w:sz w:val="18"/>
          <w:szCs w:val="18"/>
        </w:rPr>
      </w:pPr>
      <w:r>
        <w:rPr>
          <w:noProof/>
        </w:rPr>
        <w:drawing>
          <wp:inline distT="0" distB="0" distL="0" distR="0" wp14:anchorId="5A38AED4" wp14:editId="5DB643C4">
            <wp:extent cx="5805582" cy="3695700"/>
            <wp:effectExtent l="0" t="0" r="5080" b="0"/>
            <wp:docPr id="373909479" name="Picture 1412120221" descr="Column chart showing Chlamydia diagnostic rate among people accessing SHS in 2021 in Maidstone (288.2 per 100,000), Sevenoaks (160.6), Tonbridge and Malling (205.2) and Tunbridge Wells (18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09479" name="Picture 1412120221" descr="Column chart showing Chlamydia diagnostic rate among people accessing SHS in 2021 in Maidstone (288.2 per 100,000), Sevenoaks (160.6), Tonbridge and Malling (205.2) and Tunbridge Wells (181.6). "/>
                    <pic:cNvPicPr/>
                  </pic:nvPicPr>
                  <pic:blipFill>
                    <a:blip r:embed="rId130">
                      <a:extLst>
                        <a:ext uri="{28A0092B-C50C-407E-A947-70E740481C1C}">
                          <a14:useLocalDpi xmlns:a14="http://schemas.microsoft.com/office/drawing/2010/main" val="0"/>
                        </a:ext>
                      </a:extLst>
                    </a:blip>
                    <a:stretch>
                      <a:fillRect/>
                    </a:stretch>
                  </pic:blipFill>
                  <pic:spPr bwMode="auto">
                    <a:xfrm>
                      <a:off x="0" y="0"/>
                      <a:ext cx="5831219" cy="3712020"/>
                    </a:xfrm>
                    <a:prstGeom prst="rect">
                      <a:avLst/>
                    </a:prstGeom>
                    <a:noFill/>
                    <a:ln>
                      <a:noFill/>
                    </a:ln>
                  </pic:spPr>
                </pic:pic>
              </a:graphicData>
            </a:graphic>
          </wp:inline>
        </w:drawing>
      </w:r>
      <w:r w:rsidRPr="305ECFD1">
        <w:rPr>
          <w:rFonts w:ascii="Calibri" w:eastAsia="Times New Roman" w:hAnsi="Calibri" w:cs="Calibri"/>
        </w:rPr>
        <w:t> </w:t>
      </w:r>
    </w:p>
    <w:p w14:paraId="6486B189" w14:textId="2E8A2CC5" w:rsidR="00F86BAD" w:rsidRDefault="00F86BAD" w:rsidP="00A17E03">
      <w:pPr>
        <w:spacing w:after="0" w:line="240" w:lineRule="auto"/>
        <w:rPr>
          <w:rFonts w:ascii="Calibri" w:eastAsia="Times New Roman" w:hAnsi="Calibri" w:cs="Calibri"/>
          <w:color w:val="000000" w:themeColor="text1"/>
        </w:rPr>
      </w:pPr>
      <w:r w:rsidRPr="32F7F25D">
        <w:rPr>
          <w:rFonts w:ascii="Calibri" w:eastAsia="Times New Roman" w:hAnsi="Calibri" w:cs="Calibri"/>
          <w:color w:val="000000" w:themeColor="text1"/>
        </w:rPr>
        <w:t> </w:t>
      </w:r>
      <w:r w:rsidRPr="32F7F25D">
        <w:rPr>
          <w:rFonts w:ascii="Calibri" w:eastAsia="Times New Roman" w:hAnsi="Calibri" w:cs="Calibri"/>
          <w:b/>
          <w:bCs/>
          <w:color w:val="000000" w:themeColor="text1"/>
        </w:rPr>
        <w:t>Figure 8</w:t>
      </w:r>
      <w:r w:rsidR="00B3426A">
        <w:rPr>
          <w:rFonts w:ascii="Calibri" w:eastAsia="Times New Roman" w:hAnsi="Calibri" w:cs="Calibri"/>
          <w:b/>
          <w:bCs/>
          <w:color w:val="000000" w:themeColor="text1"/>
        </w:rPr>
        <w:t>0</w:t>
      </w:r>
      <w:r w:rsidRPr="32F7F25D">
        <w:rPr>
          <w:rFonts w:ascii="Calibri" w:eastAsia="Times New Roman" w:hAnsi="Calibri" w:cs="Calibri"/>
          <w:b/>
          <w:bCs/>
          <w:color w:val="000000" w:themeColor="text1"/>
        </w:rPr>
        <w:t xml:space="preserve">: STI diagnostic rates (excluding chlamydia) by district in </w:t>
      </w:r>
      <w:r w:rsidR="00184EDD" w:rsidRPr="32F7F25D">
        <w:rPr>
          <w:rFonts w:ascii="Calibri" w:eastAsia="Times New Roman" w:hAnsi="Calibri" w:cs="Calibri"/>
          <w:b/>
          <w:bCs/>
          <w:color w:val="000000" w:themeColor="text1"/>
        </w:rPr>
        <w:t>2021.</w:t>
      </w:r>
      <w:r w:rsidRPr="32F7F25D">
        <w:rPr>
          <w:rFonts w:ascii="Calibri" w:eastAsia="Times New Roman" w:hAnsi="Calibri" w:cs="Calibri"/>
          <w:color w:val="000000" w:themeColor="text1"/>
        </w:rPr>
        <w:t>  </w:t>
      </w:r>
    </w:p>
    <w:p w14:paraId="1E55AE3C" w14:textId="72ECCB46" w:rsidR="00F86BAD" w:rsidRDefault="00F86BAD" w:rsidP="00A17E03">
      <w:pPr>
        <w:spacing w:after="0" w:line="240" w:lineRule="auto"/>
        <w:rPr>
          <w:rFonts w:ascii="Segoe UI" w:eastAsia="Times New Roman" w:hAnsi="Segoe UI" w:cs="Segoe UI"/>
          <w:sz w:val="18"/>
          <w:szCs w:val="18"/>
        </w:rPr>
      </w:pPr>
      <w:r>
        <w:rPr>
          <w:noProof/>
        </w:rPr>
        <w:drawing>
          <wp:inline distT="0" distB="0" distL="0" distR="0" wp14:anchorId="1CBC10FD" wp14:editId="3671AC0A">
            <wp:extent cx="5418627" cy="3848100"/>
            <wp:effectExtent l="0" t="0" r="0" b="0"/>
            <wp:docPr id="441137506" name="Picture 1412120222" descr="Column chart showing STI diagnostic rates per 100,000 (excluding chlamydia) by district in 2021. Maidstone genital warts 49, gonorrhoea 35, genital herpes 32, syphilis 9, HIV 3. Sevenoaks genital warts 43, gonorrhoea 24, genital herpes 14. Tonbridge and Malling genital warts 48, gonorrhoea 25, genital herpes 27, syphilis 5, HIV 2. Tunbridge Wells genital warts 46, gonorrhoea 28, genital herpes 21, syphilis 7, HIV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37506" name="Picture 1412120222" descr="Column chart showing STI diagnostic rates per 100,000 (excluding chlamydia) by district in 2021. Maidstone genital warts 49, gonorrhoea 35, genital herpes 32, syphilis 9, HIV 3. Sevenoaks genital warts 43, gonorrhoea 24, genital herpes 14. Tonbridge and Malling genital warts 48, gonorrhoea 25, genital herpes 27, syphilis 5, HIV 2. Tunbridge Wells genital warts 46, gonorrhoea 28, genital herpes 21, syphilis 7, HIV 2."/>
                    <pic:cNvPicPr/>
                  </pic:nvPicPr>
                  <pic:blipFill>
                    <a:blip r:embed="rId131">
                      <a:extLst>
                        <a:ext uri="{28A0092B-C50C-407E-A947-70E740481C1C}">
                          <a14:useLocalDpi xmlns:a14="http://schemas.microsoft.com/office/drawing/2010/main" val="0"/>
                        </a:ext>
                      </a:extLst>
                    </a:blip>
                    <a:stretch>
                      <a:fillRect/>
                    </a:stretch>
                  </pic:blipFill>
                  <pic:spPr>
                    <a:xfrm>
                      <a:off x="0" y="0"/>
                      <a:ext cx="5433386" cy="3858582"/>
                    </a:xfrm>
                    <a:prstGeom prst="rect">
                      <a:avLst/>
                    </a:prstGeom>
                  </pic:spPr>
                </pic:pic>
              </a:graphicData>
            </a:graphic>
          </wp:inline>
        </w:drawing>
      </w:r>
      <w:r w:rsidRPr="5E4DB3C2">
        <w:rPr>
          <w:rFonts w:ascii="Calibri" w:eastAsia="Times New Roman" w:hAnsi="Calibri" w:cs="Calibri"/>
        </w:rPr>
        <w:t> </w:t>
      </w:r>
    </w:p>
    <w:p w14:paraId="580A08FD" w14:textId="34287C03" w:rsidR="00F86BAD" w:rsidRDefault="00F86BAD" w:rsidP="00A17E03">
      <w:pPr>
        <w:spacing w:after="0" w:line="240" w:lineRule="auto"/>
        <w:textAlignment w:val="baseline"/>
        <w:rPr>
          <w:rFonts w:ascii="Calibri" w:eastAsia="Times New Roman" w:hAnsi="Calibri" w:cs="Calibri"/>
        </w:rPr>
      </w:pPr>
      <w:r w:rsidRPr="32F7F25D">
        <w:rPr>
          <w:rFonts w:ascii="Calibri" w:eastAsia="Times New Roman" w:hAnsi="Calibri" w:cs="Calibri"/>
        </w:rPr>
        <w:lastRenderedPageBreak/>
        <w:t>Within West Kent the proportion of young people screened for chlamydia in 2021 was highest in Maidstone (11.3%) and lowest in Sevenoaks (9.4%) (Table 1</w:t>
      </w:r>
      <w:r w:rsidR="00B721A8">
        <w:rPr>
          <w:rFonts w:ascii="Calibri" w:eastAsia="Times New Roman" w:hAnsi="Calibri" w:cs="Calibri"/>
        </w:rPr>
        <w:t>3</w:t>
      </w:r>
      <w:r w:rsidRPr="32F7F25D">
        <w:rPr>
          <w:rFonts w:ascii="Calibri" w:eastAsia="Times New Roman" w:hAnsi="Calibri" w:cs="Calibri"/>
        </w:rPr>
        <w:t>). STI testing rates were also highest in Maidstone and lowest in Sevenoaks. However, between 2020 and 2021 STI testing increased the most in Tonbridge Wells (22%) (Table 1</w:t>
      </w:r>
      <w:r w:rsidR="00BA7D66">
        <w:rPr>
          <w:rFonts w:ascii="Calibri" w:eastAsia="Times New Roman" w:hAnsi="Calibri" w:cs="Calibri"/>
        </w:rPr>
        <w:t>4</w:t>
      </w:r>
      <w:r w:rsidRPr="32F7F25D">
        <w:rPr>
          <w:rFonts w:ascii="Calibri" w:eastAsia="Times New Roman" w:hAnsi="Calibri" w:cs="Calibri"/>
        </w:rPr>
        <w:t>). Although testing increased in 2021, levels of STI testing and chlamydia screening have still not reached pre-pandemic levels. </w:t>
      </w:r>
    </w:p>
    <w:p w14:paraId="1407BFE8" w14:textId="7E810028" w:rsidR="00F86BAD" w:rsidRPr="000D4D7C" w:rsidRDefault="00A17E03" w:rsidP="00A17E03">
      <w:pPr>
        <w:spacing w:after="0" w:line="240" w:lineRule="auto"/>
        <w:textAlignment w:val="baseline"/>
        <w:rPr>
          <w:rFonts w:ascii="Segoe UI" w:eastAsia="Times New Roman" w:hAnsi="Segoe UI" w:cs="Segoe UI"/>
          <w:sz w:val="18"/>
          <w:szCs w:val="18"/>
        </w:rPr>
      </w:pPr>
      <w:r w:rsidRPr="000D4D7C">
        <w:rPr>
          <w:rFonts w:ascii="Calibri" w:eastAsia="Times New Roman" w:hAnsi="Calibri" w:cs="Calibri"/>
          <w:b/>
          <w:bCs/>
          <w:color w:val="000000"/>
          <w:shd w:val="clear" w:color="auto" w:fill="FFFFFF"/>
        </w:rPr>
        <w:t>Table 1</w:t>
      </w:r>
      <w:r>
        <w:rPr>
          <w:rFonts w:ascii="Calibri" w:eastAsia="Times New Roman" w:hAnsi="Calibri" w:cs="Calibri"/>
          <w:b/>
          <w:bCs/>
          <w:color w:val="000000"/>
          <w:shd w:val="clear" w:color="auto" w:fill="FFFFFF"/>
        </w:rPr>
        <w:t>3</w:t>
      </w:r>
      <w:r w:rsidRPr="000D4D7C">
        <w:rPr>
          <w:rFonts w:ascii="Calibri" w:eastAsia="Times New Roman" w:hAnsi="Calibri" w:cs="Calibri"/>
          <w:b/>
          <w:bCs/>
          <w:color w:val="000000"/>
          <w:shd w:val="clear" w:color="auto" w:fill="FFFFFF"/>
        </w:rPr>
        <w:t xml:space="preserve"> Proportion of 15- to 24-year-olds tested for chlamydia in 2020 and 2021 by district</w:t>
      </w:r>
      <w:r w:rsidRPr="000D4D7C">
        <w:rPr>
          <w:rFonts w:ascii="Calibri" w:eastAsia="Times New Roman" w:hAnsi="Calibri" w:cs="Calibri"/>
          <w:color w:val="000000"/>
        </w:rPr>
        <w:t> </w:t>
      </w:r>
      <w:r w:rsidR="00F86BAD" w:rsidRPr="000D4D7C">
        <w:rPr>
          <w:rFonts w:ascii="Calibri" w:eastAsia="Times New Roman" w:hAnsi="Calibri" w:cs="Calibri"/>
        </w:rPr>
        <w:t>  </w:t>
      </w:r>
    </w:p>
    <w:tbl>
      <w:tblPr>
        <w:tblW w:w="82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40"/>
        <w:gridCol w:w="3330"/>
        <w:gridCol w:w="1660"/>
      </w:tblGrid>
      <w:tr w:rsidR="00F86BAD" w:rsidRPr="000D4D7C" w14:paraId="5FB414C8" w14:textId="77777777" w:rsidTr="00F73291">
        <w:trPr>
          <w:trHeight w:val="540"/>
        </w:trPr>
        <w:tc>
          <w:tcPr>
            <w:tcW w:w="324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0859F3A3" w14:textId="77777777" w:rsidR="00F86BAD" w:rsidRPr="00F51AFF" w:rsidRDefault="00F86BAD" w:rsidP="00A17E03">
            <w:pPr>
              <w:spacing w:after="0" w:line="240" w:lineRule="auto"/>
              <w:textAlignment w:val="baseline"/>
              <w:rPr>
                <w:rFonts w:ascii="Times New Roman" w:eastAsia="Times New Roman" w:hAnsi="Times New Roman" w:cs="Times New Roman"/>
                <w:color w:val="FFFFFF" w:themeColor="background1"/>
              </w:rPr>
            </w:pPr>
            <w:r w:rsidRPr="00F51AFF">
              <w:rPr>
                <w:rFonts w:ascii="Calibri" w:eastAsia="Times New Roman" w:hAnsi="Calibri" w:cs="Calibri"/>
                <w:b/>
                <w:bCs/>
                <w:color w:val="FFFFFF" w:themeColor="background1"/>
              </w:rPr>
              <w:t>District </w:t>
            </w:r>
            <w:r w:rsidRPr="00F51AFF">
              <w:rPr>
                <w:rFonts w:ascii="Calibri" w:eastAsia="Times New Roman" w:hAnsi="Calibri" w:cs="Calibri"/>
                <w:color w:val="FFFFFF" w:themeColor="background1"/>
              </w:rPr>
              <w:t> </w:t>
            </w:r>
          </w:p>
        </w:tc>
        <w:tc>
          <w:tcPr>
            <w:tcW w:w="333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7DE46B35" w14:textId="6BFCF6D4" w:rsidR="00F86BAD" w:rsidRPr="00F51AFF" w:rsidRDefault="00F86BAD" w:rsidP="00F73291">
            <w:pPr>
              <w:spacing w:after="0" w:line="240" w:lineRule="auto"/>
              <w:jc w:val="center"/>
              <w:textAlignment w:val="baseline"/>
              <w:rPr>
                <w:rFonts w:ascii="Times New Roman" w:eastAsia="Times New Roman" w:hAnsi="Times New Roman" w:cs="Times New Roman"/>
                <w:color w:val="FFFFFF" w:themeColor="background1"/>
              </w:rPr>
            </w:pPr>
            <w:r w:rsidRPr="00F51AFF">
              <w:rPr>
                <w:rFonts w:ascii="Calibri" w:eastAsia="Times New Roman" w:hAnsi="Calibri" w:cs="Calibri"/>
                <w:b/>
                <w:bCs/>
                <w:color w:val="FFFFFF" w:themeColor="background1"/>
              </w:rPr>
              <w:t>Chlamydia proportion aged 15 to 24 screened (%) </w:t>
            </w:r>
          </w:p>
        </w:tc>
        <w:tc>
          <w:tcPr>
            <w:tcW w:w="166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3EF1DCE5" w14:textId="77777777" w:rsidR="00F86BAD" w:rsidRPr="00F51AFF" w:rsidRDefault="00F86BAD" w:rsidP="00A17E03">
            <w:pPr>
              <w:spacing w:after="0" w:line="240" w:lineRule="auto"/>
              <w:textAlignment w:val="baseline"/>
              <w:rPr>
                <w:rFonts w:ascii="Times New Roman" w:eastAsia="Times New Roman" w:hAnsi="Times New Roman" w:cs="Times New Roman"/>
                <w:color w:val="FFFFFF" w:themeColor="background1"/>
              </w:rPr>
            </w:pPr>
            <w:r w:rsidRPr="00F51AFF">
              <w:rPr>
                <w:rFonts w:ascii="Calibri" w:eastAsia="Times New Roman" w:hAnsi="Calibri" w:cs="Calibri"/>
                <w:b/>
                <w:bCs/>
                <w:color w:val="FFFFFF" w:themeColor="background1"/>
              </w:rPr>
              <w:t> </w:t>
            </w:r>
            <w:r w:rsidRPr="00F51AFF">
              <w:rPr>
                <w:rFonts w:ascii="Calibri" w:eastAsia="Times New Roman" w:hAnsi="Calibri" w:cs="Calibri"/>
                <w:color w:val="FFFFFF" w:themeColor="background1"/>
              </w:rPr>
              <w:t> </w:t>
            </w:r>
          </w:p>
        </w:tc>
      </w:tr>
      <w:tr w:rsidR="00F86BAD" w:rsidRPr="000D4D7C" w14:paraId="15C61729" w14:textId="77777777" w:rsidTr="00F73291">
        <w:trPr>
          <w:trHeight w:val="300"/>
        </w:trPr>
        <w:tc>
          <w:tcPr>
            <w:tcW w:w="324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A8E2376"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b/>
                <w:bCs/>
                <w:color w:val="000000"/>
              </w:rPr>
              <w:t>Year</w:t>
            </w:r>
            <w:r w:rsidRPr="000D4D7C">
              <w:rPr>
                <w:rFonts w:ascii="Calibri" w:eastAsia="Times New Roman" w:hAnsi="Calibri" w:cs="Calibri"/>
                <w:color w:val="000000"/>
              </w:rPr>
              <w:t>  </w:t>
            </w:r>
          </w:p>
        </w:tc>
        <w:tc>
          <w:tcPr>
            <w:tcW w:w="333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9F3216F" w14:textId="74A7D967"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b/>
                <w:bCs/>
                <w:color w:val="000000"/>
                <w:sz w:val="21"/>
                <w:szCs w:val="21"/>
              </w:rPr>
              <w:t>2020</w:t>
            </w:r>
            <w:r w:rsidRPr="000D4D7C">
              <w:rPr>
                <w:rFonts w:ascii="Calibri" w:eastAsia="Times New Roman" w:hAnsi="Calibri" w:cs="Calibri"/>
                <w:color w:val="000000"/>
                <w:sz w:val="21"/>
                <w:szCs w:val="21"/>
              </w:rPr>
              <w:t> </w:t>
            </w:r>
          </w:p>
        </w:tc>
        <w:tc>
          <w:tcPr>
            <w:tcW w:w="166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F5688AC" w14:textId="664C388E"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b/>
                <w:bCs/>
                <w:color w:val="000000"/>
                <w:sz w:val="21"/>
                <w:szCs w:val="21"/>
              </w:rPr>
              <w:t>2021</w:t>
            </w:r>
            <w:r w:rsidRPr="000D4D7C">
              <w:rPr>
                <w:rFonts w:ascii="Calibri" w:eastAsia="Times New Roman" w:hAnsi="Calibri" w:cs="Calibri"/>
                <w:color w:val="000000"/>
                <w:sz w:val="21"/>
                <w:szCs w:val="21"/>
              </w:rPr>
              <w:t> </w:t>
            </w:r>
          </w:p>
        </w:tc>
      </w:tr>
      <w:tr w:rsidR="00F86BAD" w:rsidRPr="000D4D7C" w14:paraId="30A3F265" w14:textId="77777777" w:rsidTr="00F73291">
        <w:trPr>
          <w:trHeight w:val="180"/>
        </w:trPr>
        <w:tc>
          <w:tcPr>
            <w:tcW w:w="324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6B735037"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Maidstone  </w:t>
            </w:r>
          </w:p>
        </w:tc>
        <w:tc>
          <w:tcPr>
            <w:tcW w:w="3330" w:type="dxa"/>
            <w:tcBorders>
              <w:top w:val="single" w:sz="6" w:space="0" w:color="auto"/>
              <w:left w:val="single" w:sz="6" w:space="0" w:color="auto"/>
              <w:bottom w:val="single" w:sz="6" w:space="0" w:color="auto"/>
              <w:right w:val="single" w:sz="6" w:space="0" w:color="auto"/>
            </w:tcBorders>
            <w:shd w:val="clear" w:color="auto" w:fill="DDF1F3"/>
            <w:hideMark/>
          </w:tcPr>
          <w:p w14:paraId="41D94365" w14:textId="15228E68"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10.4 </w:t>
            </w:r>
          </w:p>
        </w:tc>
        <w:tc>
          <w:tcPr>
            <w:tcW w:w="1660" w:type="dxa"/>
            <w:tcBorders>
              <w:top w:val="single" w:sz="6" w:space="0" w:color="auto"/>
              <w:left w:val="single" w:sz="6" w:space="0" w:color="auto"/>
              <w:bottom w:val="single" w:sz="6" w:space="0" w:color="auto"/>
              <w:right w:val="single" w:sz="6" w:space="0" w:color="auto"/>
            </w:tcBorders>
            <w:shd w:val="clear" w:color="auto" w:fill="DDF1F3"/>
            <w:hideMark/>
          </w:tcPr>
          <w:p w14:paraId="46FB4572" w14:textId="69BDF80E"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11.3 </w:t>
            </w:r>
          </w:p>
        </w:tc>
      </w:tr>
      <w:tr w:rsidR="00F86BAD" w:rsidRPr="000D4D7C" w14:paraId="48B70780" w14:textId="77777777" w:rsidTr="00F73291">
        <w:trPr>
          <w:trHeight w:val="300"/>
        </w:trPr>
        <w:tc>
          <w:tcPr>
            <w:tcW w:w="324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C96C737"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Sevenoaks  </w:t>
            </w:r>
          </w:p>
        </w:tc>
        <w:tc>
          <w:tcPr>
            <w:tcW w:w="3330" w:type="dxa"/>
            <w:tcBorders>
              <w:top w:val="single" w:sz="6" w:space="0" w:color="auto"/>
              <w:left w:val="single" w:sz="6" w:space="0" w:color="auto"/>
              <w:bottom w:val="single" w:sz="6" w:space="0" w:color="auto"/>
              <w:right w:val="single" w:sz="6" w:space="0" w:color="auto"/>
            </w:tcBorders>
            <w:shd w:val="clear" w:color="auto" w:fill="DDF1F3"/>
            <w:hideMark/>
          </w:tcPr>
          <w:p w14:paraId="5F653722" w14:textId="37E22DD8"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9.4 </w:t>
            </w:r>
          </w:p>
        </w:tc>
        <w:tc>
          <w:tcPr>
            <w:tcW w:w="1660" w:type="dxa"/>
            <w:tcBorders>
              <w:top w:val="single" w:sz="6" w:space="0" w:color="auto"/>
              <w:left w:val="single" w:sz="6" w:space="0" w:color="auto"/>
              <w:bottom w:val="single" w:sz="6" w:space="0" w:color="auto"/>
              <w:right w:val="single" w:sz="6" w:space="0" w:color="auto"/>
            </w:tcBorders>
            <w:shd w:val="clear" w:color="auto" w:fill="DDF1F3"/>
            <w:hideMark/>
          </w:tcPr>
          <w:p w14:paraId="49010F5C" w14:textId="7B057B80"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9.4 </w:t>
            </w:r>
          </w:p>
        </w:tc>
      </w:tr>
      <w:tr w:rsidR="00F86BAD" w:rsidRPr="000D4D7C" w14:paraId="3FDCB4B5" w14:textId="77777777" w:rsidTr="00F73291">
        <w:trPr>
          <w:trHeight w:val="270"/>
        </w:trPr>
        <w:tc>
          <w:tcPr>
            <w:tcW w:w="324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0A7937D"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Tonbridge and Malling  </w:t>
            </w:r>
          </w:p>
        </w:tc>
        <w:tc>
          <w:tcPr>
            <w:tcW w:w="3330" w:type="dxa"/>
            <w:tcBorders>
              <w:top w:val="single" w:sz="6" w:space="0" w:color="auto"/>
              <w:left w:val="single" w:sz="6" w:space="0" w:color="auto"/>
              <w:bottom w:val="single" w:sz="6" w:space="0" w:color="auto"/>
              <w:right w:val="single" w:sz="6" w:space="0" w:color="auto"/>
            </w:tcBorders>
            <w:shd w:val="clear" w:color="auto" w:fill="DDF1F3"/>
            <w:hideMark/>
          </w:tcPr>
          <w:p w14:paraId="27D20205" w14:textId="1C5FDB02"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9.1 </w:t>
            </w:r>
          </w:p>
        </w:tc>
        <w:tc>
          <w:tcPr>
            <w:tcW w:w="1660" w:type="dxa"/>
            <w:tcBorders>
              <w:top w:val="single" w:sz="6" w:space="0" w:color="auto"/>
              <w:left w:val="single" w:sz="6" w:space="0" w:color="auto"/>
              <w:bottom w:val="single" w:sz="6" w:space="0" w:color="auto"/>
              <w:right w:val="single" w:sz="6" w:space="0" w:color="auto"/>
            </w:tcBorders>
            <w:shd w:val="clear" w:color="auto" w:fill="DDF1F3"/>
            <w:hideMark/>
          </w:tcPr>
          <w:p w14:paraId="3EA44AF7" w14:textId="246198CC"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10.3 </w:t>
            </w:r>
          </w:p>
        </w:tc>
      </w:tr>
      <w:tr w:rsidR="00F86BAD" w:rsidRPr="000D4D7C" w14:paraId="3EC67664" w14:textId="77777777" w:rsidTr="00F73291">
        <w:trPr>
          <w:trHeight w:val="270"/>
        </w:trPr>
        <w:tc>
          <w:tcPr>
            <w:tcW w:w="324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10D4877"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Tunbridge Wells   </w:t>
            </w:r>
          </w:p>
        </w:tc>
        <w:tc>
          <w:tcPr>
            <w:tcW w:w="3330" w:type="dxa"/>
            <w:tcBorders>
              <w:top w:val="single" w:sz="6" w:space="0" w:color="auto"/>
              <w:left w:val="single" w:sz="6" w:space="0" w:color="auto"/>
              <w:bottom w:val="single" w:sz="6" w:space="0" w:color="auto"/>
              <w:right w:val="single" w:sz="6" w:space="0" w:color="auto"/>
            </w:tcBorders>
            <w:shd w:val="clear" w:color="auto" w:fill="DDF1F3"/>
            <w:hideMark/>
          </w:tcPr>
          <w:p w14:paraId="45A1C65C" w14:textId="4F2F7F02"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10.8 </w:t>
            </w:r>
          </w:p>
        </w:tc>
        <w:tc>
          <w:tcPr>
            <w:tcW w:w="1660" w:type="dxa"/>
            <w:tcBorders>
              <w:top w:val="single" w:sz="6" w:space="0" w:color="auto"/>
              <w:left w:val="single" w:sz="6" w:space="0" w:color="auto"/>
              <w:bottom w:val="single" w:sz="6" w:space="0" w:color="auto"/>
              <w:right w:val="single" w:sz="6" w:space="0" w:color="auto"/>
            </w:tcBorders>
            <w:shd w:val="clear" w:color="auto" w:fill="DDF1F3"/>
            <w:hideMark/>
          </w:tcPr>
          <w:p w14:paraId="6A439C0C" w14:textId="6C2852B4"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10.8 </w:t>
            </w:r>
          </w:p>
        </w:tc>
      </w:tr>
      <w:tr w:rsidR="00F86BAD" w:rsidRPr="000D4D7C" w14:paraId="54A646A2" w14:textId="77777777" w:rsidTr="00F73291">
        <w:trPr>
          <w:trHeight w:val="270"/>
        </w:trPr>
        <w:tc>
          <w:tcPr>
            <w:tcW w:w="324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EB8A1BC"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Kent  </w:t>
            </w:r>
          </w:p>
        </w:tc>
        <w:tc>
          <w:tcPr>
            <w:tcW w:w="3330" w:type="dxa"/>
            <w:tcBorders>
              <w:top w:val="single" w:sz="6" w:space="0" w:color="auto"/>
              <w:left w:val="single" w:sz="6" w:space="0" w:color="auto"/>
              <w:bottom w:val="single" w:sz="6" w:space="0" w:color="auto"/>
              <w:right w:val="single" w:sz="6" w:space="0" w:color="auto"/>
            </w:tcBorders>
            <w:shd w:val="clear" w:color="auto" w:fill="DDF1F3"/>
            <w:hideMark/>
          </w:tcPr>
          <w:p w14:paraId="6C21871B" w14:textId="61F9C191"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11.1 </w:t>
            </w:r>
          </w:p>
        </w:tc>
        <w:tc>
          <w:tcPr>
            <w:tcW w:w="1660" w:type="dxa"/>
            <w:tcBorders>
              <w:top w:val="single" w:sz="6" w:space="0" w:color="auto"/>
              <w:left w:val="single" w:sz="6" w:space="0" w:color="auto"/>
              <w:bottom w:val="single" w:sz="6" w:space="0" w:color="auto"/>
              <w:right w:val="single" w:sz="6" w:space="0" w:color="auto"/>
            </w:tcBorders>
            <w:shd w:val="clear" w:color="auto" w:fill="DDF1F3"/>
            <w:hideMark/>
          </w:tcPr>
          <w:p w14:paraId="5D490088" w14:textId="4583D362"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11.6 </w:t>
            </w:r>
          </w:p>
        </w:tc>
      </w:tr>
      <w:tr w:rsidR="00F86BAD" w:rsidRPr="000D4D7C" w14:paraId="7CC0E637" w14:textId="77777777" w:rsidTr="00F73291">
        <w:trPr>
          <w:trHeight w:val="270"/>
        </w:trPr>
        <w:tc>
          <w:tcPr>
            <w:tcW w:w="324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9F09DE8"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England  </w:t>
            </w:r>
          </w:p>
        </w:tc>
        <w:tc>
          <w:tcPr>
            <w:tcW w:w="3330" w:type="dxa"/>
            <w:tcBorders>
              <w:top w:val="single" w:sz="6" w:space="0" w:color="auto"/>
              <w:left w:val="single" w:sz="6" w:space="0" w:color="auto"/>
              <w:bottom w:val="single" w:sz="6" w:space="0" w:color="auto"/>
              <w:right w:val="single" w:sz="6" w:space="0" w:color="auto"/>
            </w:tcBorders>
            <w:shd w:val="clear" w:color="auto" w:fill="DDF1F3"/>
            <w:hideMark/>
          </w:tcPr>
          <w:p w14:paraId="6EE673B8" w14:textId="6D512C2B"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14.3 </w:t>
            </w:r>
          </w:p>
        </w:tc>
        <w:tc>
          <w:tcPr>
            <w:tcW w:w="1660" w:type="dxa"/>
            <w:tcBorders>
              <w:top w:val="single" w:sz="6" w:space="0" w:color="auto"/>
              <w:left w:val="single" w:sz="6" w:space="0" w:color="auto"/>
              <w:bottom w:val="single" w:sz="6" w:space="0" w:color="auto"/>
              <w:right w:val="single" w:sz="6" w:space="0" w:color="auto"/>
            </w:tcBorders>
            <w:shd w:val="clear" w:color="auto" w:fill="DDF1F3"/>
            <w:hideMark/>
          </w:tcPr>
          <w:p w14:paraId="19F23AA7" w14:textId="5E185818" w:rsidR="00F86BAD" w:rsidRPr="000D4D7C" w:rsidRDefault="00F86BAD" w:rsidP="00F73291">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14.8 </w:t>
            </w:r>
          </w:p>
        </w:tc>
      </w:tr>
    </w:tbl>
    <w:p w14:paraId="103F1907" w14:textId="750E4FCA" w:rsidR="00A17E03" w:rsidRDefault="00F86BAD" w:rsidP="00A17E03">
      <w:pPr>
        <w:spacing w:after="0" w:line="240" w:lineRule="auto"/>
        <w:textAlignment w:val="baseline"/>
        <w:rPr>
          <w:rFonts w:ascii="Calibri" w:eastAsia="Times New Roman" w:hAnsi="Calibri" w:cs="Calibri"/>
          <w:color w:val="000000"/>
        </w:rPr>
      </w:pPr>
      <w:r w:rsidRPr="000D4D7C">
        <w:rPr>
          <w:rFonts w:ascii="Calibri" w:eastAsia="Times New Roman" w:hAnsi="Calibri" w:cs="Calibri"/>
          <w:color w:val="000000"/>
        </w:rPr>
        <w:t> </w:t>
      </w:r>
    </w:p>
    <w:p w14:paraId="267DF7B9" w14:textId="0B0E6FA1" w:rsidR="00A17E03" w:rsidRPr="000D4D7C" w:rsidRDefault="00A17E03" w:rsidP="001F0DF6">
      <w:pPr>
        <w:spacing w:line="240" w:lineRule="auto"/>
        <w:textAlignment w:val="baseline"/>
        <w:rPr>
          <w:rFonts w:ascii="Segoe UI" w:eastAsia="Times New Roman" w:hAnsi="Segoe UI" w:cs="Segoe UI"/>
          <w:sz w:val="18"/>
          <w:szCs w:val="18"/>
        </w:rPr>
      </w:pPr>
      <w:r w:rsidRPr="000D4D7C">
        <w:rPr>
          <w:rFonts w:ascii="Calibri" w:eastAsia="Times New Roman" w:hAnsi="Calibri" w:cs="Calibri"/>
          <w:b/>
          <w:bCs/>
          <w:color w:val="000000"/>
          <w:shd w:val="clear" w:color="auto" w:fill="FFFFFF"/>
        </w:rPr>
        <w:t>Table 1</w:t>
      </w:r>
      <w:r>
        <w:rPr>
          <w:rFonts w:ascii="Calibri" w:eastAsia="Times New Roman" w:hAnsi="Calibri" w:cs="Calibri"/>
          <w:b/>
          <w:bCs/>
          <w:color w:val="000000"/>
          <w:shd w:val="clear" w:color="auto" w:fill="FFFFFF"/>
        </w:rPr>
        <w:t>4</w:t>
      </w:r>
      <w:r w:rsidRPr="000D4D7C">
        <w:rPr>
          <w:rFonts w:ascii="Calibri" w:eastAsia="Times New Roman" w:hAnsi="Calibri" w:cs="Calibri"/>
          <w:b/>
          <w:bCs/>
          <w:color w:val="000000"/>
          <w:shd w:val="clear" w:color="auto" w:fill="FFFFFF"/>
        </w:rPr>
        <w:t xml:space="preserve"> STI testing rate (excluding chlamydia tests in 15- to 24-year-olds) in 2020 and 2021 by </w:t>
      </w:r>
      <w:r w:rsidR="00B3426A" w:rsidRPr="000D4D7C">
        <w:rPr>
          <w:rFonts w:ascii="Calibri" w:eastAsia="Times New Roman" w:hAnsi="Calibri" w:cs="Calibri"/>
          <w:b/>
          <w:bCs/>
          <w:color w:val="000000"/>
          <w:shd w:val="clear" w:color="auto" w:fill="FFFFFF"/>
        </w:rPr>
        <w:t>district.</w:t>
      </w:r>
      <w:r w:rsidRPr="000D4D7C">
        <w:rPr>
          <w:rFonts w:ascii="Calibri" w:eastAsia="Times New Roman" w:hAnsi="Calibri" w:cs="Calibri"/>
          <w:b/>
          <w:bCs/>
          <w:color w:val="000000"/>
          <w:shd w:val="clear" w:color="auto" w:fill="FFFFFF"/>
        </w:rPr>
        <w:t> </w:t>
      </w:r>
      <w:r w:rsidRPr="000D4D7C">
        <w:rPr>
          <w:rFonts w:ascii="Calibri" w:eastAsia="Times New Roman" w:hAnsi="Calibri" w:cs="Calibri"/>
          <w:color w:val="000000"/>
          <w:shd w:val="clear" w:color="auto" w:fill="FFFFFF"/>
        </w:rPr>
        <w:t> </w:t>
      </w:r>
      <w:r w:rsidRPr="000D4D7C">
        <w:rPr>
          <w:rFonts w:ascii="Calibri" w:eastAsia="Times New Roman" w:hAnsi="Calibri" w:cs="Calibri"/>
          <w:color w:val="000000"/>
        </w:rPr>
        <w:t> </w:t>
      </w:r>
    </w:p>
    <w:tbl>
      <w:tblPr>
        <w:tblW w:w="851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25"/>
        <w:gridCol w:w="2879"/>
        <w:gridCol w:w="2409"/>
      </w:tblGrid>
      <w:tr w:rsidR="00F86BAD" w:rsidRPr="000D4D7C" w14:paraId="6934EC59" w14:textId="77777777" w:rsidTr="00D9282C">
        <w:trPr>
          <w:trHeight w:val="495"/>
        </w:trPr>
        <w:tc>
          <w:tcPr>
            <w:tcW w:w="3225"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5FAFE6A0" w14:textId="26F45D21" w:rsidR="00F86BAD" w:rsidRPr="001F0DF6" w:rsidRDefault="00A17E03" w:rsidP="00A17E03">
            <w:pPr>
              <w:spacing w:after="0" w:line="240" w:lineRule="auto"/>
              <w:textAlignment w:val="baseline"/>
              <w:rPr>
                <w:rFonts w:ascii="Times New Roman" w:eastAsia="Times New Roman" w:hAnsi="Times New Roman" w:cs="Times New Roman"/>
                <w:color w:val="FFFFFF" w:themeColor="background1"/>
              </w:rPr>
            </w:pPr>
            <w:r w:rsidRPr="001F0DF6">
              <w:rPr>
                <w:rFonts w:ascii="Calibri" w:eastAsia="Times New Roman" w:hAnsi="Calibri" w:cs="Calibri"/>
                <w:color w:val="FFFFFF" w:themeColor="background1"/>
              </w:rPr>
              <w:br w:type="page"/>
            </w:r>
            <w:r w:rsidR="00F86BAD" w:rsidRPr="001F0DF6">
              <w:rPr>
                <w:rFonts w:ascii="Calibri" w:eastAsia="Times New Roman" w:hAnsi="Calibri" w:cs="Calibri"/>
                <w:b/>
                <w:bCs/>
                <w:color w:val="FFFFFF" w:themeColor="background1"/>
              </w:rPr>
              <w:t>District </w:t>
            </w:r>
            <w:r w:rsidR="00F86BAD" w:rsidRPr="001F0DF6">
              <w:rPr>
                <w:rFonts w:ascii="Calibri" w:eastAsia="Times New Roman" w:hAnsi="Calibri" w:cs="Calibri"/>
                <w:color w:val="FFFFFF" w:themeColor="background1"/>
              </w:rPr>
              <w:t> </w:t>
            </w:r>
          </w:p>
        </w:tc>
        <w:tc>
          <w:tcPr>
            <w:tcW w:w="2879"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7A2F7418" w14:textId="77777777" w:rsidR="00F86BAD" w:rsidRPr="001F0DF6" w:rsidRDefault="00F86BAD" w:rsidP="00A17E03">
            <w:pPr>
              <w:spacing w:after="0" w:line="240" w:lineRule="auto"/>
              <w:textAlignment w:val="baseline"/>
              <w:rPr>
                <w:rFonts w:ascii="Times New Roman" w:eastAsia="Times New Roman" w:hAnsi="Times New Roman" w:cs="Times New Roman"/>
                <w:color w:val="FFFFFF" w:themeColor="background1"/>
              </w:rPr>
            </w:pPr>
            <w:r w:rsidRPr="001F0DF6">
              <w:rPr>
                <w:rFonts w:ascii="Calibri" w:eastAsia="Times New Roman" w:hAnsi="Calibri" w:cs="Calibri"/>
                <w:b/>
                <w:bCs/>
                <w:color w:val="FFFFFF" w:themeColor="background1"/>
              </w:rPr>
              <w:t>STI testing rate (exclude chlamydia aged under 25) per 100,000 </w:t>
            </w:r>
            <w:r w:rsidRPr="001F0DF6">
              <w:rPr>
                <w:rFonts w:ascii="Calibri" w:eastAsia="Times New Roman" w:hAnsi="Calibri" w:cs="Calibri"/>
                <w:color w:val="FFFFFF" w:themeColor="background1"/>
              </w:rPr>
              <w:t> </w:t>
            </w:r>
          </w:p>
        </w:tc>
        <w:tc>
          <w:tcPr>
            <w:tcW w:w="2409"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0985B31C" w14:textId="77777777" w:rsidR="00F86BAD" w:rsidRPr="001F0DF6" w:rsidRDefault="00F86BAD" w:rsidP="00A17E03">
            <w:pPr>
              <w:spacing w:after="0" w:line="240" w:lineRule="auto"/>
              <w:textAlignment w:val="baseline"/>
              <w:rPr>
                <w:rFonts w:ascii="Times New Roman" w:eastAsia="Times New Roman" w:hAnsi="Times New Roman" w:cs="Times New Roman"/>
                <w:color w:val="FFFFFF" w:themeColor="background1"/>
              </w:rPr>
            </w:pPr>
            <w:r w:rsidRPr="001F0DF6">
              <w:rPr>
                <w:rFonts w:ascii="Calibri" w:eastAsia="Times New Roman" w:hAnsi="Calibri" w:cs="Calibri"/>
                <w:b/>
                <w:bCs/>
                <w:color w:val="FFFFFF" w:themeColor="background1"/>
              </w:rPr>
              <w:t> </w:t>
            </w:r>
            <w:r w:rsidRPr="001F0DF6">
              <w:rPr>
                <w:rFonts w:ascii="Calibri" w:eastAsia="Times New Roman" w:hAnsi="Calibri" w:cs="Calibri"/>
                <w:color w:val="FFFFFF" w:themeColor="background1"/>
              </w:rPr>
              <w:t> </w:t>
            </w:r>
          </w:p>
        </w:tc>
      </w:tr>
      <w:tr w:rsidR="00F86BAD" w:rsidRPr="000D4D7C" w14:paraId="2CFCEEBF" w14:textId="77777777" w:rsidTr="00D9282C">
        <w:trPr>
          <w:trHeight w:val="270"/>
        </w:trPr>
        <w:tc>
          <w:tcPr>
            <w:tcW w:w="322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2E5BEE7F"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b/>
                <w:bCs/>
                <w:color w:val="000000"/>
              </w:rPr>
              <w:t>Year</w:t>
            </w:r>
            <w:r w:rsidRPr="000D4D7C">
              <w:rPr>
                <w:rFonts w:ascii="Calibri" w:eastAsia="Times New Roman" w:hAnsi="Calibri" w:cs="Calibri"/>
                <w:color w:val="000000"/>
              </w:rPr>
              <w:t>  </w:t>
            </w:r>
          </w:p>
        </w:tc>
        <w:tc>
          <w:tcPr>
            <w:tcW w:w="2879"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7D941A6" w14:textId="1C15D8D3"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b/>
                <w:bCs/>
                <w:color w:val="000000"/>
                <w:sz w:val="21"/>
                <w:szCs w:val="21"/>
              </w:rPr>
              <w:t>2020</w:t>
            </w:r>
            <w:r w:rsidRPr="000D4D7C">
              <w:rPr>
                <w:rFonts w:ascii="Calibri" w:eastAsia="Times New Roman" w:hAnsi="Calibri" w:cs="Calibri"/>
                <w:color w:val="000000"/>
                <w:sz w:val="21"/>
                <w:szCs w:val="21"/>
              </w:rPr>
              <w:t> </w:t>
            </w:r>
          </w:p>
        </w:tc>
        <w:tc>
          <w:tcPr>
            <w:tcW w:w="2409"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4B84A09" w14:textId="0D2BDD80"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b/>
                <w:bCs/>
                <w:color w:val="000000"/>
                <w:sz w:val="21"/>
                <w:szCs w:val="21"/>
              </w:rPr>
              <w:t>2021</w:t>
            </w:r>
            <w:r w:rsidRPr="000D4D7C">
              <w:rPr>
                <w:rFonts w:ascii="Calibri" w:eastAsia="Times New Roman" w:hAnsi="Calibri" w:cs="Calibri"/>
                <w:color w:val="000000"/>
                <w:sz w:val="21"/>
                <w:szCs w:val="21"/>
              </w:rPr>
              <w:t> </w:t>
            </w:r>
          </w:p>
        </w:tc>
      </w:tr>
      <w:tr w:rsidR="00F86BAD" w:rsidRPr="000D4D7C" w14:paraId="3E44F181" w14:textId="77777777" w:rsidTr="00D9282C">
        <w:trPr>
          <w:trHeight w:val="165"/>
        </w:trPr>
        <w:tc>
          <w:tcPr>
            <w:tcW w:w="322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E5FE70E"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Maidstone  </w:t>
            </w:r>
          </w:p>
        </w:tc>
        <w:tc>
          <w:tcPr>
            <w:tcW w:w="2879" w:type="dxa"/>
            <w:tcBorders>
              <w:top w:val="single" w:sz="6" w:space="0" w:color="auto"/>
              <w:left w:val="single" w:sz="6" w:space="0" w:color="auto"/>
              <w:bottom w:val="single" w:sz="6" w:space="0" w:color="auto"/>
              <w:right w:val="single" w:sz="6" w:space="0" w:color="auto"/>
            </w:tcBorders>
            <w:shd w:val="clear" w:color="auto" w:fill="DDF1F3"/>
            <w:hideMark/>
          </w:tcPr>
          <w:p w14:paraId="403003D7" w14:textId="66DD343A"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2,239.3 </w:t>
            </w:r>
          </w:p>
        </w:tc>
        <w:tc>
          <w:tcPr>
            <w:tcW w:w="2409" w:type="dxa"/>
            <w:tcBorders>
              <w:top w:val="single" w:sz="6" w:space="0" w:color="auto"/>
              <w:left w:val="single" w:sz="6" w:space="0" w:color="auto"/>
              <w:bottom w:val="single" w:sz="6" w:space="0" w:color="auto"/>
              <w:right w:val="single" w:sz="6" w:space="0" w:color="auto"/>
            </w:tcBorders>
            <w:shd w:val="clear" w:color="auto" w:fill="DDF1F3"/>
            <w:hideMark/>
          </w:tcPr>
          <w:p w14:paraId="0D101D69" w14:textId="4F298A85"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2,587.6 </w:t>
            </w:r>
          </w:p>
        </w:tc>
      </w:tr>
      <w:tr w:rsidR="00F86BAD" w:rsidRPr="000D4D7C" w14:paraId="0C611532" w14:textId="77777777" w:rsidTr="00D9282C">
        <w:trPr>
          <w:trHeight w:val="270"/>
        </w:trPr>
        <w:tc>
          <w:tcPr>
            <w:tcW w:w="322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5F1A9B7"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Sevenoaks  </w:t>
            </w:r>
          </w:p>
        </w:tc>
        <w:tc>
          <w:tcPr>
            <w:tcW w:w="2879" w:type="dxa"/>
            <w:tcBorders>
              <w:top w:val="single" w:sz="6" w:space="0" w:color="auto"/>
              <w:left w:val="single" w:sz="6" w:space="0" w:color="auto"/>
              <w:bottom w:val="single" w:sz="6" w:space="0" w:color="auto"/>
              <w:right w:val="single" w:sz="6" w:space="0" w:color="auto"/>
            </w:tcBorders>
            <w:shd w:val="clear" w:color="auto" w:fill="DDF1F3"/>
            <w:hideMark/>
          </w:tcPr>
          <w:p w14:paraId="5308D91A" w14:textId="07B3F2A0"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1,634.4 </w:t>
            </w:r>
          </w:p>
        </w:tc>
        <w:tc>
          <w:tcPr>
            <w:tcW w:w="2409" w:type="dxa"/>
            <w:tcBorders>
              <w:top w:val="single" w:sz="6" w:space="0" w:color="auto"/>
              <w:left w:val="single" w:sz="6" w:space="0" w:color="auto"/>
              <w:bottom w:val="single" w:sz="6" w:space="0" w:color="auto"/>
              <w:right w:val="single" w:sz="6" w:space="0" w:color="auto"/>
            </w:tcBorders>
            <w:shd w:val="clear" w:color="auto" w:fill="DDF1F3"/>
            <w:hideMark/>
          </w:tcPr>
          <w:p w14:paraId="157D8B98" w14:textId="1D6FA397"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1,970.6 </w:t>
            </w:r>
          </w:p>
        </w:tc>
      </w:tr>
      <w:tr w:rsidR="00F86BAD" w:rsidRPr="000D4D7C" w14:paraId="7FCB8770" w14:textId="77777777" w:rsidTr="00D9282C">
        <w:trPr>
          <w:trHeight w:val="270"/>
        </w:trPr>
        <w:tc>
          <w:tcPr>
            <w:tcW w:w="322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376E3E1"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Tonbridge and Malling  </w:t>
            </w:r>
          </w:p>
        </w:tc>
        <w:tc>
          <w:tcPr>
            <w:tcW w:w="2879" w:type="dxa"/>
            <w:tcBorders>
              <w:top w:val="single" w:sz="6" w:space="0" w:color="auto"/>
              <w:left w:val="single" w:sz="6" w:space="0" w:color="auto"/>
              <w:bottom w:val="single" w:sz="6" w:space="0" w:color="auto"/>
              <w:right w:val="single" w:sz="6" w:space="0" w:color="auto"/>
            </w:tcBorders>
            <w:shd w:val="clear" w:color="auto" w:fill="DDF1F3"/>
            <w:hideMark/>
          </w:tcPr>
          <w:p w14:paraId="0310D182" w14:textId="5EE3ABEC"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1,811.9 </w:t>
            </w:r>
          </w:p>
        </w:tc>
        <w:tc>
          <w:tcPr>
            <w:tcW w:w="2409" w:type="dxa"/>
            <w:tcBorders>
              <w:top w:val="single" w:sz="6" w:space="0" w:color="auto"/>
              <w:left w:val="single" w:sz="6" w:space="0" w:color="auto"/>
              <w:bottom w:val="single" w:sz="6" w:space="0" w:color="auto"/>
              <w:right w:val="single" w:sz="6" w:space="0" w:color="auto"/>
            </w:tcBorders>
            <w:shd w:val="clear" w:color="auto" w:fill="DDF1F3"/>
            <w:hideMark/>
          </w:tcPr>
          <w:p w14:paraId="3742267E" w14:textId="5F47754B"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2,201.8 </w:t>
            </w:r>
          </w:p>
        </w:tc>
      </w:tr>
      <w:tr w:rsidR="00F86BAD" w:rsidRPr="000D4D7C" w14:paraId="48499B6C" w14:textId="77777777" w:rsidTr="00D9282C">
        <w:trPr>
          <w:trHeight w:val="270"/>
        </w:trPr>
        <w:tc>
          <w:tcPr>
            <w:tcW w:w="322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E17D876"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Tunbridge Wells   </w:t>
            </w:r>
          </w:p>
        </w:tc>
        <w:tc>
          <w:tcPr>
            <w:tcW w:w="2879" w:type="dxa"/>
            <w:tcBorders>
              <w:top w:val="single" w:sz="6" w:space="0" w:color="auto"/>
              <w:left w:val="single" w:sz="6" w:space="0" w:color="auto"/>
              <w:bottom w:val="single" w:sz="6" w:space="0" w:color="auto"/>
              <w:right w:val="single" w:sz="6" w:space="0" w:color="auto"/>
            </w:tcBorders>
            <w:shd w:val="clear" w:color="auto" w:fill="DDF1F3"/>
            <w:hideMark/>
          </w:tcPr>
          <w:p w14:paraId="33D7FB9D" w14:textId="536BA20D"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1,856.4 </w:t>
            </w:r>
          </w:p>
        </w:tc>
        <w:tc>
          <w:tcPr>
            <w:tcW w:w="2409" w:type="dxa"/>
            <w:tcBorders>
              <w:top w:val="single" w:sz="6" w:space="0" w:color="auto"/>
              <w:left w:val="single" w:sz="6" w:space="0" w:color="auto"/>
              <w:bottom w:val="single" w:sz="6" w:space="0" w:color="auto"/>
              <w:right w:val="single" w:sz="6" w:space="0" w:color="auto"/>
            </w:tcBorders>
            <w:shd w:val="clear" w:color="auto" w:fill="DDF1F3"/>
            <w:hideMark/>
          </w:tcPr>
          <w:p w14:paraId="7FDC7A37" w14:textId="6334A476"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2,136.4 </w:t>
            </w:r>
          </w:p>
        </w:tc>
      </w:tr>
      <w:tr w:rsidR="00F86BAD" w:rsidRPr="000D4D7C" w14:paraId="28506FA0" w14:textId="77777777" w:rsidTr="00D9282C">
        <w:trPr>
          <w:trHeight w:val="270"/>
        </w:trPr>
        <w:tc>
          <w:tcPr>
            <w:tcW w:w="322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ADC596C"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Kent  </w:t>
            </w:r>
          </w:p>
        </w:tc>
        <w:tc>
          <w:tcPr>
            <w:tcW w:w="2879" w:type="dxa"/>
            <w:tcBorders>
              <w:top w:val="single" w:sz="6" w:space="0" w:color="auto"/>
              <w:left w:val="single" w:sz="6" w:space="0" w:color="auto"/>
              <w:bottom w:val="single" w:sz="6" w:space="0" w:color="auto"/>
              <w:right w:val="single" w:sz="6" w:space="0" w:color="auto"/>
            </w:tcBorders>
            <w:shd w:val="clear" w:color="auto" w:fill="DDF1F3"/>
            <w:hideMark/>
          </w:tcPr>
          <w:p w14:paraId="025F6040" w14:textId="7596379A"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2,259.5 </w:t>
            </w:r>
          </w:p>
        </w:tc>
        <w:tc>
          <w:tcPr>
            <w:tcW w:w="2409" w:type="dxa"/>
            <w:tcBorders>
              <w:top w:val="single" w:sz="6" w:space="0" w:color="auto"/>
              <w:left w:val="single" w:sz="6" w:space="0" w:color="auto"/>
              <w:bottom w:val="single" w:sz="6" w:space="0" w:color="auto"/>
              <w:right w:val="single" w:sz="6" w:space="0" w:color="auto"/>
            </w:tcBorders>
            <w:shd w:val="clear" w:color="auto" w:fill="DDF1F3"/>
            <w:hideMark/>
          </w:tcPr>
          <w:p w14:paraId="1FFC2CD3" w14:textId="1EE00F00"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2,703.3 </w:t>
            </w:r>
          </w:p>
        </w:tc>
      </w:tr>
      <w:tr w:rsidR="00F86BAD" w:rsidRPr="000D4D7C" w14:paraId="4D4F9AD4" w14:textId="77777777" w:rsidTr="00D9282C">
        <w:trPr>
          <w:trHeight w:val="270"/>
        </w:trPr>
        <w:tc>
          <w:tcPr>
            <w:tcW w:w="322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0D716DB"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England  </w:t>
            </w:r>
          </w:p>
        </w:tc>
        <w:tc>
          <w:tcPr>
            <w:tcW w:w="2879" w:type="dxa"/>
            <w:tcBorders>
              <w:top w:val="single" w:sz="6" w:space="0" w:color="auto"/>
              <w:left w:val="single" w:sz="6" w:space="0" w:color="auto"/>
              <w:bottom w:val="single" w:sz="6" w:space="0" w:color="auto"/>
              <w:right w:val="single" w:sz="6" w:space="0" w:color="auto"/>
            </w:tcBorders>
            <w:shd w:val="clear" w:color="auto" w:fill="DDF1F3"/>
            <w:hideMark/>
          </w:tcPr>
          <w:p w14:paraId="46949F35" w14:textId="14AC36D0"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2,870.8 </w:t>
            </w:r>
          </w:p>
        </w:tc>
        <w:tc>
          <w:tcPr>
            <w:tcW w:w="2409" w:type="dxa"/>
            <w:tcBorders>
              <w:top w:val="single" w:sz="6" w:space="0" w:color="auto"/>
              <w:left w:val="single" w:sz="6" w:space="0" w:color="auto"/>
              <w:bottom w:val="single" w:sz="6" w:space="0" w:color="auto"/>
              <w:right w:val="single" w:sz="6" w:space="0" w:color="auto"/>
            </w:tcBorders>
            <w:shd w:val="clear" w:color="auto" w:fill="DDF1F3"/>
            <w:hideMark/>
          </w:tcPr>
          <w:p w14:paraId="4EAC9150" w14:textId="2DBF8BCD" w:rsidR="00F86BAD" w:rsidRPr="000D4D7C" w:rsidRDefault="00F86BAD" w:rsidP="001F0DF6">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3,422.4 </w:t>
            </w:r>
          </w:p>
        </w:tc>
      </w:tr>
    </w:tbl>
    <w:p w14:paraId="7C117FDF" w14:textId="77777777" w:rsidR="00A17E03" w:rsidRDefault="00A17E03" w:rsidP="00A17E03">
      <w:pPr>
        <w:spacing w:after="0" w:line="240" w:lineRule="auto"/>
        <w:textAlignment w:val="baseline"/>
        <w:rPr>
          <w:rFonts w:ascii="Calibri" w:eastAsia="Times New Roman" w:hAnsi="Calibri" w:cs="Calibri"/>
        </w:rPr>
      </w:pPr>
    </w:p>
    <w:p w14:paraId="40F27547" w14:textId="17773488" w:rsidR="00F86BAD" w:rsidRDefault="00F86BAD" w:rsidP="00C87DEF">
      <w:pPr>
        <w:spacing w:after="0" w:line="240" w:lineRule="auto"/>
        <w:textAlignment w:val="baseline"/>
        <w:rPr>
          <w:rFonts w:ascii="Calibri" w:eastAsia="Times New Roman" w:hAnsi="Calibri" w:cs="Calibri"/>
        </w:rPr>
      </w:pPr>
      <w:r w:rsidRPr="32F7F25D">
        <w:rPr>
          <w:rFonts w:ascii="Calibri" w:eastAsia="Times New Roman" w:hAnsi="Calibri" w:cs="Calibri"/>
        </w:rPr>
        <w:t>Retesting of HIV was highest in Tunbridge wells where 50% of all gay, bisexual, and other men who have sex with men that had been tested for HIV at least once in the year prior returned for a retest. Retesting was under 50% in other districts in West Kent, indicating the need for promotion (Figure 8</w:t>
      </w:r>
      <w:r w:rsidR="00B3426A">
        <w:rPr>
          <w:rFonts w:ascii="Calibri" w:eastAsia="Times New Roman" w:hAnsi="Calibri" w:cs="Calibri"/>
        </w:rPr>
        <w:t>1</w:t>
      </w:r>
      <w:r w:rsidRPr="32F7F25D">
        <w:rPr>
          <w:rFonts w:ascii="Calibri" w:eastAsia="Times New Roman" w:hAnsi="Calibri" w:cs="Calibri"/>
        </w:rPr>
        <w:t xml:space="preserve">) as per </w:t>
      </w:r>
      <w:hyperlink r:id="rId132">
        <w:r w:rsidRPr="32F7F25D">
          <w:rPr>
            <w:rStyle w:val="Hyperlink"/>
            <w:rFonts w:ascii="Calibri" w:eastAsia="Times New Roman" w:hAnsi="Calibri" w:cs="Calibri"/>
          </w:rPr>
          <w:t>NICE recommendations.</w:t>
        </w:r>
      </w:hyperlink>
      <w:r w:rsidRPr="32F7F25D">
        <w:rPr>
          <w:rFonts w:ascii="Calibri" w:eastAsia="Times New Roman" w:hAnsi="Calibri" w:cs="Calibri"/>
        </w:rPr>
        <w:t xml:space="preserve"> </w:t>
      </w:r>
    </w:p>
    <w:p w14:paraId="308A077A" w14:textId="1CCCFDBF" w:rsidR="00F86BAD" w:rsidRDefault="00F86BAD" w:rsidP="00A17E03">
      <w:pPr>
        <w:spacing w:after="0" w:line="240" w:lineRule="auto"/>
        <w:rPr>
          <w:rFonts w:ascii="Segoe UI" w:eastAsia="Times New Roman" w:hAnsi="Segoe UI" w:cs="Segoe UI"/>
          <w:sz w:val="18"/>
          <w:szCs w:val="18"/>
        </w:rPr>
      </w:pPr>
      <w:r w:rsidRPr="32F7F25D">
        <w:rPr>
          <w:rFonts w:ascii="Calibri" w:eastAsia="Times New Roman" w:hAnsi="Calibri" w:cs="Calibri"/>
          <w:b/>
          <w:bCs/>
          <w:color w:val="000000" w:themeColor="text1"/>
        </w:rPr>
        <w:lastRenderedPageBreak/>
        <w:t>Figure 8</w:t>
      </w:r>
      <w:r w:rsidR="00B3426A">
        <w:rPr>
          <w:rFonts w:ascii="Calibri" w:eastAsia="Times New Roman" w:hAnsi="Calibri" w:cs="Calibri"/>
          <w:b/>
          <w:bCs/>
          <w:color w:val="000000" w:themeColor="text1"/>
        </w:rPr>
        <w:t>1</w:t>
      </w:r>
      <w:r w:rsidRPr="32F7F25D">
        <w:rPr>
          <w:rFonts w:ascii="Calibri" w:eastAsia="Times New Roman" w:hAnsi="Calibri" w:cs="Calibri"/>
          <w:b/>
          <w:bCs/>
          <w:color w:val="000000" w:themeColor="text1"/>
        </w:rPr>
        <w:t>: HIV testing coverage and repeat testing in gay and bisexual men by district, 2021</w:t>
      </w:r>
      <w:r w:rsidRPr="32F7F25D">
        <w:rPr>
          <w:rFonts w:ascii="Calibri" w:eastAsia="Times New Roman" w:hAnsi="Calibri" w:cs="Calibri"/>
          <w:color w:val="000000" w:themeColor="text1"/>
        </w:rPr>
        <w:t> </w:t>
      </w:r>
    </w:p>
    <w:p w14:paraId="4C7DE32B" w14:textId="6893EB3D" w:rsidR="00F86BAD" w:rsidRDefault="00F86BAD" w:rsidP="00A17E03">
      <w:pPr>
        <w:spacing w:after="0" w:line="240" w:lineRule="auto"/>
        <w:rPr>
          <w:rFonts w:ascii="Calibri" w:eastAsia="Times New Roman" w:hAnsi="Calibri" w:cs="Calibri"/>
        </w:rPr>
      </w:pPr>
      <w:r>
        <w:rPr>
          <w:noProof/>
        </w:rPr>
        <w:drawing>
          <wp:inline distT="0" distB="0" distL="0" distR="0" wp14:anchorId="5A365EC1" wp14:editId="35BDB2F4">
            <wp:extent cx="5454649" cy="3959570"/>
            <wp:effectExtent l="0" t="0" r="0" b="0"/>
            <wp:docPr id="46008234" name="Picture 1412120223" descr="Column chart showing HIV testing coverage and repeat testing in gay and bisexual men by West Kent district in 2021. In descending order from ~51% tested to ~41% tested: Maidstone, Sevenoaks, Tonbridge and Malling, Tunbridge Wells. Retesting of HIV was highest in Tunbridge wells at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8234" name="Picture 1412120223" descr="Column chart showing HIV testing coverage and repeat testing in gay and bisexual men by West Kent district in 2021. In descending order from ~51% tested to ~41% tested: Maidstone, Sevenoaks, Tonbridge and Malling, Tunbridge Wells. Retesting of HIV was highest in Tunbridge wells at 50%."/>
                    <pic:cNvPicPr/>
                  </pic:nvPicPr>
                  <pic:blipFill>
                    <a:blip r:embed="rId133">
                      <a:extLst>
                        <a:ext uri="{28A0092B-C50C-407E-A947-70E740481C1C}">
                          <a14:useLocalDpi xmlns:a14="http://schemas.microsoft.com/office/drawing/2010/main" val="0"/>
                        </a:ext>
                      </a:extLst>
                    </a:blip>
                    <a:stretch>
                      <a:fillRect/>
                    </a:stretch>
                  </pic:blipFill>
                  <pic:spPr bwMode="auto">
                    <a:xfrm>
                      <a:off x="0" y="0"/>
                      <a:ext cx="5454649" cy="3959570"/>
                    </a:xfrm>
                    <a:prstGeom prst="rect">
                      <a:avLst/>
                    </a:prstGeom>
                    <a:noFill/>
                    <a:ln>
                      <a:noFill/>
                    </a:ln>
                  </pic:spPr>
                </pic:pic>
              </a:graphicData>
            </a:graphic>
          </wp:inline>
        </w:drawing>
      </w:r>
    </w:p>
    <w:p w14:paraId="1480BCB2" w14:textId="77777777" w:rsidR="00F86BAD" w:rsidRDefault="00F86BAD" w:rsidP="00A17E03">
      <w:pPr>
        <w:spacing w:after="0" w:line="240" w:lineRule="auto"/>
        <w:rPr>
          <w:rFonts w:ascii="Calibri" w:eastAsia="Times New Roman" w:hAnsi="Calibri" w:cs="Calibri"/>
        </w:rPr>
      </w:pPr>
      <w:r w:rsidRPr="32F7F25D">
        <w:rPr>
          <w:rFonts w:ascii="Calibri" w:eastAsia="Times New Roman" w:hAnsi="Calibri" w:cs="Calibri"/>
        </w:rPr>
        <w:t>If left undiagnosed and untreated STIs can result in a range of sequalae including ectopic pregnancy and Pelvic inflammatory disease (PID). Maidstone had the highest rate of ectopic pregnancy admissions (114.1), and Tonbridge and Malling had the lowest (85.6). PID admissions were highest in Sevenoaks (175.9) and lowest in Tunbridge wells (100.8) between 2020 and 2021 (table 1</w:t>
      </w:r>
      <w:r>
        <w:rPr>
          <w:rFonts w:ascii="Calibri" w:eastAsia="Times New Roman" w:hAnsi="Calibri" w:cs="Calibri"/>
        </w:rPr>
        <w:t>5</w:t>
      </w:r>
      <w:r w:rsidRPr="32F7F25D">
        <w:rPr>
          <w:rFonts w:ascii="Calibri" w:eastAsia="Times New Roman" w:hAnsi="Calibri" w:cs="Calibri"/>
        </w:rPr>
        <w:t>).</w:t>
      </w:r>
    </w:p>
    <w:p w14:paraId="29D3A480" w14:textId="25C0625C" w:rsidR="00F86BAD" w:rsidRDefault="00C87DEF" w:rsidP="00C87DEF">
      <w:pPr>
        <w:spacing w:after="0" w:line="240" w:lineRule="auto"/>
        <w:textAlignment w:val="baseline"/>
        <w:rPr>
          <w:rFonts w:ascii="Segoe UI" w:eastAsia="Times New Roman" w:hAnsi="Segoe UI" w:cs="Segoe UI"/>
          <w:sz w:val="18"/>
          <w:szCs w:val="18"/>
        </w:rPr>
      </w:pPr>
      <w:r w:rsidRPr="32F7F25D">
        <w:rPr>
          <w:rFonts w:ascii="Calibri" w:eastAsia="Times New Roman" w:hAnsi="Calibri" w:cs="Calibri"/>
          <w:b/>
          <w:bCs/>
          <w:color w:val="000000" w:themeColor="text1"/>
        </w:rPr>
        <w:t>Table 1</w:t>
      </w:r>
      <w:r>
        <w:rPr>
          <w:rFonts w:ascii="Calibri" w:eastAsia="Times New Roman" w:hAnsi="Calibri" w:cs="Calibri"/>
          <w:b/>
          <w:bCs/>
          <w:color w:val="000000" w:themeColor="text1"/>
        </w:rPr>
        <w:t>5</w:t>
      </w:r>
      <w:r w:rsidRPr="32F7F25D">
        <w:rPr>
          <w:rFonts w:ascii="Calibri" w:eastAsia="Times New Roman" w:hAnsi="Calibri" w:cs="Calibri"/>
          <w:b/>
          <w:bCs/>
          <w:color w:val="000000" w:themeColor="text1"/>
        </w:rPr>
        <w:t xml:space="preserve"> Admission rates for ectopic pregnancy and pelvic inflammatory disease in 2020-2021</w:t>
      </w:r>
      <w:r w:rsidRPr="32F7F25D">
        <w:rPr>
          <w:rFonts w:ascii="Calibri" w:eastAsia="Times New Roman" w:hAnsi="Calibri" w:cs="Calibri"/>
          <w:color w:val="000000" w:themeColor="text1"/>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70"/>
        <w:gridCol w:w="2685"/>
        <w:gridCol w:w="2835"/>
      </w:tblGrid>
      <w:tr w:rsidR="00F86BAD" w:rsidRPr="000D4D7C" w14:paraId="42D08473" w14:textId="77777777" w:rsidTr="004D0569">
        <w:trPr>
          <w:trHeight w:val="540"/>
        </w:trPr>
        <w:tc>
          <w:tcPr>
            <w:tcW w:w="2370"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375A7FF1" w14:textId="77777777" w:rsidR="00F86BAD" w:rsidRPr="004D0569" w:rsidRDefault="00F86BAD" w:rsidP="00A17E03">
            <w:pPr>
              <w:spacing w:after="0" w:line="240" w:lineRule="auto"/>
              <w:textAlignment w:val="baseline"/>
              <w:rPr>
                <w:rFonts w:ascii="Times New Roman" w:eastAsia="Times New Roman" w:hAnsi="Times New Roman" w:cs="Times New Roman"/>
                <w:color w:val="FFFFFF" w:themeColor="background1"/>
              </w:rPr>
            </w:pPr>
            <w:r w:rsidRPr="004D0569">
              <w:rPr>
                <w:rFonts w:ascii="Calibri" w:eastAsia="Times New Roman" w:hAnsi="Calibri" w:cs="Calibri"/>
                <w:b/>
                <w:bCs/>
                <w:color w:val="FFFFFF" w:themeColor="background1"/>
              </w:rPr>
              <w:t>District </w:t>
            </w:r>
            <w:r w:rsidRPr="004D0569">
              <w:rPr>
                <w:rFonts w:ascii="Calibri" w:eastAsia="Times New Roman" w:hAnsi="Calibri" w:cs="Calibri"/>
                <w:color w:val="FFFFFF" w:themeColor="background1"/>
              </w:rPr>
              <w:t> </w:t>
            </w:r>
          </w:p>
        </w:tc>
        <w:tc>
          <w:tcPr>
            <w:tcW w:w="2685"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25EB184B" w14:textId="7B819E77" w:rsidR="00F86BAD" w:rsidRPr="004D0569" w:rsidRDefault="00F86BAD" w:rsidP="00766593">
            <w:pPr>
              <w:spacing w:after="0" w:line="240" w:lineRule="auto"/>
              <w:jc w:val="center"/>
              <w:textAlignment w:val="baseline"/>
              <w:rPr>
                <w:rFonts w:ascii="Times New Roman" w:eastAsia="Times New Roman" w:hAnsi="Times New Roman" w:cs="Times New Roman"/>
                <w:color w:val="FFFFFF" w:themeColor="background1"/>
              </w:rPr>
            </w:pPr>
            <w:r w:rsidRPr="004D0569">
              <w:rPr>
                <w:rFonts w:ascii="Calibri" w:eastAsia="Times New Roman" w:hAnsi="Calibri" w:cs="Calibri"/>
                <w:b/>
                <w:bCs/>
                <w:color w:val="FFFFFF" w:themeColor="background1"/>
              </w:rPr>
              <w:t>Ectopic pregnancy admissions rate per 100,000, 2020/21 </w:t>
            </w:r>
          </w:p>
        </w:tc>
        <w:tc>
          <w:tcPr>
            <w:tcW w:w="2835"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470FC39F" w14:textId="36A9269B" w:rsidR="00F86BAD" w:rsidRPr="004D0569" w:rsidRDefault="00F86BAD" w:rsidP="00766593">
            <w:pPr>
              <w:spacing w:after="0" w:line="240" w:lineRule="auto"/>
              <w:jc w:val="center"/>
              <w:textAlignment w:val="baseline"/>
              <w:rPr>
                <w:rFonts w:ascii="Times New Roman" w:eastAsia="Times New Roman" w:hAnsi="Times New Roman" w:cs="Times New Roman"/>
                <w:color w:val="FFFFFF" w:themeColor="background1"/>
              </w:rPr>
            </w:pPr>
            <w:r w:rsidRPr="004D0569">
              <w:rPr>
                <w:rFonts w:ascii="Calibri" w:eastAsia="Times New Roman" w:hAnsi="Calibri" w:cs="Calibri"/>
                <w:b/>
                <w:bCs/>
                <w:color w:val="FFFFFF" w:themeColor="background1"/>
              </w:rPr>
              <w:t>Pelvic inflammatory disease (PID) admissions rate per 100,000, 2020/21 </w:t>
            </w:r>
          </w:p>
        </w:tc>
      </w:tr>
      <w:tr w:rsidR="00F86BAD" w:rsidRPr="000D4D7C" w14:paraId="54E8D7AF" w14:textId="77777777" w:rsidTr="004D0569">
        <w:trPr>
          <w:trHeight w:val="180"/>
        </w:trPr>
        <w:tc>
          <w:tcPr>
            <w:tcW w:w="237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47619E0"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Maidstone  </w:t>
            </w:r>
          </w:p>
        </w:tc>
        <w:tc>
          <w:tcPr>
            <w:tcW w:w="2685" w:type="dxa"/>
            <w:tcBorders>
              <w:top w:val="single" w:sz="6" w:space="0" w:color="auto"/>
              <w:left w:val="single" w:sz="6" w:space="0" w:color="auto"/>
              <w:bottom w:val="single" w:sz="6" w:space="0" w:color="auto"/>
              <w:right w:val="single" w:sz="6" w:space="0" w:color="auto"/>
            </w:tcBorders>
            <w:shd w:val="clear" w:color="auto" w:fill="DDF1F3"/>
            <w:hideMark/>
          </w:tcPr>
          <w:p w14:paraId="51CB8801" w14:textId="3190A5EE"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114.1 </w:t>
            </w:r>
          </w:p>
        </w:tc>
        <w:tc>
          <w:tcPr>
            <w:tcW w:w="2835" w:type="dxa"/>
            <w:tcBorders>
              <w:top w:val="single" w:sz="6" w:space="0" w:color="auto"/>
              <w:left w:val="single" w:sz="6" w:space="0" w:color="auto"/>
              <w:bottom w:val="single" w:sz="6" w:space="0" w:color="auto"/>
              <w:right w:val="single" w:sz="6" w:space="0" w:color="auto"/>
            </w:tcBorders>
            <w:shd w:val="clear" w:color="auto" w:fill="DDF1F3"/>
            <w:hideMark/>
          </w:tcPr>
          <w:p w14:paraId="082D8235" w14:textId="153A6904"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114.1 </w:t>
            </w:r>
          </w:p>
        </w:tc>
      </w:tr>
      <w:tr w:rsidR="00F86BAD" w:rsidRPr="000D4D7C" w14:paraId="71E04DAD" w14:textId="77777777" w:rsidTr="004D0569">
        <w:trPr>
          <w:trHeight w:val="315"/>
        </w:trPr>
        <w:tc>
          <w:tcPr>
            <w:tcW w:w="237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3A749C4"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Sevenoaks  </w:t>
            </w:r>
          </w:p>
        </w:tc>
        <w:tc>
          <w:tcPr>
            <w:tcW w:w="2685" w:type="dxa"/>
            <w:tcBorders>
              <w:top w:val="single" w:sz="6" w:space="0" w:color="auto"/>
              <w:left w:val="single" w:sz="6" w:space="0" w:color="auto"/>
              <w:bottom w:val="single" w:sz="6" w:space="0" w:color="auto"/>
              <w:right w:val="single" w:sz="6" w:space="0" w:color="auto"/>
            </w:tcBorders>
            <w:shd w:val="clear" w:color="auto" w:fill="DDF1F3"/>
            <w:hideMark/>
          </w:tcPr>
          <w:p w14:paraId="43C59AFA" w14:textId="7CDB71DA"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100.5 </w:t>
            </w:r>
          </w:p>
        </w:tc>
        <w:tc>
          <w:tcPr>
            <w:tcW w:w="2835" w:type="dxa"/>
            <w:tcBorders>
              <w:top w:val="single" w:sz="6" w:space="0" w:color="auto"/>
              <w:left w:val="single" w:sz="6" w:space="0" w:color="auto"/>
              <w:bottom w:val="single" w:sz="6" w:space="0" w:color="auto"/>
              <w:right w:val="single" w:sz="6" w:space="0" w:color="auto"/>
            </w:tcBorders>
            <w:shd w:val="clear" w:color="auto" w:fill="DDF1F3"/>
            <w:hideMark/>
          </w:tcPr>
          <w:p w14:paraId="0ED73A32" w14:textId="09ABA944"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175.9 </w:t>
            </w:r>
          </w:p>
        </w:tc>
      </w:tr>
      <w:tr w:rsidR="00F86BAD" w:rsidRPr="000D4D7C" w14:paraId="72533F08" w14:textId="77777777" w:rsidTr="004D0569">
        <w:trPr>
          <w:trHeight w:val="300"/>
        </w:trPr>
        <w:tc>
          <w:tcPr>
            <w:tcW w:w="237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510EAEC"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Tonbridge and Malling  </w:t>
            </w:r>
          </w:p>
        </w:tc>
        <w:tc>
          <w:tcPr>
            <w:tcW w:w="2685" w:type="dxa"/>
            <w:tcBorders>
              <w:top w:val="single" w:sz="6" w:space="0" w:color="auto"/>
              <w:left w:val="single" w:sz="6" w:space="0" w:color="auto"/>
              <w:bottom w:val="single" w:sz="6" w:space="0" w:color="auto"/>
              <w:right w:val="single" w:sz="6" w:space="0" w:color="auto"/>
            </w:tcBorders>
            <w:shd w:val="clear" w:color="auto" w:fill="DDF1F3"/>
            <w:hideMark/>
          </w:tcPr>
          <w:p w14:paraId="351129FD" w14:textId="19894CEE"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85.6 </w:t>
            </w:r>
          </w:p>
        </w:tc>
        <w:tc>
          <w:tcPr>
            <w:tcW w:w="2835" w:type="dxa"/>
            <w:tcBorders>
              <w:top w:val="single" w:sz="6" w:space="0" w:color="auto"/>
              <w:left w:val="single" w:sz="6" w:space="0" w:color="auto"/>
              <w:bottom w:val="single" w:sz="6" w:space="0" w:color="auto"/>
              <w:right w:val="single" w:sz="6" w:space="0" w:color="auto"/>
            </w:tcBorders>
            <w:shd w:val="clear" w:color="auto" w:fill="DDF1F3"/>
            <w:hideMark/>
          </w:tcPr>
          <w:p w14:paraId="6E84A8F9" w14:textId="4358F4EB"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107.0 </w:t>
            </w:r>
          </w:p>
        </w:tc>
      </w:tr>
      <w:tr w:rsidR="00F86BAD" w:rsidRPr="000D4D7C" w14:paraId="57619170" w14:textId="77777777" w:rsidTr="004D0569">
        <w:trPr>
          <w:trHeight w:val="300"/>
        </w:trPr>
        <w:tc>
          <w:tcPr>
            <w:tcW w:w="237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EA6095E"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Tunbridge Wells   </w:t>
            </w:r>
          </w:p>
        </w:tc>
        <w:tc>
          <w:tcPr>
            <w:tcW w:w="2685" w:type="dxa"/>
            <w:tcBorders>
              <w:top w:val="single" w:sz="6" w:space="0" w:color="auto"/>
              <w:left w:val="single" w:sz="6" w:space="0" w:color="auto"/>
              <w:bottom w:val="single" w:sz="6" w:space="0" w:color="auto"/>
              <w:right w:val="single" w:sz="6" w:space="0" w:color="auto"/>
            </w:tcBorders>
            <w:shd w:val="clear" w:color="auto" w:fill="DDF1F3"/>
            <w:hideMark/>
          </w:tcPr>
          <w:p w14:paraId="42C257E7" w14:textId="46B8A686"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100.8 </w:t>
            </w:r>
          </w:p>
        </w:tc>
        <w:tc>
          <w:tcPr>
            <w:tcW w:w="2835" w:type="dxa"/>
            <w:tcBorders>
              <w:top w:val="single" w:sz="6" w:space="0" w:color="auto"/>
              <w:left w:val="single" w:sz="6" w:space="0" w:color="auto"/>
              <w:bottom w:val="single" w:sz="6" w:space="0" w:color="auto"/>
              <w:right w:val="single" w:sz="6" w:space="0" w:color="auto"/>
            </w:tcBorders>
            <w:shd w:val="clear" w:color="auto" w:fill="DDF1F3"/>
            <w:hideMark/>
          </w:tcPr>
          <w:p w14:paraId="34B32364" w14:textId="34D943A3"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100.8 </w:t>
            </w:r>
          </w:p>
        </w:tc>
      </w:tr>
      <w:tr w:rsidR="00F86BAD" w:rsidRPr="000D4D7C" w14:paraId="7374CFD5" w14:textId="77777777" w:rsidTr="004D0569">
        <w:trPr>
          <w:trHeight w:val="300"/>
        </w:trPr>
        <w:tc>
          <w:tcPr>
            <w:tcW w:w="237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51554EC"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Kent   </w:t>
            </w:r>
          </w:p>
        </w:tc>
        <w:tc>
          <w:tcPr>
            <w:tcW w:w="2685" w:type="dxa"/>
            <w:tcBorders>
              <w:top w:val="single" w:sz="6" w:space="0" w:color="auto"/>
              <w:left w:val="single" w:sz="6" w:space="0" w:color="auto"/>
              <w:bottom w:val="single" w:sz="6" w:space="0" w:color="auto"/>
              <w:right w:val="single" w:sz="6" w:space="0" w:color="auto"/>
            </w:tcBorders>
            <w:shd w:val="clear" w:color="auto" w:fill="DDF1F3"/>
            <w:hideMark/>
          </w:tcPr>
          <w:p w14:paraId="2E67B668" w14:textId="0E049FB5"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98.5 </w:t>
            </w:r>
          </w:p>
        </w:tc>
        <w:tc>
          <w:tcPr>
            <w:tcW w:w="2835" w:type="dxa"/>
            <w:tcBorders>
              <w:top w:val="single" w:sz="6" w:space="0" w:color="auto"/>
              <w:left w:val="single" w:sz="6" w:space="0" w:color="auto"/>
              <w:bottom w:val="single" w:sz="6" w:space="0" w:color="auto"/>
              <w:right w:val="single" w:sz="6" w:space="0" w:color="auto"/>
            </w:tcBorders>
            <w:shd w:val="clear" w:color="auto" w:fill="DDF1F3"/>
            <w:hideMark/>
          </w:tcPr>
          <w:p w14:paraId="5BCD70FF" w14:textId="626F8DE9"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141.4 </w:t>
            </w:r>
          </w:p>
        </w:tc>
      </w:tr>
      <w:tr w:rsidR="00F86BAD" w:rsidRPr="000D4D7C" w14:paraId="556968FC" w14:textId="77777777" w:rsidTr="004D0569">
        <w:trPr>
          <w:trHeight w:val="300"/>
        </w:trPr>
        <w:tc>
          <w:tcPr>
            <w:tcW w:w="2370"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63561F7B"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England  </w:t>
            </w:r>
          </w:p>
        </w:tc>
        <w:tc>
          <w:tcPr>
            <w:tcW w:w="2685" w:type="dxa"/>
            <w:tcBorders>
              <w:top w:val="single" w:sz="6" w:space="0" w:color="auto"/>
              <w:left w:val="single" w:sz="6" w:space="0" w:color="auto"/>
              <w:bottom w:val="single" w:sz="6" w:space="0" w:color="auto"/>
              <w:right w:val="single" w:sz="6" w:space="0" w:color="auto"/>
            </w:tcBorders>
            <w:shd w:val="clear" w:color="auto" w:fill="DDF1F3"/>
            <w:hideMark/>
          </w:tcPr>
          <w:p w14:paraId="7A028A52" w14:textId="6CA41575"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89.5 </w:t>
            </w:r>
          </w:p>
        </w:tc>
        <w:tc>
          <w:tcPr>
            <w:tcW w:w="2835" w:type="dxa"/>
            <w:tcBorders>
              <w:top w:val="single" w:sz="6" w:space="0" w:color="auto"/>
              <w:left w:val="single" w:sz="6" w:space="0" w:color="auto"/>
              <w:bottom w:val="single" w:sz="6" w:space="0" w:color="auto"/>
              <w:right w:val="single" w:sz="6" w:space="0" w:color="auto"/>
            </w:tcBorders>
            <w:shd w:val="clear" w:color="auto" w:fill="DDF1F3"/>
            <w:hideMark/>
          </w:tcPr>
          <w:p w14:paraId="4E81676C" w14:textId="6DD82655"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186.2 </w:t>
            </w:r>
          </w:p>
        </w:tc>
      </w:tr>
    </w:tbl>
    <w:p w14:paraId="0B75F9F7" w14:textId="77777777" w:rsidR="00F86BAD" w:rsidRPr="009D38FF" w:rsidRDefault="00F86BAD" w:rsidP="00A17E03">
      <w:pPr>
        <w:pStyle w:val="Heading2"/>
      </w:pPr>
      <w:bookmarkStart w:id="141" w:name="_Toc128133845"/>
      <w:r w:rsidRPr="009D38FF">
        <w:lastRenderedPageBreak/>
        <w:t>Teenage Conceptions</w:t>
      </w:r>
      <w:bookmarkEnd w:id="141"/>
      <w:r w:rsidRPr="009D38FF">
        <w:t> </w:t>
      </w:r>
    </w:p>
    <w:p w14:paraId="48033499" w14:textId="77777777" w:rsidR="00F86BAD" w:rsidRPr="000D4D7C" w:rsidRDefault="00F86BAD" w:rsidP="00A17E03">
      <w:pPr>
        <w:spacing w:after="0" w:line="240" w:lineRule="auto"/>
        <w:textAlignment w:val="baseline"/>
        <w:rPr>
          <w:rFonts w:ascii="Segoe UI" w:eastAsia="Times New Roman" w:hAnsi="Segoe UI" w:cs="Segoe UI"/>
          <w:sz w:val="18"/>
          <w:szCs w:val="18"/>
        </w:rPr>
      </w:pPr>
      <w:r w:rsidRPr="305ECFD1">
        <w:rPr>
          <w:rFonts w:ascii="Calibri" w:eastAsia="Times New Roman" w:hAnsi="Calibri" w:cs="Calibri"/>
        </w:rPr>
        <w:t xml:space="preserve">In West Kent, the average rate of under 18 conceptions is lower when compared to Kent and England. Although conception rates decreased nationally in 2020 compared to 2019, rates increased for Maidstone (15.1) and Tonbridge and Malling (10.0). Rates decreased for Sevenoaks (6.4 and Tunbridge wells (10.2). </w:t>
      </w:r>
    </w:p>
    <w:p w14:paraId="3E05B071" w14:textId="317FAEF9" w:rsidR="00F86BAD" w:rsidRDefault="00F86BAD" w:rsidP="00A17E03">
      <w:pPr>
        <w:spacing w:after="0" w:line="240" w:lineRule="auto"/>
        <w:textAlignment w:val="baseline"/>
        <w:rPr>
          <w:rFonts w:ascii="Calibri" w:eastAsia="Times New Roman" w:hAnsi="Calibri" w:cs="Calibri"/>
        </w:rPr>
      </w:pPr>
      <w:r w:rsidRPr="305ECFD1">
        <w:rPr>
          <w:rFonts w:ascii="Calibri" w:eastAsia="Times New Roman" w:hAnsi="Calibri" w:cs="Calibri"/>
        </w:rPr>
        <w:t xml:space="preserve">Conception rates are now highest in Maidstone and lowest in Sevenoaks. Alternatively, the percentage of under 18 conceptions resulting in an abortion increased in 2020 in </w:t>
      </w:r>
      <w:bookmarkStart w:id="142" w:name="_Int_vdH9h92v"/>
      <w:r w:rsidRPr="305ECFD1">
        <w:rPr>
          <w:rFonts w:ascii="Calibri" w:eastAsia="Times New Roman" w:hAnsi="Calibri" w:cs="Calibri"/>
        </w:rPr>
        <w:t>Sevenoaks and Tonbridge</w:t>
      </w:r>
      <w:bookmarkEnd w:id="142"/>
      <w:r w:rsidRPr="305ECFD1">
        <w:rPr>
          <w:rFonts w:ascii="Calibri" w:eastAsia="Times New Roman" w:hAnsi="Calibri" w:cs="Calibri"/>
        </w:rPr>
        <w:t xml:space="preserve"> and Malling, who had the highest percentage (83.3%) (Table </w:t>
      </w:r>
      <w:r>
        <w:rPr>
          <w:rFonts w:ascii="Calibri" w:eastAsia="Times New Roman" w:hAnsi="Calibri" w:cs="Calibri"/>
        </w:rPr>
        <w:t>16</w:t>
      </w:r>
      <w:r w:rsidRPr="305ECFD1">
        <w:rPr>
          <w:rFonts w:ascii="Calibri" w:eastAsia="Times New Roman" w:hAnsi="Calibri" w:cs="Calibri"/>
        </w:rPr>
        <w:t>).   </w:t>
      </w:r>
    </w:p>
    <w:p w14:paraId="7B4EB73D" w14:textId="459315D4" w:rsidR="00F86BAD" w:rsidRPr="000D4D7C" w:rsidRDefault="00C87DEF" w:rsidP="00A17E03">
      <w:pPr>
        <w:spacing w:after="0" w:line="240" w:lineRule="auto"/>
        <w:textAlignment w:val="baseline"/>
        <w:rPr>
          <w:rFonts w:ascii="Segoe UI" w:eastAsia="Times New Roman" w:hAnsi="Segoe UI" w:cs="Segoe UI"/>
          <w:sz w:val="18"/>
          <w:szCs w:val="18"/>
        </w:rPr>
      </w:pPr>
      <w:r w:rsidRPr="00B778DA">
        <w:rPr>
          <w:rFonts w:ascii="Calibri" w:eastAsia="Times New Roman" w:hAnsi="Calibri" w:cs="Calibri"/>
          <w:b/>
          <w:bCs/>
        </w:rPr>
        <w:t>Table 16</w:t>
      </w:r>
      <w:r w:rsidRPr="32F7F25D">
        <w:rPr>
          <w:rFonts w:ascii="Calibri" w:eastAsia="Times New Roman" w:hAnsi="Calibri" w:cs="Calibri"/>
          <w:b/>
          <w:bCs/>
        </w:rPr>
        <w:t xml:space="preserve"> Under 18s conception rate and rate leading to abortion</w:t>
      </w:r>
      <w:r w:rsidR="00F86BAD" w:rsidRPr="000D4D7C">
        <w:rPr>
          <w:rFonts w:ascii="Segoe UI" w:eastAsia="Times New Roman" w:hAnsi="Segoe UI" w:cs="Segoe UI"/>
          <w:sz w:val="18"/>
          <w:szCs w:val="18"/>
        </w:rPr>
        <w:t> </w:t>
      </w:r>
    </w:p>
    <w:tbl>
      <w:tblPr>
        <w:tblW w:w="90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07"/>
        <w:gridCol w:w="1789"/>
        <w:gridCol w:w="1774"/>
        <w:gridCol w:w="2126"/>
        <w:gridCol w:w="1946"/>
      </w:tblGrid>
      <w:tr w:rsidR="00F86BAD" w:rsidRPr="000D4D7C" w14:paraId="5767D31D" w14:textId="77777777" w:rsidTr="00FF014E">
        <w:trPr>
          <w:trHeight w:val="540"/>
        </w:trPr>
        <w:tc>
          <w:tcPr>
            <w:tcW w:w="1407"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15D89759" w14:textId="77777777" w:rsidR="00F86BAD" w:rsidRPr="00FF014E" w:rsidRDefault="00F86BAD" w:rsidP="00A17E03">
            <w:pPr>
              <w:spacing w:after="0" w:line="240" w:lineRule="auto"/>
              <w:textAlignment w:val="baseline"/>
              <w:rPr>
                <w:rFonts w:ascii="Times New Roman" w:eastAsia="Times New Roman" w:hAnsi="Times New Roman" w:cs="Times New Roman"/>
                <w:color w:val="FFFFFF" w:themeColor="background1"/>
              </w:rPr>
            </w:pPr>
            <w:r w:rsidRPr="00FF014E">
              <w:rPr>
                <w:rFonts w:ascii="Calibri" w:eastAsia="Times New Roman" w:hAnsi="Calibri" w:cs="Calibri"/>
                <w:b/>
                <w:bCs/>
                <w:color w:val="FFFFFF" w:themeColor="background1"/>
              </w:rPr>
              <w:t>District </w:t>
            </w:r>
            <w:r w:rsidRPr="00FF014E">
              <w:rPr>
                <w:rFonts w:ascii="Calibri" w:eastAsia="Times New Roman" w:hAnsi="Calibri" w:cs="Calibri"/>
                <w:color w:val="FFFFFF" w:themeColor="background1"/>
              </w:rPr>
              <w:t> </w:t>
            </w:r>
          </w:p>
        </w:tc>
        <w:tc>
          <w:tcPr>
            <w:tcW w:w="1789"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3132F24C" w14:textId="5B197CB2" w:rsidR="00F86BAD" w:rsidRPr="00FF014E" w:rsidRDefault="00F86BAD" w:rsidP="00766593">
            <w:pPr>
              <w:spacing w:after="0" w:line="240" w:lineRule="auto"/>
              <w:jc w:val="center"/>
              <w:textAlignment w:val="baseline"/>
              <w:rPr>
                <w:rFonts w:ascii="Times New Roman" w:eastAsia="Times New Roman" w:hAnsi="Times New Roman" w:cs="Times New Roman"/>
                <w:color w:val="FFFFFF" w:themeColor="background1"/>
              </w:rPr>
            </w:pPr>
            <w:r w:rsidRPr="00FF014E">
              <w:rPr>
                <w:rFonts w:ascii="Calibri" w:eastAsia="Times New Roman" w:hAnsi="Calibri" w:cs="Calibri"/>
                <w:b/>
                <w:bCs/>
                <w:color w:val="FFFFFF" w:themeColor="background1"/>
              </w:rPr>
              <w:t>Under 18s conception rate per 1,000</w:t>
            </w:r>
            <w:r w:rsidR="00B778DA" w:rsidRPr="00FF014E">
              <w:rPr>
                <w:rFonts w:ascii="Calibri" w:eastAsia="Times New Roman" w:hAnsi="Calibri" w:cs="Calibri"/>
                <w:b/>
                <w:bCs/>
                <w:color w:val="FFFFFF" w:themeColor="background1"/>
              </w:rPr>
              <w:t>, 2019</w:t>
            </w:r>
          </w:p>
        </w:tc>
        <w:tc>
          <w:tcPr>
            <w:tcW w:w="1774"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0A861399" w14:textId="13D919CF" w:rsidR="00F86BAD" w:rsidRPr="00FF014E" w:rsidRDefault="00F86BAD" w:rsidP="00766593">
            <w:pPr>
              <w:spacing w:after="0" w:line="240" w:lineRule="auto"/>
              <w:jc w:val="center"/>
              <w:textAlignment w:val="baseline"/>
              <w:rPr>
                <w:rFonts w:ascii="Times New Roman" w:eastAsia="Times New Roman" w:hAnsi="Times New Roman" w:cs="Times New Roman"/>
                <w:color w:val="FFFFFF" w:themeColor="background1"/>
              </w:rPr>
            </w:pPr>
            <w:r w:rsidRPr="00FF014E">
              <w:rPr>
                <w:rFonts w:ascii="Calibri" w:eastAsia="Times New Roman" w:hAnsi="Calibri" w:cs="Calibri"/>
                <w:b/>
                <w:bCs/>
                <w:color w:val="FFFFFF" w:themeColor="background1"/>
              </w:rPr>
              <w:t> </w:t>
            </w:r>
            <w:r w:rsidRPr="00FF014E">
              <w:rPr>
                <w:rFonts w:ascii="Calibri" w:eastAsia="Times New Roman" w:hAnsi="Calibri" w:cs="Calibri"/>
                <w:color w:val="FFFFFF" w:themeColor="background1"/>
              </w:rPr>
              <w:t> </w:t>
            </w:r>
            <w:r w:rsidR="00B778DA" w:rsidRPr="00FF014E">
              <w:rPr>
                <w:rFonts w:ascii="Calibri" w:eastAsia="Times New Roman" w:hAnsi="Calibri" w:cs="Calibri"/>
                <w:b/>
                <w:bCs/>
                <w:color w:val="FFFFFF" w:themeColor="background1"/>
              </w:rPr>
              <w:t>Under 18s conception rate per 1,000, 2020</w:t>
            </w:r>
          </w:p>
        </w:tc>
        <w:tc>
          <w:tcPr>
            <w:tcW w:w="2126"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54AA7AB8" w14:textId="673F1E7D" w:rsidR="00F86BAD" w:rsidRPr="00FF014E" w:rsidRDefault="00F86BAD" w:rsidP="00766593">
            <w:pPr>
              <w:spacing w:after="0" w:line="240" w:lineRule="auto"/>
              <w:jc w:val="center"/>
              <w:textAlignment w:val="baseline"/>
              <w:rPr>
                <w:rFonts w:ascii="Times New Roman" w:eastAsia="Times New Roman" w:hAnsi="Times New Roman" w:cs="Times New Roman"/>
                <w:color w:val="FFFFFF" w:themeColor="background1"/>
              </w:rPr>
            </w:pPr>
            <w:r w:rsidRPr="00FF014E">
              <w:rPr>
                <w:rFonts w:ascii="Calibri" w:eastAsia="Times New Roman" w:hAnsi="Calibri" w:cs="Calibri"/>
                <w:b/>
                <w:bCs/>
                <w:color w:val="FFFFFF" w:themeColor="background1"/>
              </w:rPr>
              <w:t>Under 18s conceptions leading to abortion (%)</w:t>
            </w:r>
            <w:r w:rsidR="00B778DA" w:rsidRPr="00FF014E">
              <w:rPr>
                <w:rFonts w:ascii="Calibri" w:eastAsia="Times New Roman" w:hAnsi="Calibri" w:cs="Calibri"/>
                <w:b/>
                <w:bCs/>
                <w:color w:val="FFFFFF" w:themeColor="background1"/>
              </w:rPr>
              <w:t>, 2019</w:t>
            </w:r>
            <w:r w:rsidRPr="00FF014E">
              <w:rPr>
                <w:rFonts w:ascii="Calibri" w:eastAsia="Times New Roman" w:hAnsi="Calibri" w:cs="Calibri"/>
                <w:b/>
                <w:bCs/>
                <w:color w:val="FFFFFF" w:themeColor="background1"/>
              </w:rPr>
              <w:t> </w:t>
            </w:r>
          </w:p>
        </w:tc>
        <w:tc>
          <w:tcPr>
            <w:tcW w:w="1946"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2B32D025" w14:textId="7ABE1F44" w:rsidR="00F86BAD" w:rsidRPr="00FF014E" w:rsidRDefault="00F86BAD" w:rsidP="00766593">
            <w:pPr>
              <w:spacing w:after="0" w:line="240" w:lineRule="auto"/>
              <w:jc w:val="center"/>
              <w:textAlignment w:val="baseline"/>
              <w:rPr>
                <w:rFonts w:ascii="Times New Roman" w:eastAsia="Times New Roman" w:hAnsi="Times New Roman" w:cs="Times New Roman"/>
                <w:color w:val="FFFFFF" w:themeColor="background1"/>
              </w:rPr>
            </w:pPr>
            <w:r w:rsidRPr="00FF014E">
              <w:rPr>
                <w:rFonts w:ascii="Calibri" w:eastAsia="Times New Roman" w:hAnsi="Calibri" w:cs="Calibri"/>
                <w:b/>
                <w:bCs/>
                <w:color w:val="FFFFFF" w:themeColor="background1"/>
              </w:rPr>
              <w:t> </w:t>
            </w:r>
            <w:r w:rsidRPr="00FF014E">
              <w:rPr>
                <w:rFonts w:ascii="Calibri" w:eastAsia="Times New Roman" w:hAnsi="Calibri" w:cs="Calibri"/>
                <w:color w:val="FFFFFF" w:themeColor="background1"/>
              </w:rPr>
              <w:t> </w:t>
            </w:r>
            <w:r w:rsidR="00B778DA" w:rsidRPr="00FF014E">
              <w:rPr>
                <w:rFonts w:ascii="Calibri" w:eastAsia="Times New Roman" w:hAnsi="Calibri" w:cs="Calibri"/>
                <w:b/>
                <w:bCs/>
                <w:color w:val="FFFFFF" w:themeColor="background1"/>
              </w:rPr>
              <w:t>Under 18s conceptions leading to abortion (%), 2020</w:t>
            </w:r>
          </w:p>
        </w:tc>
      </w:tr>
      <w:tr w:rsidR="00F86BAD" w:rsidRPr="000D4D7C" w14:paraId="46A068E8" w14:textId="77777777" w:rsidTr="00FF014E">
        <w:trPr>
          <w:trHeight w:val="180"/>
        </w:trPr>
        <w:tc>
          <w:tcPr>
            <w:tcW w:w="1407"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082E946"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Maidstone  </w:t>
            </w:r>
          </w:p>
        </w:tc>
        <w:tc>
          <w:tcPr>
            <w:tcW w:w="1789" w:type="dxa"/>
            <w:tcBorders>
              <w:top w:val="single" w:sz="6" w:space="0" w:color="auto"/>
              <w:left w:val="single" w:sz="6" w:space="0" w:color="auto"/>
              <w:bottom w:val="single" w:sz="6" w:space="0" w:color="auto"/>
              <w:right w:val="single" w:sz="6" w:space="0" w:color="auto"/>
            </w:tcBorders>
            <w:shd w:val="clear" w:color="auto" w:fill="DDF1F3"/>
            <w:hideMark/>
          </w:tcPr>
          <w:p w14:paraId="393BC319" w14:textId="00500EAB"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14.7 </w:t>
            </w:r>
          </w:p>
        </w:tc>
        <w:tc>
          <w:tcPr>
            <w:tcW w:w="1774" w:type="dxa"/>
            <w:tcBorders>
              <w:top w:val="single" w:sz="6" w:space="0" w:color="auto"/>
              <w:left w:val="single" w:sz="6" w:space="0" w:color="auto"/>
              <w:bottom w:val="single" w:sz="6" w:space="0" w:color="auto"/>
              <w:right w:val="single" w:sz="6" w:space="0" w:color="auto"/>
            </w:tcBorders>
            <w:shd w:val="clear" w:color="auto" w:fill="DDF1F3"/>
            <w:hideMark/>
          </w:tcPr>
          <w:p w14:paraId="44B8776A" w14:textId="1A4F5D50"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15.1 </w:t>
            </w:r>
          </w:p>
        </w:tc>
        <w:tc>
          <w:tcPr>
            <w:tcW w:w="2126" w:type="dxa"/>
            <w:tcBorders>
              <w:top w:val="single" w:sz="6" w:space="0" w:color="auto"/>
              <w:left w:val="single" w:sz="6" w:space="0" w:color="auto"/>
              <w:bottom w:val="single" w:sz="6" w:space="0" w:color="auto"/>
              <w:right w:val="single" w:sz="6" w:space="0" w:color="auto"/>
            </w:tcBorders>
            <w:shd w:val="clear" w:color="auto" w:fill="DDF1F3"/>
            <w:hideMark/>
          </w:tcPr>
          <w:p w14:paraId="73CA00EF" w14:textId="71BB7976"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66.7 </w:t>
            </w:r>
          </w:p>
        </w:tc>
        <w:tc>
          <w:tcPr>
            <w:tcW w:w="1946" w:type="dxa"/>
            <w:tcBorders>
              <w:top w:val="single" w:sz="6" w:space="0" w:color="auto"/>
              <w:left w:val="single" w:sz="6" w:space="0" w:color="auto"/>
              <w:bottom w:val="single" w:sz="6" w:space="0" w:color="auto"/>
              <w:right w:val="single" w:sz="6" w:space="0" w:color="auto"/>
            </w:tcBorders>
            <w:shd w:val="clear" w:color="auto" w:fill="DDF1F3"/>
            <w:hideMark/>
          </w:tcPr>
          <w:p w14:paraId="2792D274" w14:textId="402FA34D"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60.5 </w:t>
            </w:r>
          </w:p>
        </w:tc>
      </w:tr>
      <w:tr w:rsidR="00F86BAD" w:rsidRPr="000D4D7C" w14:paraId="124FD1D5" w14:textId="77777777" w:rsidTr="00FF014E">
        <w:trPr>
          <w:trHeight w:val="315"/>
        </w:trPr>
        <w:tc>
          <w:tcPr>
            <w:tcW w:w="1407"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2E57209"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Sevenoaks  </w:t>
            </w:r>
          </w:p>
        </w:tc>
        <w:tc>
          <w:tcPr>
            <w:tcW w:w="1789" w:type="dxa"/>
            <w:tcBorders>
              <w:top w:val="single" w:sz="6" w:space="0" w:color="auto"/>
              <w:left w:val="single" w:sz="6" w:space="0" w:color="auto"/>
              <w:bottom w:val="single" w:sz="6" w:space="0" w:color="auto"/>
              <w:right w:val="single" w:sz="6" w:space="0" w:color="auto"/>
            </w:tcBorders>
            <w:shd w:val="clear" w:color="auto" w:fill="DDF1F3"/>
            <w:hideMark/>
          </w:tcPr>
          <w:p w14:paraId="07549060" w14:textId="7E98A18D"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7.6 </w:t>
            </w:r>
          </w:p>
        </w:tc>
        <w:tc>
          <w:tcPr>
            <w:tcW w:w="1774" w:type="dxa"/>
            <w:tcBorders>
              <w:top w:val="single" w:sz="6" w:space="0" w:color="auto"/>
              <w:left w:val="single" w:sz="6" w:space="0" w:color="auto"/>
              <w:bottom w:val="single" w:sz="6" w:space="0" w:color="auto"/>
              <w:right w:val="single" w:sz="6" w:space="0" w:color="auto"/>
            </w:tcBorders>
            <w:shd w:val="clear" w:color="auto" w:fill="DDF1F3"/>
            <w:hideMark/>
          </w:tcPr>
          <w:p w14:paraId="523362D4" w14:textId="407AA398"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6.4 </w:t>
            </w:r>
          </w:p>
        </w:tc>
        <w:tc>
          <w:tcPr>
            <w:tcW w:w="2126" w:type="dxa"/>
            <w:tcBorders>
              <w:top w:val="single" w:sz="6" w:space="0" w:color="auto"/>
              <w:left w:val="single" w:sz="6" w:space="0" w:color="auto"/>
              <w:bottom w:val="single" w:sz="6" w:space="0" w:color="auto"/>
              <w:right w:val="single" w:sz="6" w:space="0" w:color="auto"/>
            </w:tcBorders>
            <w:shd w:val="clear" w:color="auto" w:fill="DDF1F3"/>
            <w:hideMark/>
          </w:tcPr>
          <w:p w14:paraId="18634273" w14:textId="3BE2E459"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68.8 </w:t>
            </w:r>
          </w:p>
        </w:tc>
        <w:tc>
          <w:tcPr>
            <w:tcW w:w="1946" w:type="dxa"/>
            <w:tcBorders>
              <w:top w:val="single" w:sz="6" w:space="0" w:color="auto"/>
              <w:left w:val="single" w:sz="6" w:space="0" w:color="auto"/>
              <w:bottom w:val="single" w:sz="6" w:space="0" w:color="auto"/>
              <w:right w:val="single" w:sz="6" w:space="0" w:color="auto"/>
            </w:tcBorders>
            <w:shd w:val="clear" w:color="auto" w:fill="DDF1F3"/>
            <w:hideMark/>
          </w:tcPr>
          <w:p w14:paraId="32F8EAAE" w14:textId="0A5EF3EA"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78.6 </w:t>
            </w:r>
          </w:p>
        </w:tc>
      </w:tr>
      <w:tr w:rsidR="00F86BAD" w:rsidRPr="000D4D7C" w14:paraId="74003446" w14:textId="77777777" w:rsidTr="00FF014E">
        <w:trPr>
          <w:trHeight w:val="300"/>
        </w:trPr>
        <w:tc>
          <w:tcPr>
            <w:tcW w:w="1407"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B3189D6"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Tonbridge and Malling  </w:t>
            </w:r>
          </w:p>
        </w:tc>
        <w:tc>
          <w:tcPr>
            <w:tcW w:w="1789" w:type="dxa"/>
            <w:tcBorders>
              <w:top w:val="single" w:sz="6" w:space="0" w:color="auto"/>
              <w:left w:val="single" w:sz="6" w:space="0" w:color="auto"/>
              <w:bottom w:val="single" w:sz="6" w:space="0" w:color="auto"/>
              <w:right w:val="single" w:sz="6" w:space="0" w:color="auto"/>
            </w:tcBorders>
            <w:shd w:val="clear" w:color="auto" w:fill="DDF1F3"/>
            <w:hideMark/>
          </w:tcPr>
          <w:p w14:paraId="568185B9" w14:textId="77C019B8"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8.0 </w:t>
            </w:r>
          </w:p>
        </w:tc>
        <w:tc>
          <w:tcPr>
            <w:tcW w:w="1774" w:type="dxa"/>
            <w:tcBorders>
              <w:top w:val="single" w:sz="6" w:space="0" w:color="auto"/>
              <w:left w:val="single" w:sz="6" w:space="0" w:color="auto"/>
              <w:bottom w:val="single" w:sz="6" w:space="0" w:color="auto"/>
              <w:right w:val="single" w:sz="6" w:space="0" w:color="auto"/>
            </w:tcBorders>
            <w:shd w:val="clear" w:color="auto" w:fill="DDF1F3"/>
            <w:hideMark/>
          </w:tcPr>
          <w:p w14:paraId="41F3DFC6" w14:textId="1FA78D26"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10.0 </w:t>
            </w:r>
          </w:p>
        </w:tc>
        <w:tc>
          <w:tcPr>
            <w:tcW w:w="2126" w:type="dxa"/>
            <w:tcBorders>
              <w:top w:val="single" w:sz="6" w:space="0" w:color="auto"/>
              <w:left w:val="single" w:sz="6" w:space="0" w:color="auto"/>
              <w:bottom w:val="single" w:sz="6" w:space="0" w:color="auto"/>
              <w:right w:val="single" w:sz="6" w:space="0" w:color="auto"/>
            </w:tcBorders>
            <w:shd w:val="clear" w:color="auto" w:fill="DDF1F3"/>
            <w:hideMark/>
          </w:tcPr>
          <w:p w14:paraId="43DC9967" w14:textId="79DEB475"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36.8 </w:t>
            </w:r>
          </w:p>
        </w:tc>
        <w:tc>
          <w:tcPr>
            <w:tcW w:w="1946" w:type="dxa"/>
            <w:tcBorders>
              <w:top w:val="single" w:sz="6" w:space="0" w:color="auto"/>
              <w:left w:val="single" w:sz="6" w:space="0" w:color="auto"/>
              <w:bottom w:val="single" w:sz="6" w:space="0" w:color="auto"/>
              <w:right w:val="single" w:sz="6" w:space="0" w:color="auto"/>
            </w:tcBorders>
            <w:shd w:val="clear" w:color="auto" w:fill="DDF1F3"/>
            <w:hideMark/>
          </w:tcPr>
          <w:p w14:paraId="00F5E288" w14:textId="6FBDDB8C"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83.3 </w:t>
            </w:r>
          </w:p>
        </w:tc>
      </w:tr>
      <w:tr w:rsidR="00F86BAD" w:rsidRPr="000D4D7C" w14:paraId="107DAA0C" w14:textId="77777777" w:rsidTr="00FF014E">
        <w:trPr>
          <w:trHeight w:val="300"/>
        </w:trPr>
        <w:tc>
          <w:tcPr>
            <w:tcW w:w="1407"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6E25C77"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Tunbridge Wells   </w:t>
            </w:r>
          </w:p>
        </w:tc>
        <w:tc>
          <w:tcPr>
            <w:tcW w:w="1789" w:type="dxa"/>
            <w:tcBorders>
              <w:top w:val="single" w:sz="6" w:space="0" w:color="auto"/>
              <w:left w:val="single" w:sz="6" w:space="0" w:color="auto"/>
              <w:bottom w:val="single" w:sz="6" w:space="0" w:color="auto"/>
              <w:right w:val="single" w:sz="6" w:space="0" w:color="auto"/>
            </w:tcBorders>
            <w:shd w:val="clear" w:color="auto" w:fill="DDF1F3"/>
            <w:hideMark/>
          </w:tcPr>
          <w:p w14:paraId="750209FC" w14:textId="619C6B31"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11.9 </w:t>
            </w:r>
          </w:p>
        </w:tc>
        <w:tc>
          <w:tcPr>
            <w:tcW w:w="1774" w:type="dxa"/>
            <w:tcBorders>
              <w:top w:val="single" w:sz="6" w:space="0" w:color="auto"/>
              <w:left w:val="single" w:sz="6" w:space="0" w:color="auto"/>
              <w:bottom w:val="single" w:sz="6" w:space="0" w:color="auto"/>
              <w:right w:val="single" w:sz="6" w:space="0" w:color="auto"/>
            </w:tcBorders>
            <w:shd w:val="clear" w:color="auto" w:fill="DDF1F3"/>
            <w:hideMark/>
          </w:tcPr>
          <w:p w14:paraId="6A45F0B2" w14:textId="48C90ED7"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10.2 </w:t>
            </w:r>
          </w:p>
        </w:tc>
        <w:tc>
          <w:tcPr>
            <w:tcW w:w="2126" w:type="dxa"/>
            <w:tcBorders>
              <w:top w:val="single" w:sz="6" w:space="0" w:color="auto"/>
              <w:left w:val="single" w:sz="6" w:space="0" w:color="auto"/>
              <w:bottom w:val="single" w:sz="6" w:space="0" w:color="auto"/>
              <w:right w:val="single" w:sz="6" w:space="0" w:color="auto"/>
            </w:tcBorders>
            <w:shd w:val="clear" w:color="auto" w:fill="DDF1F3"/>
            <w:hideMark/>
          </w:tcPr>
          <w:p w14:paraId="182FC917" w14:textId="644B385A"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60.7 </w:t>
            </w:r>
          </w:p>
        </w:tc>
        <w:tc>
          <w:tcPr>
            <w:tcW w:w="1946" w:type="dxa"/>
            <w:tcBorders>
              <w:top w:val="single" w:sz="6" w:space="0" w:color="auto"/>
              <w:left w:val="single" w:sz="6" w:space="0" w:color="auto"/>
              <w:bottom w:val="single" w:sz="6" w:space="0" w:color="auto"/>
              <w:right w:val="single" w:sz="6" w:space="0" w:color="auto"/>
            </w:tcBorders>
            <w:shd w:val="clear" w:color="auto" w:fill="DDF1F3"/>
            <w:hideMark/>
          </w:tcPr>
          <w:p w14:paraId="7C422475" w14:textId="34BDC444"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56.0 </w:t>
            </w:r>
          </w:p>
        </w:tc>
      </w:tr>
      <w:tr w:rsidR="00F86BAD" w:rsidRPr="000D4D7C" w14:paraId="5A474452" w14:textId="77777777" w:rsidTr="00FF014E">
        <w:trPr>
          <w:trHeight w:val="300"/>
        </w:trPr>
        <w:tc>
          <w:tcPr>
            <w:tcW w:w="1407"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FF1467B"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Kent  </w:t>
            </w:r>
          </w:p>
        </w:tc>
        <w:tc>
          <w:tcPr>
            <w:tcW w:w="1789" w:type="dxa"/>
            <w:tcBorders>
              <w:top w:val="single" w:sz="6" w:space="0" w:color="auto"/>
              <w:left w:val="single" w:sz="6" w:space="0" w:color="auto"/>
              <w:bottom w:val="single" w:sz="6" w:space="0" w:color="auto"/>
              <w:right w:val="single" w:sz="6" w:space="0" w:color="auto"/>
            </w:tcBorders>
            <w:shd w:val="clear" w:color="auto" w:fill="DDF1F3"/>
            <w:hideMark/>
          </w:tcPr>
          <w:p w14:paraId="2629B866" w14:textId="6F1F29EF"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17.1 </w:t>
            </w:r>
          </w:p>
        </w:tc>
        <w:tc>
          <w:tcPr>
            <w:tcW w:w="1774" w:type="dxa"/>
            <w:tcBorders>
              <w:top w:val="single" w:sz="6" w:space="0" w:color="auto"/>
              <w:left w:val="single" w:sz="6" w:space="0" w:color="auto"/>
              <w:bottom w:val="single" w:sz="6" w:space="0" w:color="auto"/>
              <w:right w:val="single" w:sz="6" w:space="0" w:color="auto"/>
            </w:tcBorders>
            <w:shd w:val="clear" w:color="auto" w:fill="DDF1F3"/>
            <w:hideMark/>
          </w:tcPr>
          <w:p w14:paraId="2993E11F" w14:textId="1998AFBC"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14.0 </w:t>
            </w:r>
          </w:p>
        </w:tc>
        <w:tc>
          <w:tcPr>
            <w:tcW w:w="2126" w:type="dxa"/>
            <w:tcBorders>
              <w:top w:val="single" w:sz="6" w:space="0" w:color="auto"/>
              <w:left w:val="single" w:sz="6" w:space="0" w:color="auto"/>
              <w:bottom w:val="single" w:sz="6" w:space="0" w:color="auto"/>
              <w:right w:val="single" w:sz="6" w:space="0" w:color="auto"/>
            </w:tcBorders>
            <w:shd w:val="clear" w:color="auto" w:fill="DDF1F3"/>
            <w:hideMark/>
          </w:tcPr>
          <w:p w14:paraId="2930215A" w14:textId="119A8728"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51.8 </w:t>
            </w:r>
          </w:p>
        </w:tc>
        <w:tc>
          <w:tcPr>
            <w:tcW w:w="1946" w:type="dxa"/>
            <w:tcBorders>
              <w:top w:val="single" w:sz="6" w:space="0" w:color="auto"/>
              <w:left w:val="single" w:sz="6" w:space="0" w:color="auto"/>
              <w:bottom w:val="single" w:sz="6" w:space="0" w:color="auto"/>
              <w:right w:val="single" w:sz="6" w:space="0" w:color="auto"/>
            </w:tcBorders>
            <w:shd w:val="clear" w:color="auto" w:fill="DDF1F3"/>
            <w:hideMark/>
          </w:tcPr>
          <w:p w14:paraId="367C514A" w14:textId="703FC46C"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55.1 </w:t>
            </w:r>
          </w:p>
        </w:tc>
      </w:tr>
      <w:tr w:rsidR="00F86BAD" w:rsidRPr="000D4D7C" w14:paraId="0E731540" w14:textId="77777777" w:rsidTr="00FF014E">
        <w:trPr>
          <w:trHeight w:val="300"/>
        </w:trPr>
        <w:tc>
          <w:tcPr>
            <w:tcW w:w="1407"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B14DFB8"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England  </w:t>
            </w:r>
          </w:p>
        </w:tc>
        <w:tc>
          <w:tcPr>
            <w:tcW w:w="1789" w:type="dxa"/>
            <w:tcBorders>
              <w:top w:val="single" w:sz="6" w:space="0" w:color="auto"/>
              <w:left w:val="single" w:sz="6" w:space="0" w:color="auto"/>
              <w:bottom w:val="single" w:sz="6" w:space="0" w:color="auto"/>
              <w:right w:val="single" w:sz="6" w:space="0" w:color="auto"/>
            </w:tcBorders>
            <w:shd w:val="clear" w:color="auto" w:fill="DDF1F3"/>
            <w:hideMark/>
          </w:tcPr>
          <w:p w14:paraId="6AD77F31" w14:textId="595F5A98"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15.7 </w:t>
            </w:r>
          </w:p>
        </w:tc>
        <w:tc>
          <w:tcPr>
            <w:tcW w:w="1774" w:type="dxa"/>
            <w:tcBorders>
              <w:top w:val="single" w:sz="6" w:space="0" w:color="auto"/>
              <w:left w:val="single" w:sz="6" w:space="0" w:color="auto"/>
              <w:bottom w:val="single" w:sz="6" w:space="0" w:color="auto"/>
              <w:right w:val="single" w:sz="6" w:space="0" w:color="auto"/>
            </w:tcBorders>
            <w:shd w:val="clear" w:color="auto" w:fill="DDF1F3"/>
            <w:hideMark/>
          </w:tcPr>
          <w:p w14:paraId="683763A0" w14:textId="3A2360B2"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13.0 </w:t>
            </w:r>
          </w:p>
        </w:tc>
        <w:tc>
          <w:tcPr>
            <w:tcW w:w="2126" w:type="dxa"/>
            <w:tcBorders>
              <w:top w:val="single" w:sz="6" w:space="0" w:color="auto"/>
              <w:left w:val="single" w:sz="6" w:space="0" w:color="auto"/>
              <w:bottom w:val="single" w:sz="6" w:space="0" w:color="auto"/>
              <w:right w:val="single" w:sz="6" w:space="0" w:color="auto"/>
            </w:tcBorders>
            <w:shd w:val="clear" w:color="auto" w:fill="DDF1F3"/>
            <w:hideMark/>
          </w:tcPr>
          <w:p w14:paraId="2FF5CF76" w14:textId="7A416095"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54.7 </w:t>
            </w:r>
          </w:p>
        </w:tc>
        <w:tc>
          <w:tcPr>
            <w:tcW w:w="1946" w:type="dxa"/>
            <w:tcBorders>
              <w:top w:val="single" w:sz="6" w:space="0" w:color="auto"/>
              <w:left w:val="single" w:sz="6" w:space="0" w:color="auto"/>
              <w:bottom w:val="single" w:sz="6" w:space="0" w:color="auto"/>
              <w:right w:val="single" w:sz="6" w:space="0" w:color="auto"/>
            </w:tcBorders>
            <w:shd w:val="clear" w:color="auto" w:fill="DDF1F3"/>
            <w:hideMark/>
          </w:tcPr>
          <w:p w14:paraId="0424AFA6" w14:textId="39231EC1"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53.0 </w:t>
            </w:r>
          </w:p>
        </w:tc>
      </w:tr>
    </w:tbl>
    <w:p w14:paraId="67CFEE22" w14:textId="77777777" w:rsidR="00F86BAD" w:rsidRPr="000D4D7C" w:rsidRDefault="00F86BAD" w:rsidP="00A17E03">
      <w:pPr>
        <w:pStyle w:val="Heading2"/>
        <w:rPr>
          <w:rFonts w:eastAsia="Times New Roman"/>
        </w:rPr>
      </w:pPr>
      <w:bookmarkStart w:id="143" w:name="_Toc128133846"/>
      <w:r w:rsidRPr="305ECFD1">
        <w:rPr>
          <w:rFonts w:eastAsia="Times New Roman"/>
        </w:rPr>
        <w:t>Contraceptives</w:t>
      </w:r>
      <w:bookmarkEnd w:id="143"/>
      <w:r w:rsidRPr="305ECFD1">
        <w:rPr>
          <w:rFonts w:eastAsia="Times New Roman"/>
        </w:rPr>
        <w:t> </w:t>
      </w:r>
    </w:p>
    <w:p w14:paraId="2EEF7382" w14:textId="6E514C02" w:rsidR="00F86BAD" w:rsidRPr="000D4D7C" w:rsidRDefault="00F86BAD" w:rsidP="00A17E03">
      <w:pPr>
        <w:spacing w:after="0" w:line="240" w:lineRule="auto"/>
        <w:textAlignment w:val="baseline"/>
        <w:rPr>
          <w:rFonts w:ascii="Calibri" w:eastAsia="Times New Roman" w:hAnsi="Calibri" w:cs="Calibri"/>
        </w:rPr>
      </w:pPr>
      <w:r w:rsidRPr="32F7F25D">
        <w:rPr>
          <w:rFonts w:ascii="Calibri" w:eastAsia="Times New Roman" w:hAnsi="Calibri" w:cs="Calibri"/>
        </w:rPr>
        <w:t xml:space="preserve">Access to long-acting reversible contraception (LARC) fittings and removals were impacted during the </w:t>
      </w:r>
      <w:r w:rsidRPr="005209F3">
        <w:rPr>
          <w:rFonts w:ascii="Calibri" w:eastAsia="Times New Roman" w:hAnsi="Calibri" w:cs="Calibri"/>
        </w:rPr>
        <w:t xml:space="preserve">pandemic </w:t>
      </w:r>
      <w:bookmarkStart w:id="144" w:name="_Hlk127283256"/>
      <w:r w:rsidRPr="005209F3">
        <w:rPr>
          <w:rFonts w:ascii="Calibri" w:eastAsia="Times New Roman" w:hAnsi="Calibri" w:cs="Calibri"/>
        </w:rPr>
        <w:t>nationally</w:t>
      </w:r>
      <w:bookmarkEnd w:id="144"/>
      <w:r w:rsidR="005209F3" w:rsidRPr="005209F3">
        <w:t xml:space="preserve">, according to the </w:t>
      </w:r>
      <w:hyperlink r:id="rId134" w:anchor="background">
        <w:r w:rsidR="005209F3" w:rsidRPr="740CDBE4">
          <w:rPr>
            <w:rStyle w:val="Hyperlink"/>
          </w:rPr>
          <w:t>Nuffield Trust statistics on teenage pregnancy</w:t>
        </w:r>
      </w:hyperlink>
      <w:r w:rsidR="005209F3" w:rsidRPr="005209F3">
        <w:t>,</w:t>
      </w:r>
      <w:r w:rsidRPr="32F7F25D">
        <w:rPr>
          <w:rFonts w:ascii="Calibri" w:eastAsia="Times New Roman" w:hAnsi="Calibri" w:cs="Calibri"/>
        </w:rPr>
        <w:t xml:space="preserve"> as well as locally and it is </w:t>
      </w:r>
      <w:bookmarkStart w:id="145" w:name="_Int_NXiKhQ50"/>
      <w:r w:rsidRPr="32F7F25D">
        <w:rPr>
          <w:rFonts w:ascii="Calibri" w:eastAsia="Times New Roman" w:hAnsi="Calibri" w:cs="Calibri"/>
        </w:rPr>
        <w:t>possible people</w:t>
      </w:r>
      <w:bookmarkEnd w:id="145"/>
      <w:r w:rsidRPr="32F7F25D">
        <w:rPr>
          <w:rFonts w:ascii="Calibri" w:eastAsia="Times New Roman" w:hAnsi="Calibri" w:cs="Calibri"/>
        </w:rPr>
        <w:t xml:space="preserve"> may have avoided testing or seeking contraception due to a fear of contracting COVID-19 or the pandemic may have resulted in a change in sexual behaviours. GPs are mostly responsible for prescribing contraceptives. In 2020 the rate of GP prescribed LARC decreased across all districts in West Kent. Tonbridge and Malling had the greatest decline in LARC prescriptions (49.3 per 1,000 females aged 15-44 in 2019 declined to 36.7 in 2020), whilst Sevenoaks had the least (27.1 in 2019 and 24.2 in 2020) (Table 1</w:t>
      </w:r>
      <w:r w:rsidR="00910CB8">
        <w:rPr>
          <w:rFonts w:ascii="Calibri" w:eastAsia="Times New Roman" w:hAnsi="Calibri" w:cs="Calibri"/>
        </w:rPr>
        <w:t>7</w:t>
      </w:r>
      <w:r w:rsidRPr="32F7F25D">
        <w:rPr>
          <w:rFonts w:ascii="Calibri" w:eastAsia="Times New Roman" w:hAnsi="Calibri" w:cs="Calibri"/>
        </w:rPr>
        <w:t>)</w:t>
      </w:r>
      <w:r w:rsidR="005209F3">
        <w:rPr>
          <w:rFonts w:ascii="Calibri" w:eastAsia="Times New Roman" w:hAnsi="Calibri" w:cs="Calibri"/>
        </w:rPr>
        <w:t xml:space="preserve">. </w:t>
      </w:r>
    </w:p>
    <w:p w14:paraId="234EE035" w14:textId="422EFE17" w:rsidR="005209F3" w:rsidRDefault="00F86BAD" w:rsidP="00A17E03">
      <w:pPr>
        <w:spacing w:after="0" w:line="240" w:lineRule="auto"/>
        <w:textAlignment w:val="baseline"/>
        <w:rPr>
          <w:rFonts w:ascii="Calibri" w:eastAsia="Times New Roman" w:hAnsi="Calibri" w:cs="Calibri"/>
        </w:rPr>
      </w:pPr>
      <w:r w:rsidRPr="32F7F25D">
        <w:rPr>
          <w:rFonts w:ascii="Calibri" w:eastAsia="Times New Roman" w:hAnsi="Calibri" w:cs="Calibri"/>
        </w:rPr>
        <w:t>Amongst women living in West Kent, user-dependent methods of contraception are the most common, with 49.5% of women in Sevenoaks attending Sexual &amp; Reproductive Health services choosing this method of contraception over others. Injections were the least commonly used method of contraception (Table 1</w:t>
      </w:r>
      <w:r w:rsidR="00926016">
        <w:rPr>
          <w:rFonts w:ascii="Calibri" w:eastAsia="Times New Roman" w:hAnsi="Calibri" w:cs="Calibri"/>
        </w:rPr>
        <w:t>8</w:t>
      </w:r>
      <w:r w:rsidRPr="32F7F25D">
        <w:rPr>
          <w:rFonts w:ascii="Calibri" w:eastAsia="Times New Roman" w:hAnsi="Calibri" w:cs="Calibri"/>
        </w:rPr>
        <w:t>).</w:t>
      </w:r>
    </w:p>
    <w:p w14:paraId="4BDD73A3" w14:textId="77777777" w:rsidR="00D52BBD" w:rsidRDefault="00D52BBD">
      <w:pPr>
        <w:spacing w:before="0" w:after="200"/>
        <w:rPr>
          <w:rFonts w:ascii="Calibri" w:eastAsia="Times New Roman" w:hAnsi="Calibri" w:cs="Calibri"/>
          <w:b/>
          <w:bCs/>
        </w:rPr>
      </w:pPr>
      <w:r>
        <w:rPr>
          <w:rFonts w:ascii="Calibri" w:eastAsia="Times New Roman" w:hAnsi="Calibri" w:cs="Calibri"/>
          <w:b/>
          <w:bCs/>
        </w:rPr>
        <w:br w:type="page"/>
      </w:r>
    </w:p>
    <w:p w14:paraId="332EFDF2" w14:textId="21F19492" w:rsidR="00F86BAD" w:rsidRPr="000D4D7C" w:rsidRDefault="005209F3" w:rsidP="00A17E03">
      <w:pPr>
        <w:spacing w:after="0" w:line="240" w:lineRule="auto"/>
        <w:textAlignment w:val="baseline"/>
        <w:rPr>
          <w:rFonts w:ascii="Segoe UI" w:eastAsia="Times New Roman" w:hAnsi="Segoe UI" w:cs="Segoe UI"/>
          <w:sz w:val="18"/>
          <w:szCs w:val="18"/>
        </w:rPr>
      </w:pPr>
      <w:r w:rsidRPr="32F7F25D">
        <w:rPr>
          <w:rFonts w:ascii="Calibri" w:eastAsia="Times New Roman" w:hAnsi="Calibri" w:cs="Calibri"/>
          <w:b/>
          <w:bCs/>
        </w:rPr>
        <w:lastRenderedPageBreak/>
        <w:t>Table 1</w:t>
      </w:r>
      <w:r>
        <w:rPr>
          <w:rFonts w:ascii="Calibri" w:eastAsia="Times New Roman" w:hAnsi="Calibri" w:cs="Calibri"/>
          <w:b/>
          <w:bCs/>
        </w:rPr>
        <w:t>7</w:t>
      </w:r>
      <w:r w:rsidRPr="32F7F25D">
        <w:rPr>
          <w:rFonts w:ascii="Calibri" w:eastAsia="Times New Roman" w:hAnsi="Calibri" w:cs="Calibri"/>
          <w:b/>
          <w:bCs/>
        </w:rPr>
        <w:t xml:space="preserve"> </w:t>
      </w:r>
      <w:bookmarkStart w:id="146" w:name="_Int_dTybIVkR"/>
      <w:r w:rsidRPr="32F7F25D">
        <w:rPr>
          <w:rFonts w:ascii="Calibri" w:eastAsia="Times New Roman" w:hAnsi="Calibri" w:cs="Calibri"/>
          <w:b/>
          <w:bCs/>
        </w:rPr>
        <w:t>LARCs</w:t>
      </w:r>
      <w:bookmarkEnd w:id="146"/>
      <w:r w:rsidRPr="32F7F25D">
        <w:rPr>
          <w:rFonts w:ascii="Calibri" w:eastAsia="Times New Roman" w:hAnsi="Calibri" w:cs="Calibri"/>
          <w:b/>
          <w:bCs/>
        </w:rPr>
        <w:t xml:space="preserve"> (excluding injections) prescribes at GP surgeries by district, in 2019 and 2020</w:t>
      </w:r>
      <w:r w:rsidRPr="32F7F25D">
        <w:rPr>
          <w:rFonts w:ascii="Calibri" w:eastAsia="Times New Roman" w:hAnsi="Calibri" w:cs="Calibri"/>
        </w:rPr>
        <w:t>  </w:t>
      </w:r>
    </w:p>
    <w:tbl>
      <w:tblPr>
        <w:tblW w:w="898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74"/>
        <w:gridCol w:w="3006"/>
        <w:gridCol w:w="3006"/>
      </w:tblGrid>
      <w:tr w:rsidR="00F86BAD" w:rsidRPr="000D4D7C" w14:paraId="1822DD3E" w14:textId="77777777" w:rsidTr="00741E6F">
        <w:trPr>
          <w:trHeight w:val="553"/>
        </w:trPr>
        <w:tc>
          <w:tcPr>
            <w:tcW w:w="2974"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2CD0FDD7" w14:textId="77777777" w:rsidR="00F86BAD" w:rsidRPr="00741E6F" w:rsidRDefault="00F86BAD" w:rsidP="00A17E03">
            <w:pPr>
              <w:spacing w:after="0" w:line="240" w:lineRule="auto"/>
              <w:textAlignment w:val="baseline"/>
              <w:rPr>
                <w:rFonts w:ascii="Times New Roman" w:eastAsia="Times New Roman" w:hAnsi="Times New Roman" w:cs="Times New Roman"/>
                <w:color w:val="FFFFFF" w:themeColor="background1"/>
              </w:rPr>
            </w:pPr>
            <w:r w:rsidRPr="00741E6F">
              <w:rPr>
                <w:rFonts w:ascii="Calibri" w:eastAsia="Times New Roman" w:hAnsi="Calibri" w:cs="Calibri"/>
                <w:b/>
                <w:bCs/>
                <w:color w:val="FFFFFF" w:themeColor="background1"/>
              </w:rPr>
              <w:t>District </w:t>
            </w:r>
            <w:r w:rsidRPr="00741E6F">
              <w:rPr>
                <w:rFonts w:ascii="Calibri" w:eastAsia="Times New Roman" w:hAnsi="Calibri" w:cs="Calibri"/>
                <w:color w:val="FFFFFF" w:themeColor="background1"/>
              </w:rPr>
              <w:t> </w:t>
            </w:r>
          </w:p>
        </w:tc>
        <w:tc>
          <w:tcPr>
            <w:tcW w:w="3006"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68A6DB2C" w14:textId="77777777" w:rsidR="00F86BAD" w:rsidRPr="00741E6F" w:rsidRDefault="00F86BAD" w:rsidP="00A17E03">
            <w:pPr>
              <w:spacing w:after="0" w:line="240" w:lineRule="auto"/>
              <w:textAlignment w:val="baseline"/>
              <w:rPr>
                <w:rFonts w:ascii="Times New Roman" w:eastAsia="Times New Roman" w:hAnsi="Times New Roman" w:cs="Times New Roman"/>
                <w:color w:val="FFFFFF" w:themeColor="background1"/>
              </w:rPr>
            </w:pPr>
            <w:r w:rsidRPr="00741E6F">
              <w:rPr>
                <w:rFonts w:ascii="Calibri" w:eastAsia="Times New Roman" w:hAnsi="Calibri" w:cs="Calibri"/>
                <w:b/>
                <w:bCs/>
                <w:color w:val="FFFFFF" w:themeColor="background1"/>
              </w:rPr>
              <w:t>GP prescribed LARC, rate per 1,000 females aged 15-44 </w:t>
            </w:r>
            <w:r w:rsidRPr="00741E6F">
              <w:rPr>
                <w:rFonts w:ascii="Calibri" w:eastAsia="Times New Roman" w:hAnsi="Calibri" w:cs="Calibri"/>
                <w:color w:val="FFFFFF" w:themeColor="background1"/>
              </w:rPr>
              <w:t> </w:t>
            </w:r>
            <w:r w:rsidRPr="00741E6F">
              <w:rPr>
                <w:rFonts w:ascii="Calibri" w:eastAsia="Times New Roman" w:hAnsi="Calibri" w:cs="Calibri"/>
                <w:color w:val="FFFFFF" w:themeColor="background1"/>
              </w:rPr>
              <w:br/>
            </w:r>
            <w:r w:rsidRPr="00741E6F">
              <w:rPr>
                <w:rFonts w:ascii="Calibri" w:eastAsia="Times New Roman" w:hAnsi="Calibri" w:cs="Calibri"/>
                <w:b/>
                <w:bCs/>
                <w:color w:val="FFFFFF" w:themeColor="background1"/>
              </w:rPr>
              <w:t>2019 </w:t>
            </w:r>
            <w:r w:rsidRPr="00741E6F">
              <w:rPr>
                <w:rFonts w:ascii="Calibri" w:eastAsia="Times New Roman" w:hAnsi="Calibri" w:cs="Calibri"/>
                <w:color w:val="FFFFFF" w:themeColor="background1"/>
              </w:rPr>
              <w:t> </w:t>
            </w:r>
          </w:p>
        </w:tc>
        <w:tc>
          <w:tcPr>
            <w:tcW w:w="3006"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64331E6B" w14:textId="77777777" w:rsidR="00F86BAD" w:rsidRPr="00741E6F" w:rsidRDefault="00F86BAD" w:rsidP="00A17E03">
            <w:pPr>
              <w:spacing w:after="0" w:line="240" w:lineRule="auto"/>
              <w:textAlignment w:val="baseline"/>
              <w:rPr>
                <w:rFonts w:ascii="Times New Roman" w:eastAsia="Times New Roman" w:hAnsi="Times New Roman" w:cs="Times New Roman"/>
                <w:color w:val="FFFFFF" w:themeColor="background1"/>
              </w:rPr>
            </w:pPr>
            <w:r w:rsidRPr="00741E6F">
              <w:rPr>
                <w:rFonts w:ascii="Calibri" w:eastAsia="Times New Roman" w:hAnsi="Calibri" w:cs="Calibri"/>
                <w:b/>
                <w:bCs/>
                <w:color w:val="FFFFFF" w:themeColor="background1"/>
              </w:rPr>
              <w:t>GP prescribed LARC, rate per 1,000 females aged 15-44 </w:t>
            </w:r>
            <w:r w:rsidRPr="00741E6F">
              <w:rPr>
                <w:rFonts w:ascii="Calibri" w:eastAsia="Times New Roman" w:hAnsi="Calibri" w:cs="Calibri"/>
                <w:color w:val="FFFFFF" w:themeColor="background1"/>
              </w:rPr>
              <w:t> </w:t>
            </w:r>
            <w:r w:rsidRPr="00741E6F">
              <w:rPr>
                <w:rFonts w:ascii="Calibri" w:eastAsia="Times New Roman" w:hAnsi="Calibri" w:cs="Calibri"/>
                <w:color w:val="FFFFFF" w:themeColor="background1"/>
              </w:rPr>
              <w:br/>
            </w:r>
            <w:r w:rsidRPr="00741E6F">
              <w:rPr>
                <w:rFonts w:ascii="Calibri" w:eastAsia="Times New Roman" w:hAnsi="Calibri" w:cs="Calibri"/>
                <w:b/>
                <w:bCs/>
                <w:color w:val="FFFFFF" w:themeColor="background1"/>
              </w:rPr>
              <w:t>2020 </w:t>
            </w:r>
            <w:r w:rsidRPr="00741E6F">
              <w:rPr>
                <w:rFonts w:ascii="Calibri" w:eastAsia="Times New Roman" w:hAnsi="Calibri" w:cs="Calibri"/>
                <w:color w:val="FFFFFF" w:themeColor="background1"/>
              </w:rPr>
              <w:t> </w:t>
            </w:r>
          </w:p>
        </w:tc>
      </w:tr>
      <w:tr w:rsidR="00F86BAD" w:rsidRPr="000D4D7C" w14:paraId="6D61E863" w14:textId="77777777" w:rsidTr="00741E6F">
        <w:trPr>
          <w:trHeight w:val="184"/>
        </w:trPr>
        <w:tc>
          <w:tcPr>
            <w:tcW w:w="2974"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C8E5C5B"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Maidstone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C79D7D0" w14:textId="135F97E0"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color w:val="000000"/>
                <w:sz w:val="21"/>
                <w:szCs w:val="21"/>
              </w:rPr>
              <w:t>41.5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9592EB6" w14:textId="555223F9"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32.1 </w:t>
            </w:r>
          </w:p>
        </w:tc>
      </w:tr>
      <w:tr w:rsidR="00F86BAD" w:rsidRPr="000D4D7C" w14:paraId="4B8B3D95" w14:textId="77777777" w:rsidTr="00741E6F">
        <w:trPr>
          <w:trHeight w:val="322"/>
        </w:trPr>
        <w:tc>
          <w:tcPr>
            <w:tcW w:w="2974"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601D09EF"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Sevenoaks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5130C49" w14:textId="4B3AD8C1"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color w:val="000000"/>
                <w:sz w:val="21"/>
                <w:szCs w:val="21"/>
              </w:rPr>
              <w:t>27.1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6CB2D07" w14:textId="2B9A4107"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24.2 </w:t>
            </w:r>
          </w:p>
        </w:tc>
      </w:tr>
      <w:tr w:rsidR="00F86BAD" w:rsidRPr="000D4D7C" w14:paraId="01AF4ADB" w14:textId="77777777" w:rsidTr="00741E6F">
        <w:trPr>
          <w:trHeight w:val="307"/>
        </w:trPr>
        <w:tc>
          <w:tcPr>
            <w:tcW w:w="2974"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7C66761"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Tonbridge and Malling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178BD71" w14:textId="57BD6602"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color w:val="000000"/>
                <w:sz w:val="21"/>
                <w:szCs w:val="21"/>
              </w:rPr>
              <w:t>49.3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200883A6" w14:textId="17FF4AF9"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36.7 </w:t>
            </w:r>
          </w:p>
        </w:tc>
      </w:tr>
      <w:tr w:rsidR="00F86BAD" w:rsidRPr="000D4D7C" w14:paraId="0FE73E36" w14:textId="77777777" w:rsidTr="00741E6F">
        <w:trPr>
          <w:trHeight w:val="307"/>
        </w:trPr>
        <w:tc>
          <w:tcPr>
            <w:tcW w:w="2974"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CD754FA"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Tunbridge Wells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2BE3D51D" w14:textId="37EBE9AE"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color w:val="000000"/>
                <w:sz w:val="21"/>
                <w:szCs w:val="21"/>
              </w:rPr>
              <w:t>52.7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E737F4B" w14:textId="70708D07"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41.5 </w:t>
            </w:r>
          </w:p>
        </w:tc>
      </w:tr>
      <w:tr w:rsidR="00F86BAD" w:rsidRPr="000D4D7C" w14:paraId="6EC7DA07" w14:textId="77777777" w:rsidTr="00741E6F">
        <w:trPr>
          <w:trHeight w:val="307"/>
        </w:trPr>
        <w:tc>
          <w:tcPr>
            <w:tcW w:w="2974"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54A488D"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Kent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DCE2621" w14:textId="28DF3710"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37.2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6899C92E" w14:textId="16501B7C"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25.8 </w:t>
            </w:r>
          </w:p>
        </w:tc>
      </w:tr>
      <w:tr w:rsidR="00F86BAD" w:rsidRPr="000D4D7C" w14:paraId="0241E64C" w14:textId="77777777" w:rsidTr="00741E6F">
        <w:trPr>
          <w:trHeight w:val="307"/>
        </w:trPr>
        <w:tc>
          <w:tcPr>
            <w:tcW w:w="2974"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404231A"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England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2DC346EE" w14:textId="1A3B2024"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30.0 </w:t>
            </w:r>
          </w:p>
        </w:tc>
        <w:tc>
          <w:tcPr>
            <w:tcW w:w="300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784F1ED" w14:textId="694CD27A"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21.1 </w:t>
            </w:r>
          </w:p>
        </w:tc>
      </w:tr>
    </w:tbl>
    <w:p w14:paraId="4F35DDC7" w14:textId="77777777" w:rsidR="00741E6F" w:rsidRDefault="00741E6F" w:rsidP="00A17E03">
      <w:pPr>
        <w:spacing w:after="0" w:line="240" w:lineRule="auto"/>
        <w:textAlignment w:val="baseline"/>
        <w:rPr>
          <w:rFonts w:ascii="Calibri" w:eastAsia="Times New Roman" w:hAnsi="Calibri" w:cs="Calibri"/>
          <w:b/>
          <w:bCs/>
          <w:color w:val="000000"/>
          <w:shd w:val="clear" w:color="auto" w:fill="FFFFFF"/>
        </w:rPr>
      </w:pPr>
    </w:p>
    <w:p w14:paraId="0A0B8E19" w14:textId="708C3E10" w:rsidR="00F86BAD" w:rsidRPr="000D4D7C" w:rsidRDefault="00320C4F" w:rsidP="00A17E03">
      <w:pPr>
        <w:spacing w:after="0" w:line="240" w:lineRule="auto"/>
        <w:textAlignment w:val="baseline"/>
        <w:rPr>
          <w:rFonts w:ascii="Segoe UI" w:eastAsia="Times New Roman" w:hAnsi="Segoe UI" w:cs="Segoe UI"/>
          <w:sz w:val="18"/>
          <w:szCs w:val="18"/>
        </w:rPr>
      </w:pPr>
      <w:r w:rsidRPr="000D4D7C">
        <w:rPr>
          <w:rFonts w:ascii="Calibri" w:eastAsia="Times New Roman" w:hAnsi="Calibri" w:cs="Calibri"/>
          <w:b/>
          <w:bCs/>
          <w:color w:val="000000"/>
          <w:shd w:val="clear" w:color="auto" w:fill="FFFFFF"/>
        </w:rPr>
        <w:t>Table 1</w:t>
      </w:r>
      <w:r>
        <w:rPr>
          <w:rFonts w:ascii="Calibri" w:eastAsia="Times New Roman" w:hAnsi="Calibri" w:cs="Calibri"/>
          <w:b/>
          <w:bCs/>
          <w:color w:val="000000"/>
          <w:shd w:val="clear" w:color="auto" w:fill="FFFFFF"/>
        </w:rPr>
        <w:t>8</w:t>
      </w:r>
      <w:r w:rsidRPr="000D4D7C">
        <w:rPr>
          <w:rFonts w:ascii="Calibri" w:eastAsia="Times New Roman" w:hAnsi="Calibri" w:cs="Calibri"/>
          <w:b/>
          <w:bCs/>
          <w:color w:val="000000"/>
          <w:shd w:val="clear" w:color="auto" w:fill="FFFFFF"/>
        </w:rPr>
        <w:t xml:space="preserve"> Preferred method of contraception amongst women by district, 2020</w:t>
      </w:r>
      <w:r w:rsidRPr="000D4D7C">
        <w:rPr>
          <w:rFonts w:ascii="Calibri" w:eastAsia="Times New Roman" w:hAnsi="Calibri" w:cs="Calibri"/>
          <w:color w:val="000000"/>
          <w:shd w:val="clear" w:color="auto" w:fill="FFFFFF"/>
        </w:rPr>
        <w:t> </w:t>
      </w:r>
      <w:r w:rsidRPr="000D4D7C">
        <w:rPr>
          <w:rFonts w:ascii="Calibri" w:eastAsia="Times New Roman" w:hAnsi="Calibri" w:cs="Calibri"/>
          <w:color w:val="000000"/>
        </w:rPr>
        <w:t> </w:t>
      </w:r>
    </w:p>
    <w:tbl>
      <w:tblPr>
        <w:tblW w:w="899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93"/>
        <w:gridCol w:w="1843"/>
        <w:gridCol w:w="2515"/>
        <w:gridCol w:w="2646"/>
      </w:tblGrid>
      <w:tr w:rsidR="00F86BAD" w:rsidRPr="000D4D7C" w14:paraId="0DEEE825" w14:textId="77777777" w:rsidTr="00741E6F">
        <w:trPr>
          <w:trHeight w:val="937"/>
        </w:trPr>
        <w:tc>
          <w:tcPr>
            <w:tcW w:w="1993"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7856FCB7" w14:textId="77777777" w:rsidR="00F86BAD" w:rsidRPr="00741E6F" w:rsidRDefault="00F86BAD" w:rsidP="00A17E03">
            <w:pPr>
              <w:spacing w:after="0" w:line="240" w:lineRule="auto"/>
              <w:textAlignment w:val="baseline"/>
              <w:rPr>
                <w:rFonts w:ascii="Times New Roman" w:eastAsia="Times New Roman" w:hAnsi="Times New Roman" w:cs="Times New Roman"/>
                <w:color w:val="FFFFFF" w:themeColor="background1"/>
              </w:rPr>
            </w:pPr>
            <w:r w:rsidRPr="00741E6F">
              <w:rPr>
                <w:rFonts w:ascii="Calibri" w:eastAsia="Times New Roman" w:hAnsi="Calibri" w:cs="Calibri"/>
                <w:b/>
                <w:bCs/>
                <w:color w:val="FFFFFF" w:themeColor="background1"/>
              </w:rPr>
              <w:t>District </w:t>
            </w:r>
            <w:r w:rsidRPr="00741E6F">
              <w:rPr>
                <w:rFonts w:ascii="Calibri" w:eastAsia="Times New Roman" w:hAnsi="Calibri" w:cs="Calibri"/>
                <w:color w:val="FFFFFF" w:themeColor="background1"/>
              </w:rPr>
              <w:t> </w:t>
            </w:r>
          </w:p>
        </w:tc>
        <w:tc>
          <w:tcPr>
            <w:tcW w:w="1843"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3C29FC0E" w14:textId="77777777" w:rsidR="00F86BAD" w:rsidRPr="00741E6F" w:rsidRDefault="00F86BAD" w:rsidP="00A17E03">
            <w:pPr>
              <w:spacing w:after="0" w:line="240" w:lineRule="auto"/>
              <w:textAlignment w:val="baseline"/>
              <w:rPr>
                <w:rFonts w:ascii="Times New Roman" w:eastAsia="Times New Roman" w:hAnsi="Times New Roman" w:cs="Times New Roman"/>
                <w:color w:val="FFFFFF" w:themeColor="background1"/>
              </w:rPr>
            </w:pPr>
            <w:r w:rsidRPr="00741E6F">
              <w:rPr>
                <w:rFonts w:ascii="Calibri" w:eastAsia="Times New Roman" w:hAnsi="Calibri" w:cs="Calibri"/>
                <w:b/>
                <w:bCs/>
                <w:color w:val="FFFFFF" w:themeColor="background1"/>
              </w:rPr>
              <w:t xml:space="preserve">Percentage of women choose injections at </w:t>
            </w:r>
            <w:bookmarkStart w:id="147" w:name="_Int_F1Wj4sHl"/>
            <w:r w:rsidRPr="00741E6F">
              <w:rPr>
                <w:rFonts w:ascii="Calibri" w:eastAsia="Times New Roman" w:hAnsi="Calibri" w:cs="Calibri"/>
                <w:b/>
                <w:bCs/>
                <w:color w:val="FFFFFF" w:themeColor="background1"/>
              </w:rPr>
              <w:t>SRH</w:t>
            </w:r>
            <w:bookmarkEnd w:id="147"/>
            <w:r w:rsidRPr="00741E6F">
              <w:rPr>
                <w:rFonts w:ascii="Calibri" w:eastAsia="Times New Roman" w:hAnsi="Calibri" w:cs="Calibri"/>
                <w:b/>
                <w:bCs/>
                <w:color w:val="FFFFFF" w:themeColor="background1"/>
              </w:rPr>
              <w:t xml:space="preserve"> Services (%) </w:t>
            </w:r>
            <w:r w:rsidRPr="00741E6F">
              <w:rPr>
                <w:rFonts w:ascii="Calibri" w:eastAsia="Times New Roman" w:hAnsi="Calibri" w:cs="Calibri"/>
                <w:color w:val="FFFFFF" w:themeColor="background1"/>
              </w:rPr>
              <w:t> </w:t>
            </w:r>
          </w:p>
        </w:tc>
        <w:tc>
          <w:tcPr>
            <w:tcW w:w="2515"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31B77D6D" w14:textId="77777777" w:rsidR="00F86BAD" w:rsidRPr="00741E6F" w:rsidRDefault="00F86BAD" w:rsidP="00A17E03">
            <w:pPr>
              <w:spacing w:after="0" w:line="240" w:lineRule="auto"/>
              <w:textAlignment w:val="baseline"/>
              <w:rPr>
                <w:rFonts w:ascii="Times New Roman" w:eastAsia="Times New Roman" w:hAnsi="Times New Roman" w:cs="Times New Roman"/>
                <w:color w:val="FFFFFF" w:themeColor="background1"/>
              </w:rPr>
            </w:pPr>
            <w:r w:rsidRPr="00741E6F">
              <w:rPr>
                <w:rFonts w:ascii="Calibri" w:eastAsia="Times New Roman" w:hAnsi="Calibri" w:cs="Calibri"/>
                <w:b/>
                <w:bCs/>
                <w:color w:val="FFFFFF" w:themeColor="background1"/>
              </w:rPr>
              <w:t>Percentage of women choose user-dependent methods at SRH Services (%) </w:t>
            </w:r>
            <w:r w:rsidRPr="00741E6F">
              <w:rPr>
                <w:rFonts w:ascii="Calibri" w:eastAsia="Times New Roman" w:hAnsi="Calibri" w:cs="Calibri"/>
                <w:color w:val="FFFFFF" w:themeColor="background1"/>
              </w:rPr>
              <w:t> </w:t>
            </w:r>
          </w:p>
        </w:tc>
        <w:tc>
          <w:tcPr>
            <w:tcW w:w="2646" w:type="dxa"/>
            <w:tcBorders>
              <w:top w:val="single" w:sz="6" w:space="0" w:color="auto"/>
              <w:left w:val="single" w:sz="6" w:space="0" w:color="auto"/>
              <w:bottom w:val="single" w:sz="6" w:space="0" w:color="auto"/>
              <w:right w:val="single" w:sz="6" w:space="0" w:color="auto"/>
            </w:tcBorders>
            <w:shd w:val="clear" w:color="auto" w:fill="2D7D82"/>
            <w:vAlign w:val="center"/>
            <w:hideMark/>
          </w:tcPr>
          <w:p w14:paraId="67539E5B" w14:textId="77777777" w:rsidR="00F86BAD" w:rsidRPr="00741E6F" w:rsidRDefault="00F86BAD" w:rsidP="00A17E03">
            <w:pPr>
              <w:spacing w:after="0" w:line="240" w:lineRule="auto"/>
              <w:textAlignment w:val="baseline"/>
              <w:rPr>
                <w:rFonts w:ascii="Times New Roman" w:eastAsia="Times New Roman" w:hAnsi="Times New Roman" w:cs="Times New Roman"/>
                <w:color w:val="FFFFFF" w:themeColor="background1"/>
              </w:rPr>
            </w:pPr>
            <w:r w:rsidRPr="00741E6F">
              <w:rPr>
                <w:rFonts w:ascii="Calibri" w:eastAsia="Times New Roman" w:hAnsi="Calibri" w:cs="Calibri"/>
                <w:b/>
                <w:bCs/>
                <w:color w:val="FFFFFF" w:themeColor="background1"/>
              </w:rPr>
              <w:t>Percentage of women choose hormonal short-acting contraceptives at SRH Services (%) </w:t>
            </w:r>
            <w:r w:rsidRPr="00741E6F">
              <w:rPr>
                <w:rFonts w:ascii="Calibri" w:eastAsia="Times New Roman" w:hAnsi="Calibri" w:cs="Calibri"/>
                <w:color w:val="FFFFFF" w:themeColor="background1"/>
              </w:rPr>
              <w:t> </w:t>
            </w:r>
          </w:p>
        </w:tc>
      </w:tr>
      <w:tr w:rsidR="00F86BAD" w:rsidRPr="000D4D7C" w14:paraId="1C6F3776" w14:textId="77777777" w:rsidTr="00741E6F">
        <w:trPr>
          <w:trHeight w:val="312"/>
        </w:trPr>
        <w:tc>
          <w:tcPr>
            <w:tcW w:w="199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214C9A2D"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Maidstone  </w:t>
            </w:r>
          </w:p>
        </w:tc>
        <w:tc>
          <w:tcPr>
            <w:tcW w:w="184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2C375CF" w14:textId="43338483"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10.5 </w:t>
            </w:r>
          </w:p>
        </w:tc>
        <w:tc>
          <w:tcPr>
            <w:tcW w:w="251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6F8B4849" w14:textId="2A6F6889"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46.0 </w:t>
            </w:r>
          </w:p>
        </w:tc>
        <w:tc>
          <w:tcPr>
            <w:tcW w:w="264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D60FA4D" w14:textId="0F0A2C89"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30.5 </w:t>
            </w:r>
          </w:p>
        </w:tc>
      </w:tr>
      <w:tr w:rsidR="00F86BAD" w:rsidRPr="000D4D7C" w14:paraId="66489045" w14:textId="77777777" w:rsidTr="00741E6F">
        <w:trPr>
          <w:trHeight w:val="546"/>
        </w:trPr>
        <w:tc>
          <w:tcPr>
            <w:tcW w:w="199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1AF7B63"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Sevenoaks  </w:t>
            </w:r>
          </w:p>
        </w:tc>
        <w:tc>
          <w:tcPr>
            <w:tcW w:w="184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41D76C7" w14:textId="145B324E"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7.5 </w:t>
            </w:r>
          </w:p>
        </w:tc>
        <w:tc>
          <w:tcPr>
            <w:tcW w:w="251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2962AD33" w14:textId="09A58619"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49.5 </w:t>
            </w:r>
          </w:p>
        </w:tc>
        <w:tc>
          <w:tcPr>
            <w:tcW w:w="264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99B4F93" w14:textId="2E16238E"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32.7 </w:t>
            </w:r>
          </w:p>
        </w:tc>
      </w:tr>
      <w:tr w:rsidR="00F86BAD" w:rsidRPr="000D4D7C" w14:paraId="5E62E083" w14:textId="77777777" w:rsidTr="00741E6F">
        <w:trPr>
          <w:trHeight w:val="520"/>
        </w:trPr>
        <w:tc>
          <w:tcPr>
            <w:tcW w:w="199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8D3870E"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Tonbridge and Malling  </w:t>
            </w:r>
          </w:p>
        </w:tc>
        <w:tc>
          <w:tcPr>
            <w:tcW w:w="184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5F0CB59" w14:textId="225EDA73"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10.7 </w:t>
            </w:r>
          </w:p>
        </w:tc>
        <w:tc>
          <w:tcPr>
            <w:tcW w:w="251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1B5F610" w14:textId="2BEF3BC7"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44.6 </w:t>
            </w:r>
          </w:p>
        </w:tc>
        <w:tc>
          <w:tcPr>
            <w:tcW w:w="264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6CADB0C1" w14:textId="13D51E82"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30.6 </w:t>
            </w:r>
          </w:p>
        </w:tc>
      </w:tr>
      <w:tr w:rsidR="00F86BAD" w:rsidRPr="000D4D7C" w14:paraId="05BAF934" w14:textId="77777777" w:rsidTr="00741E6F">
        <w:trPr>
          <w:trHeight w:val="520"/>
        </w:trPr>
        <w:tc>
          <w:tcPr>
            <w:tcW w:w="199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24BD9EF"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Tunbridge Wells   </w:t>
            </w:r>
          </w:p>
        </w:tc>
        <w:tc>
          <w:tcPr>
            <w:tcW w:w="184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2F45F39" w14:textId="72001333"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6.8 </w:t>
            </w:r>
          </w:p>
        </w:tc>
        <w:tc>
          <w:tcPr>
            <w:tcW w:w="251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3F5C66D" w14:textId="07ED91A7"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43.2 </w:t>
            </w:r>
          </w:p>
        </w:tc>
        <w:tc>
          <w:tcPr>
            <w:tcW w:w="264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6CA30B2" w14:textId="3FF96C8A"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27.0 </w:t>
            </w:r>
          </w:p>
        </w:tc>
      </w:tr>
      <w:tr w:rsidR="00F86BAD" w:rsidRPr="000D4D7C" w14:paraId="61CEB8F4" w14:textId="77777777" w:rsidTr="00741E6F">
        <w:trPr>
          <w:trHeight w:val="520"/>
        </w:trPr>
        <w:tc>
          <w:tcPr>
            <w:tcW w:w="199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70F6FFE0"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Kent  </w:t>
            </w:r>
          </w:p>
        </w:tc>
        <w:tc>
          <w:tcPr>
            <w:tcW w:w="184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EC33939" w14:textId="5EC5BECD"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11.7 </w:t>
            </w:r>
          </w:p>
        </w:tc>
        <w:tc>
          <w:tcPr>
            <w:tcW w:w="251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2771B7F" w14:textId="6335A20D"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53.3 </w:t>
            </w:r>
          </w:p>
        </w:tc>
        <w:tc>
          <w:tcPr>
            <w:tcW w:w="264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1E669E2C" w14:textId="1B96B5ED"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40.5 </w:t>
            </w:r>
          </w:p>
        </w:tc>
      </w:tr>
      <w:tr w:rsidR="00F86BAD" w:rsidRPr="000D4D7C" w14:paraId="102F20E6" w14:textId="77777777" w:rsidTr="00741E6F">
        <w:trPr>
          <w:trHeight w:val="520"/>
        </w:trPr>
        <w:tc>
          <w:tcPr>
            <w:tcW w:w="199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529A409B" w14:textId="77777777" w:rsidR="00F86BAD" w:rsidRPr="000D4D7C" w:rsidRDefault="00F86BAD" w:rsidP="00A17E03">
            <w:pPr>
              <w:spacing w:after="0" w:line="240" w:lineRule="auto"/>
              <w:textAlignment w:val="baseline"/>
              <w:rPr>
                <w:rFonts w:ascii="Times New Roman" w:eastAsia="Times New Roman" w:hAnsi="Times New Roman" w:cs="Times New Roman"/>
              </w:rPr>
            </w:pPr>
            <w:r w:rsidRPr="000D4D7C">
              <w:rPr>
                <w:rFonts w:ascii="Calibri" w:eastAsia="Times New Roman" w:hAnsi="Calibri" w:cs="Calibri"/>
                <w:color w:val="000000"/>
              </w:rPr>
              <w:t>England  </w:t>
            </w:r>
          </w:p>
        </w:tc>
        <w:tc>
          <w:tcPr>
            <w:tcW w:w="1843"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02AD5D98" w14:textId="7FCDF978"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8.1 </w:t>
            </w:r>
          </w:p>
        </w:tc>
        <w:tc>
          <w:tcPr>
            <w:tcW w:w="2515"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4FEC372E" w14:textId="1BE86F86"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54.9 </w:t>
            </w:r>
          </w:p>
        </w:tc>
        <w:tc>
          <w:tcPr>
            <w:tcW w:w="2646" w:type="dxa"/>
            <w:tcBorders>
              <w:top w:val="single" w:sz="6" w:space="0" w:color="auto"/>
              <w:left w:val="single" w:sz="6" w:space="0" w:color="auto"/>
              <w:bottom w:val="single" w:sz="6" w:space="0" w:color="auto"/>
              <w:right w:val="single" w:sz="6" w:space="0" w:color="auto"/>
            </w:tcBorders>
            <w:shd w:val="clear" w:color="auto" w:fill="DDF1F3"/>
            <w:vAlign w:val="center"/>
            <w:hideMark/>
          </w:tcPr>
          <w:p w14:paraId="340DCAF0" w14:textId="3F0B3621" w:rsidR="00F86BAD" w:rsidRPr="000D4D7C" w:rsidRDefault="00F86BAD" w:rsidP="009D1BD2">
            <w:pPr>
              <w:spacing w:after="0" w:line="240" w:lineRule="auto"/>
              <w:jc w:val="center"/>
              <w:textAlignment w:val="baseline"/>
              <w:rPr>
                <w:rFonts w:ascii="Times New Roman" w:eastAsia="Times New Roman" w:hAnsi="Times New Roman" w:cs="Times New Roman"/>
              </w:rPr>
            </w:pPr>
            <w:r w:rsidRPr="000D4D7C">
              <w:rPr>
                <w:rFonts w:ascii="Calibri" w:eastAsia="Times New Roman" w:hAnsi="Calibri" w:cs="Calibri"/>
              </w:rPr>
              <w:t>41.7 </w:t>
            </w:r>
          </w:p>
        </w:tc>
      </w:tr>
    </w:tbl>
    <w:p w14:paraId="189FC924" w14:textId="77777777" w:rsidR="00726485" w:rsidRPr="009D38FF" w:rsidRDefault="00726485" w:rsidP="00A17E03">
      <w:pPr>
        <w:pStyle w:val="Heading1"/>
      </w:pPr>
      <w:bookmarkStart w:id="148" w:name="_Toc128133847"/>
      <w:r w:rsidRPr="009D38FF">
        <w:t>Learning Difficulties (ASC and ADHD) Kent and Medway: Context and current provision</w:t>
      </w:r>
      <w:bookmarkEnd w:id="148"/>
    </w:p>
    <w:p w14:paraId="44F42F89" w14:textId="0530D372" w:rsidR="00726485" w:rsidRDefault="00726485" w:rsidP="00A17E03">
      <w:r w:rsidRPr="045A98DE">
        <w:rPr>
          <w:rFonts w:ascii="Calibri" w:eastAsia="Calibri" w:hAnsi="Calibri" w:cs="Calibri"/>
        </w:rPr>
        <w:t>Across the Southeast, Autism Spectrum Condition (ASC) and Attention Deficit Hyperactivity Disorder (ADHD) diagnostic and prescribing services are facing significant capacity issues due to large waiting lists and a surge in demand resulting in long wait times for some patients. Even before the Covid-19 pandemic, long waiting times for ADHD and ASC assessments were widely reported and acknowledged by the NHS in the Long</w:t>
      </w:r>
      <w:r w:rsidR="00E24EF3" w:rsidRPr="045A98DE">
        <w:rPr>
          <w:rFonts w:ascii="Calibri" w:eastAsia="Calibri" w:hAnsi="Calibri" w:cs="Calibri"/>
        </w:rPr>
        <w:t>-</w:t>
      </w:r>
      <w:r w:rsidRPr="045A98DE">
        <w:rPr>
          <w:rFonts w:ascii="Calibri" w:eastAsia="Calibri" w:hAnsi="Calibri" w:cs="Calibri"/>
        </w:rPr>
        <w:t>Term Plan with successive lockdowns during 2020-21 resulting in increased barriers to assessment appointments, exacerbating the problem.</w:t>
      </w:r>
    </w:p>
    <w:p w14:paraId="66D08338" w14:textId="77777777" w:rsidR="00726485" w:rsidRDefault="00726485" w:rsidP="00A17E03">
      <w:r w:rsidRPr="5E4DB3C2">
        <w:rPr>
          <w:rFonts w:ascii="Calibri" w:eastAsia="Calibri" w:hAnsi="Calibri" w:cs="Calibri"/>
        </w:rPr>
        <w:lastRenderedPageBreak/>
        <w:t xml:space="preserve">Currently all providers do not have standard data collection points for ADHD and Autism assessments, due to several reasons including various pathway delivery models. Whilst some areas have specific ADHD and Autism assessment and diagnosis pathways, many other have combined neurodevelopmental services or this forms part of their CAHMS offer in the case of children and young people. Providers have not been historically requested to provide data and as a result the findings presented do not represent 100% of the current system activity, but the best available. The overall numbers are </w:t>
      </w:r>
      <w:r>
        <w:rPr>
          <w:rFonts w:ascii="Calibri" w:eastAsia="Calibri" w:hAnsi="Calibri" w:cs="Calibri"/>
        </w:rPr>
        <w:t xml:space="preserve">therefore </w:t>
      </w:r>
      <w:r w:rsidRPr="5E4DB3C2">
        <w:rPr>
          <w:rFonts w:ascii="Calibri" w:eastAsia="Calibri" w:hAnsi="Calibri" w:cs="Calibri"/>
        </w:rPr>
        <w:t>likely to be an underestimate of the required capacity.</w:t>
      </w:r>
    </w:p>
    <w:p w14:paraId="6846DD1F" w14:textId="3D7B4672" w:rsidR="00726485" w:rsidRDefault="00726485" w:rsidP="00A17E03">
      <w:r w:rsidRPr="32F7F25D">
        <w:rPr>
          <w:rFonts w:ascii="Calibri" w:eastAsia="Calibri" w:hAnsi="Calibri" w:cs="Calibri"/>
        </w:rPr>
        <w:t xml:space="preserve">Kent &amp; Medway has a mixed delivery model across the ICS with significant difference in models and demand pressures for adults and children. </w:t>
      </w:r>
      <w:r w:rsidRPr="32F7F25D">
        <w:rPr>
          <w:rFonts w:ascii="Calibri" w:eastAsia="Calibri" w:hAnsi="Calibri" w:cs="Calibri"/>
          <w:color w:val="222222"/>
        </w:rPr>
        <w:t>The ICS has recently recommissioned the whole ND adult's pathway - a £16.5-</w:t>
      </w:r>
      <w:r w:rsidR="00353991">
        <w:rPr>
          <w:rFonts w:ascii="Calibri" w:eastAsia="Calibri" w:hAnsi="Calibri" w:cs="Calibri"/>
          <w:color w:val="222222"/>
        </w:rPr>
        <w:t>£</w:t>
      </w:r>
      <w:r w:rsidRPr="32F7F25D">
        <w:rPr>
          <w:rFonts w:ascii="Calibri" w:eastAsia="Calibri" w:hAnsi="Calibri" w:cs="Calibri"/>
          <w:color w:val="222222"/>
        </w:rPr>
        <w:t xml:space="preserve">17m investment over 5 years. The pathway is led by </w:t>
      </w:r>
      <w:bookmarkStart w:id="149" w:name="_Int_zkD4qONU"/>
      <w:r w:rsidRPr="32F7F25D">
        <w:rPr>
          <w:rFonts w:ascii="Calibri" w:eastAsia="Calibri" w:hAnsi="Calibri" w:cs="Calibri"/>
          <w:color w:val="222222"/>
        </w:rPr>
        <w:t>KCHFT</w:t>
      </w:r>
      <w:bookmarkEnd w:id="149"/>
      <w:r w:rsidRPr="32F7F25D">
        <w:rPr>
          <w:rFonts w:ascii="Calibri" w:eastAsia="Calibri" w:hAnsi="Calibri" w:cs="Calibri"/>
          <w:color w:val="222222"/>
        </w:rPr>
        <w:t xml:space="preserve"> supported by a partnership with three independent providers. The new service began in April 2022, and provides a fully integrated pathway - encompassing pre-diagnostic, diagnostic and post-diagnostic support. This marks a </w:t>
      </w:r>
      <w:bookmarkStart w:id="150" w:name="_Int_qDSdJxXW"/>
      <w:r w:rsidRPr="32F7F25D">
        <w:rPr>
          <w:rFonts w:ascii="Calibri" w:eastAsia="Calibri" w:hAnsi="Calibri" w:cs="Calibri"/>
          <w:color w:val="222222"/>
        </w:rPr>
        <w:t>significant change</w:t>
      </w:r>
      <w:bookmarkEnd w:id="150"/>
      <w:r w:rsidRPr="32F7F25D">
        <w:rPr>
          <w:rFonts w:ascii="Calibri" w:eastAsia="Calibri" w:hAnsi="Calibri" w:cs="Calibri"/>
          <w:color w:val="222222"/>
        </w:rPr>
        <w:t xml:space="preserve"> with the previous service being sporadic and inconsistent. Service is currently processing a small backlog. </w:t>
      </w:r>
    </w:p>
    <w:p w14:paraId="019DF00B" w14:textId="0D67DE0B" w:rsidR="00726485" w:rsidRDefault="00726485" w:rsidP="00A17E03">
      <w:pPr>
        <w:rPr>
          <w:rFonts w:ascii="Calibri" w:eastAsia="Calibri" w:hAnsi="Calibri" w:cs="Calibri"/>
          <w:color w:val="222222"/>
        </w:rPr>
      </w:pPr>
      <w:r w:rsidRPr="5E4DB3C2">
        <w:rPr>
          <w:rFonts w:ascii="Calibri" w:eastAsia="Calibri" w:hAnsi="Calibri" w:cs="Calibri"/>
          <w:color w:val="222222"/>
        </w:rPr>
        <w:t>Kent &amp; Medway assessment and diagnosis services for children are facing significant demand pressures with 6</w:t>
      </w:r>
      <w:r w:rsidR="00DD0EE7">
        <w:rPr>
          <w:rFonts w:ascii="Calibri" w:eastAsia="Calibri" w:hAnsi="Calibri" w:cs="Calibri"/>
          <w:color w:val="222222"/>
        </w:rPr>
        <w:t>,</w:t>
      </w:r>
      <w:r w:rsidRPr="5E4DB3C2">
        <w:rPr>
          <w:rFonts w:ascii="Calibri" w:eastAsia="Calibri" w:hAnsi="Calibri" w:cs="Calibri"/>
          <w:color w:val="222222"/>
        </w:rPr>
        <w:t xml:space="preserve">107 </w:t>
      </w:r>
      <w:bookmarkStart w:id="151" w:name="_Int_zmU8e0cu"/>
      <w:r w:rsidRPr="5E4DB3C2">
        <w:rPr>
          <w:rFonts w:ascii="Calibri" w:eastAsia="Calibri" w:hAnsi="Calibri" w:cs="Calibri"/>
          <w:color w:val="222222"/>
        </w:rPr>
        <w:t>CYP</w:t>
      </w:r>
      <w:bookmarkEnd w:id="151"/>
      <w:r w:rsidRPr="5E4DB3C2">
        <w:rPr>
          <w:rFonts w:ascii="Calibri" w:eastAsia="Calibri" w:hAnsi="Calibri" w:cs="Calibri"/>
          <w:color w:val="222222"/>
        </w:rPr>
        <w:t xml:space="preserve"> currently on the waiting list with autism accounting for 5</w:t>
      </w:r>
      <w:r w:rsidR="00DD0EE7">
        <w:rPr>
          <w:rFonts w:ascii="Calibri" w:eastAsia="Calibri" w:hAnsi="Calibri" w:cs="Calibri"/>
          <w:color w:val="222222"/>
        </w:rPr>
        <w:t>,</w:t>
      </w:r>
      <w:r w:rsidRPr="5E4DB3C2">
        <w:rPr>
          <w:rFonts w:ascii="Calibri" w:eastAsia="Calibri" w:hAnsi="Calibri" w:cs="Calibri"/>
          <w:color w:val="222222"/>
        </w:rPr>
        <w:t xml:space="preserve">101 </w:t>
      </w:r>
      <w:r w:rsidR="004A18EB">
        <w:rPr>
          <w:rFonts w:ascii="Calibri" w:eastAsia="Calibri" w:hAnsi="Calibri" w:cs="Calibri"/>
          <w:color w:val="222222"/>
        </w:rPr>
        <w:t xml:space="preserve">of those </w:t>
      </w:r>
      <w:r w:rsidRPr="5E4DB3C2">
        <w:rPr>
          <w:rFonts w:ascii="Calibri" w:eastAsia="Calibri" w:hAnsi="Calibri" w:cs="Calibri"/>
          <w:color w:val="222222"/>
        </w:rPr>
        <w:t xml:space="preserve">patients. </w:t>
      </w:r>
      <w:r w:rsidRPr="5E4DB3C2">
        <w:rPr>
          <w:rFonts w:ascii="Calibri" w:eastAsia="Calibri" w:hAnsi="Calibri" w:cs="Calibri"/>
        </w:rPr>
        <w:t xml:space="preserve">Recent local analysis has shown that pressure within the diagnostic assessment part of the pathway is indicative of a pre-diagnostic system that is not able to manage the needs of children and families early enough and that </w:t>
      </w:r>
      <w:r w:rsidR="00003912">
        <w:rPr>
          <w:rFonts w:ascii="Calibri" w:eastAsia="Calibri" w:hAnsi="Calibri" w:cs="Calibri"/>
        </w:rPr>
        <w:t>i</w:t>
      </w:r>
      <w:r w:rsidRPr="5E4DB3C2">
        <w:rPr>
          <w:rFonts w:ascii="Calibri" w:eastAsia="Calibri" w:hAnsi="Calibri" w:cs="Calibri"/>
        </w:rPr>
        <w:t xml:space="preserve">ncreasing diagnostic </w:t>
      </w:r>
      <w:r w:rsidR="00E40B9A" w:rsidRPr="5E4DB3C2">
        <w:rPr>
          <w:rFonts w:ascii="Calibri" w:eastAsia="Calibri" w:hAnsi="Calibri" w:cs="Calibri"/>
        </w:rPr>
        <w:t>assessment</w:t>
      </w:r>
      <w:r w:rsidR="00E40B9A">
        <w:rPr>
          <w:rFonts w:ascii="Calibri" w:eastAsia="Calibri" w:hAnsi="Calibri" w:cs="Calibri"/>
        </w:rPr>
        <w:t xml:space="preserve"> capacity</w:t>
      </w:r>
      <w:r w:rsidR="00E40B9A" w:rsidRPr="5E4DB3C2">
        <w:rPr>
          <w:rFonts w:ascii="Calibri" w:eastAsia="Calibri" w:hAnsi="Calibri" w:cs="Calibri"/>
        </w:rPr>
        <w:t xml:space="preserve"> </w:t>
      </w:r>
      <w:r w:rsidRPr="5E4DB3C2">
        <w:rPr>
          <w:rFonts w:ascii="Calibri" w:eastAsia="Calibri" w:hAnsi="Calibri" w:cs="Calibri"/>
        </w:rPr>
        <w:t>does lead to an increase in demand for assessments.</w:t>
      </w:r>
    </w:p>
    <w:p w14:paraId="230E7A30" w14:textId="77777777" w:rsidR="00726485" w:rsidRDefault="00726485" w:rsidP="009D38FF">
      <w:pPr>
        <w:pStyle w:val="Heading2"/>
      </w:pPr>
      <w:r w:rsidRPr="5E4DB3C2">
        <w:rPr>
          <w:rFonts w:eastAsia="Calibri"/>
        </w:rPr>
        <w:t xml:space="preserve"> </w:t>
      </w:r>
      <w:bookmarkStart w:id="152" w:name="_Toc128133848"/>
      <w:r w:rsidRPr="5E4DB3C2">
        <w:rPr>
          <w:rFonts w:eastAsia="Calibri"/>
        </w:rPr>
        <w:t>Data context and limitations</w:t>
      </w:r>
      <w:bookmarkEnd w:id="152"/>
    </w:p>
    <w:p w14:paraId="7D725302" w14:textId="781EAA6A" w:rsidR="00726485" w:rsidRPr="009D38FF" w:rsidRDefault="00726485" w:rsidP="007A44C5">
      <w:pPr>
        <w:pStyle w:val="ListParagraph"/>
        <w:numPr>
          <w:ilvl w:val="0"/>
          <w:numId w:val="13"/>
        </w:numPr>
        <w:rPr>
          <w:rFonts w:ascii="Calibri" w:eastAsia="Calibri" w:hAnsi="Calibri" w:cs="Calibri"/>
          <w:sz w:val="24"/>
          <w:szCs w:val="24"/>
        </w:rPr>
      </w:pPr>
      <w:r w:rsidRPr="009D38FF">
        <w:rPr>
          <w:rFonts w:ascii="Calibri" w:eastAsia="Calibri" w:hAnsi="Calibri" w:cs="Calibri"/>
          <w:sz w:val="24"/>
          <w:szCs w:val="24"/>
        </w:rPr>
        <w:t xml:space="preserve">Adults ADHD/ASC service is newly commissioned, so referrals data is based on an extrapolated monthly rate; cases seen, and current waiting time data is not yet </w:t>
      </w:r>
      <w:r w:rsidR="00882CCB" w:rsidRPr="009D38FF">
        <w:rPr>
          <w:rFonts w:ascii="Calibri" w:eastAsia="Calibri" w:hAnsi="Calibri" w:cs="Calibri"/>
          <w:sz w:val="24"/>
          <w:szCs w:val="24"/>
        </w:rPr>
        <w:t>available.</w:t>
      </w:r>
    </w:p>
    <w:p w14:paraId="25E77BB0" w14:textId="1E968FD9" w:rsidR="00726485" w:rsidRPr="009D38FF" w:rsidRDefault="00726485" w:rsidP="007A44C5">
      <w:pPr>
        <w:pStyle w:val="ListParagraph"/>
        <w:numPr>
          <w:ilvl w:val="0"/>
          <w:numId w:val="13"/>
        </w:numPr>
        <w:rPr>
          <w:rFonts w:ascii="Calibri" w:eastAsia="Calibri" w:hAnsi="Calibri" w:cs="Calibri"/>
          <w:sz w:val="24"/>
          <w:szCs w:val="24"/>
        </w:rPr>
      </w:pPr>
      <w:r w:rsidRPr="05FE91D0">
        <w:rPr>
          <w:rFonts w:ascii="Calibri" w:eastAsia="Calibri" w:hAnsi="Calibri" w:cs="Calibri"/>
          <w:sz w:val="24"/>
          <w:szCs w:val="24"/>
        </w:rPr>
        <w:t>Providers to start providing info to MHDS</w:t>
      </w:r>
      <w:r w:rsidR="6DD61667" w:rsidRPr="2F383C18">
        <w:rPr>
          <w:rFonts w:ascii="Calibri" w:eastAsia="Calibri" w:hAnsi="Calibri" w:cs="Calibri"/>
          <w:sz w:val="24"/>
          <w:szCs w:val="24"/>
        </w:rPr>
        <w:t xml:space="preserve"> (mental health dataset)</w:t>
      </w:r>
    </w:p>
    <w:p w14:paraId="3C80C5DC" w14:textId="17EFC6D1" w:rsidR="00726485" w:rsidRPr="009D38FF" w:rsidRDefault="00726485" w:rsidP="007A44C5">
      <w:pPr>
        <w:pStyle w:val="ListParagraph"/>
        <w:numPr>
          <w:ilvl w:val="0"/>
          <w:numId w:val="13"/>
        </w:numPr>
        <w:rPr>
          <w:rFonts w:ascii="Calibri" w:eastAsia="Calibri" w:hAnsi="Calibri" w:cs="Calibri"/>
          <w:sz w:val="24"/>
          <w:szCs w:val="24"/>
        </w:rPr>
      </w:pPr>
      <w:r w:rsidRPr="009D38FF">
        <w:rPr>
          <w:rFonts w:ascii="Calibri" w:eastAsia="Calibri" w:hAnsi="Calibri" w:cs="Calibri"/>
          <w:sz w:val="24"/>
          <w:szCs w:val="24"/>
        </w:rPr>
        <w:t xml:space="preserve">CYP ADHD data is not complete however ongoing reporting in </w:t>
      </w:r>
      <w:r w:rsidR="00882CCB" w:rsidRPr="009D38FF">
        <w:rPr>
          <w:rFonts w:ascii="Calibri" w:eastAsia="Calibri" w:hAnsi="Calibri" w:cs="Calibri"/>
          <w:sz w:val="24"/>
          <w:szCs w:val="24"/>
        </w:rPr>
        <w:t>development.</w:t>
      </w:r>
    </w:p>
    <w:p w14:paraId="56327B12" w14:textId="28D90537" w:rsidR="00726485" w:rsidRPr="009D38FF" w:rsidRDefault="00726485" w:rsidP="00726485">
      <w:pPr>
        <w:pStyle w:val="ListParagraph"/>
        <w:numPr>
          <w:ilvl w:val="0"/>
          <w:numId w:val="13"/>
        </w:numPr>
        <w:rPr>
          <w:rFonts w:ascii="Calibri" w:eastAsia="Calibri" w:hAnsi="Calibri" w:cs="Calibri"/>
          <w:sz w:val="24"/>
          <w:szCs w:val="24"/>
        </w:rPr>
      </w:pPr>
      <w:r w:rsidRPr="009D38FF">
        <w:rPr>
          <w:rFonts w:ascii="Calibri" w:eastAsia="Calibri" w:hAnsi="Calibri" w:cs="Calibri"/>
          <w:sz w:val="24"/>
          <w:szCs w:val="24"/>
        </w:rPr>
        <w:t xml:space="preserve">Referrals numbers presented are reflective of waiting list initiative carried out during data </w:t>
      </w:r>
      <w:r w:rsidR="00882CCB" w:rsidRPr="009D38FF">
        <w:rPr>
          <w:rFonts w:ascii="Calibri" w:eastAsia="Calibri" w:hAnsi="Calibri" w:cs="Calibri"/>
          <w:sz w:val="24"/>
          <w:szCs w:val="24"/>
        </w:rPr>
        <w:t>period.</w:t>
      </w:r>
    </w:p>
    <w:p w14:paraId="69A840FF" w14:textId="77777777" w:rsidR="00726485" w:rsidRDefault="00726485" w:rsidP="00726485">
      <w:r w:rsidRPr="32F7F25D">
        <w:rPr>
          <w:rFonts w:ascii="Calibri" w:eastAsia="Calibri" w:hAnsi="Calibri" w:cs="Calibri"/>
          <w:b/>
          <w:bCs/>
        </w:rPr>
        <w:t>Kent and Medway</w:t>
      </w:r>
    </w:p>
    <w:p w14:paraId="76D26035" w14:textId="30AA9E50" w:rsidR="00726485" w:rsidRDefault="00726485" w:rsidP="00726485">
      <w:pPr>
        <w:rPr>
          <w:rFonts w:ascii="Calibri" w:eastAsia="Calibri" w:hAnsi="Calibri" w:cs="Calibri"/>
        </w:rPr>
      </w:pPr>
      <w:r w:rsidRPr="32F7F25D">
        <w:rPr>
          <w:rFonts w:ascii="Calibri" w:eastAsia="Calibri" w:hAnsi="Calibri" w:cs="Calibri"/>
        </w:rPr>
        <w:t>The current number of patients within the Kent and Medway pathway is shown in Figure 8</w:t>
      </w:r>
      <w:r w:rsidR="00703C67">
        <w:rPr>
          <w:rFonts w:ascii="Calibri" w:eastAsia="Calibri" w:hAnsi="Calibri" w:cs="Calibri"/>
        </w:rPr>
        <w:t>2</w:t>
      </w:r>
      <w:r w:rsidRPr="32F7F25D">
        <w:rPr>
          <w:rFonts w:ascii="Calibri" w:eastAsia="Calibri" w:hAnsi="Calibri" w:cs="Calibri"/>
        </w:rPr>
        <w:t xml:space="preserve"> below.</w:t>
      </w:r>
    </w:p>
    <w:p w14:paraId="5F063CEF" w14:textId="77777777" w:rsidR="00D52BBD" w:rsidRDefault="00D52BBD">
      <w:pPr>
        <w:spacing w:before="0" w:after="200"/>
        <w:rPr>
          <w:rFonts w:ascii="Calibri" w:eastAsia="Calibri" w:hAnsi="Calibri" w:cs="Calibri"/>
          <w:b/>
          <w:bCs/>
        </w:rPr>
      </w:pPr>
      <w:r>
        <w:rPr>
          <w:rFonts w:ascii="Calibri" w:eastAsia="Calibri" w:hAnsi="Calibri" w:cs="Calibri"/>
          <w:b/>
          <w:bCs/>
        </w:rPr>
        <w:br w:type="page"/>
      </w:r>
    </w:p>
    <w:p w14:paraId="4E4957F2" w14:textId="09AA22D0" w:rsidR="000044B8" w:rsidRPr="000044B8" w:rsidRDefault="000044B8" w:rsidP="00726485">
      <w:pPr>
        <w:rPr>
          <w:rFonts w:ascii="Calibri" w:eastAsia="Calibri" w:hAnsi="Calibri" w:cs="Calibri"/>
          <w:sz w:val="16"/>
          <w:szCs w:val="16"/>
        </w:rPr>
      </w:pPr>
      <w:r w:rsidRPr="32F7F25D">
        <w:rPr>
          <w:rFonts w:ascii="Calibri" w:eastAsia="Calibri" w:hAnsi="Calibri" w:cs="Calibri"/>
          <w:b/>
          <w:bCs/>
        </w:rPr>
        <w:lastRenderedPageBreak/>
        <w:t>Figure 8</w:t>
      </w:r>
      <w:r w:rsidR="00B3426A">
        <w:rPr>
          <w:rFonts w:ascii="Calibri" w:eastAsia="Calibri" w:hAnsi="Calibri" w:cs="Calibri"/>
          <w:b/>
          <w:bCs/>
        </w:rPr>
        <w:t>2</w:t>
      </w:r>
      <w:r w:rsidRPr="32F7F25D">
        <w:rPr>
          <w:rFonts w:ascii="Calibri" w:eastAsia="Calibri" w:hAnsi="Calibri" w:cs="Calibri"/>
          <w:b/>
          <w:bCs/>
        </w:rPr>
        <w:t xml:space="preserve"> Current figures for patients within ASC and ADHD services</w:t>
      </w:r>
      <w:r>
        <w:rPr>
          <w:rFonts w:ascii="Calibri" w:eastAsia="Calibri" w:hAnsi="Calibri" w:cs="Calibri"/>
          <w:b/>
          <w:bCs/>
        </w:rPr>
        <w:t xml:space="preserve">. </w:t>
      </w:r>
      <w:r w:rsidRPr="009D38FF">
        <w:rPr>
          <w:rFonts w:ascii="Calibri" w:eastAsia="Calibri" w:hAnsi="Calibri" w:cs="Calibri"/>
        </w:rPr>
        <w:t>Source (ADHD and ASC Assessment and Diagnosis Services, NHS South</w:t>
      </w:r>
      <w:r w:rsidR="00E941C4">
        <w:rPr>
          <w:rFonts w:ascii="Calibri" w:eastAsia="Calibri" w:hAnsi="Calibri" w:cs="Calibri"/>
        </w:rPr>
        <w:t>-</w:t>
      </w:r>
      <w:r w:rsidRPr="009D38FF">
        <w:rPr>
          <w:rFonts w:ascii="Calibri" w:eastAsia="Calibri" w:hAnsi="Calibri" w:cs="Calibri"/>
        </w:rPr>
        <w:t>East Region Overview</w:t>
      </w:r>
      <w:r w:rsidR="00E941C4">
        <w:rPr>
          <w:rFonts w:ascii="Calibri" w:eastAsia="Calibri" w:hAnsi="Calibri" w:cs="Calibri"/>
        </w:rPr>
        <w:t>,</w:t>
      </w:r>
      <w:r w:rsidRPr="009D38FF">
        <w:rPr>
          <w:rFonts w:ascii="Calibri" w:eastAsia="Calibri" w:hAnsi="Calibri" w:cs="Calibri"/>
        </w:rPr>
        <w:t xml:space="preserve"> NHS 2022)</w:t>
      </w:r>
    </w:p>
    <w:p w14:paraId="7FC1CED5" w14:textId="77777777" w:rsidR="00726485" w:rsidRDefault="00726485" w:rsidP="00726485">
      <w:r>
        <w:rPr>
          <w:noProof/>
        </w:rPr>
        <w:drawing>
          <wp:inline distT="0" distB="0" distL="0" distR="0" wp14:anchorId="29F9A57A" wp14:editId="7916F599">
            <wp:extent cx="3638550" cy="4512931"/>
            <wp:effectExtent l="0" t="0" r="0" b="2540"/>
            <wp:docPr id="40014251" name="Picture 40014251" descr="2 column charts. Chart 1 shows Current figures for patients within ADHD services. There are 1220 CYP referrals and 1896 adult referrals, 297 CYP cases seen, 1006 CYPs and 1374 adults on the waiting list. Chart 1 shows Current figures for patients within ASC services. There are 2532 CYP referrals and 1092 adult referrals, 1224 CYP cases seen, 5101 CYPs and 507 adults on the waiting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4251" name="Picture 40014251" descr="2 column charts. Chart 1 shows Current figures for patients within ADHD services. There are 1220 CYP referrals and 1896 adult referrals, 297 CYP cases seen, 1006 CYPs and 1374 adults on the waiting list. Chart 1 shows Current figures for patients within ASC services. There are 2532 CYP referrals and 1092 adult referrals, 1224 CYP cases seen, 5101 CYPs and 507 adults on the waiting list."/>
                    <pic:cNvPicPr/>
                  </pic:nvPicPr>
                  <pic:blipFill>
                    <a:blip r:embed="rId135">
                      <a:extLst>
                        <a:ext uri="{28A0092B-C50C-407E-A947-70E740481C1C}">
                          <a14:useLocalDpi xmlns:a14="http://schemas.microsoft.com/office/drawing/2010/main" val="0"/>
                        </a:ext>
                      </a:extLst>
                    </a:blip>
                    <a:stretch>
                      <a:fillRect/>
                    </a:stretch>
                  </pic:blipFill>
                  <pic:spPr>
                    <a:xfrm>
                      <a:off x="0" y="0"/>
                      <a:ext cx="3643494" cy="4519063"/>
                    </a:xfrm>
                    <a:prstGeom prst="rect">
                      <a:avLst/>
                    </a:prstGeom>
                  </pic:spPr>
                </pic:pic>
              </a:graphicData>
            </a:graphic>
          </wp:inline>
        </w:drawing>
      </w:r>
    </w:p>
    <w:p w14:paraId="6C9CA3A8" w14:textId="77777777" w:rsidR="00726485" w:rsidRDefault="00726485" w:rsidP="00A86E2D">
      <w:pPr>
        <w:rPr>
          <w:rFonts w:ascii="Calibri" w:eastAsia="Calibri" w:hAnsi="Calibri" w:cs="Calibri"/>
        </w:rPr>
      </w:pPr>
      <w:r w:rsidRPr="15853314">
        <w:rPr>
          <w:rFonts w:ascii="Calibri" w:eastAsia="Calibri" w:hAnsi="Calibri" w:cs="Calibri"/>
        </w:rPr>
        <w:t>The total estimated cost to clear the current numbers to zero is between £7.1 and £19.2 million. Based on modelled scenario between £0.09m and £0.85m of this cost could be saved through providing alternative support services for those on the ADHD waiting lists.</w:t>
      </w:r>
    </w:p>
    <w:p w14:paraId="503F5A31" w14:textId="77777777" w:rsidR="00726485" w:rsidRDefault="00726485" w:rsidP="009D38FF">
      <w:pPr>
        <w:pStyle w:val="Heading2"/>
        <w:rPr>
          <w:rFonts w:eastAsia="Calibri"/>
        </w:rPr>
      </w:pPr>
      <w:r w:rsidRPr="5E4DB3C2">
        <w:rPr>
          <w:rFonts w:eastAsia="Calibri"/>
        </w:rPr>
        <w:t xml:space="preserve"> </w:t>
      </w:r>
      <w:bookmarkStart w:id="153" w:name="_Toc128133849"/>
      <w:r w:rsidRPr="5E4DB3C2">
        <w:rPr>
          <w:rFonts w:eastAsia="Calibri"/>
        </w:rPr>
        <w:t>Kent and Medway: Projections</w:t>
      </w:r>
      <w:bookmarkEnd w:id="153"/>
    </w:p>
    <w:p w14:paraId="2973F4E0" w14:textId="699614AF" w:rsidR="00726485" w:rsidRDefault="00726485" w:rsidP="00726485">
      <w:pPr>
        <w:rPr>
          <w:rFonts w:ascii="Calibri" w:eastAsia="Calibri" w:hAnsi="Calibri" w:cs="Calibri"/>
        </w:rPr>
      </w:pPr>
      <w:r w:rsidRPr="32F7F25D">
        <w:rPr>
          <w:rFonts w:ascii="Calibri" w:eastAsia="Calibri" w:hAnsi="Calibri" w:cs="Calibri"/>
        </w:rPr>
        <w:t>The LD programme lead has already given a presentation to the HCP Board on the proposed governance for both the LD programme and the LD strategy. There is currently a proposed timetable for them to be completed by the end of December 2022. The following Figures (Figure 83 –8</w:t>
      </w:r>
      <w:r w:rsidR="00252169">
        <w:rPr>
          <w:rFonts w:ascii="Calibri" w:eastAsia="Calibri" w:hAnsi="Calibri" w:cs="Calibri"/>
        </w:rPr>
        <w:t>7</w:t>
      </w:r>
      <w:r w:rsidRPr="32F7F25D">
        <w:rPr>
          <w:rFonts w:ascii="Calibri" w:eastAsia="Calibri" w:hAnsi="Calibri" w:cs="Calibri"/>
        </w:rPr>
        <w:t>) give an oversight of the current position relating to both conditions.</w:t>
      </w:r>
    </w:p>
    <w:p w14:paraId="1C956F0C" w14:textId="77777777" w:rsidR="00D52BBD" w:rsidRDefault="00D52BBD">
      <w:pPr>
        <w:spacing w:before="0" w:after="200"/>
        <w:rPr>
          <w:b/>
          <w:bCs/>
        </w:rPr>
      </w:pPr>
      <w:r>
        <w:rPr>
          <w:b/>
          <w:bCs/>
        </w:rPr>
        <w:br w:type="page"/>
      </w:r>
    </w:p>
    <w:p w14:paraId="6085FE81" w14:textId="00D8E9FE" w:rsidR="00726485" w:rsidRPr="00CD204F" w:rsidRDefault="00726485" w:rsidP="00A86E2D">
      <w:pPr>
        <w:rPr>
          <w:b/>
          <w:bCs/>
        </w:rPr>
      </w:pPr>
      <w:r w:rsidRPr="00CD204F">
        <w:rPr>
          <w:b/>
          <w:bCs/>
        </w:rPr>
        <w:lastRenderedPageBreak/>
        <w:t>Figure 8</w:t>
      </w:r>
      <w:r w:rsidR="006D7B54">
        <w:rPr>
          <w:b/>
          <w:bCs/>
        </w:rPr>
        <w:t>3</w:t>
      </w:r>
      <w:r w:rsidRPr="00CD204F">
        <w:rPr>
          <w:b/>
          <w:bCs/>
        </w:rPr>
        <w:t xml:space="preserve"> Percentage of GP registered people with a diagnosed condition of a learning disability and autism spectrum disorder by age group and registered </w:t>
      </w:r>
      <w:r w:rsidR="00EA78BD">
        <w:rPr>
          <w:b/>
          <w:bCs/>
        </w:rPr>
        <w:t>HCP</w:t>
      </w:r>
      <w:r w:rsidRPr="00CD204F">
        <w:rPr>
          <w:b/>
          <w:bCs/>
        </w:rPr>
        <w:t xml:space="preserve"> across Kent and Medway [KPHO, 2022].</w:t>
      </w:r>
    </w:p>
    <w:p w14:paraId="0F817F7F" w14:textId="77777777" w:rsidR="00726485" w:rsidRDefault="00726485" w:rsidP="00726485">
      <w:r>
        <w:rPr>
          <w:noProof/>
        </w:rPr>
        <w:drawing>
          <wp:inline distT="0" distB="0" distL="0" distR="0" wp14:anchorId="71229602" wp14:editId="565707F7">
            <wp:extent cx="5553075" cy="2510454"/>
            <wp:effectExtent l="0" t="0" r="0" b="4445"/>
            <wp:docPr id="1103653794" name="Picture 1103653794" descr="Line graphs showing projected waiting list sizes. For ADHD, there are predicted to be 5040 CYPs and 9679 adults on a waiting list in 2025/26. For ASC, there are predicted to be 7520 CYPs and 5575 adults on a waiting list in 20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53794" name="Picture 1103653794" descr="Line graphs showing projected waiting list sizes. For ADHD, there are predicted to be 5040 CYPs and 9679 adults on a waiting list in 2025/26. For ASC, there are predicted to be 7520 CYPs and 5575 adults on a waiting list in 2025/26."/>
                    <pic:cNvPicPr/>
                  </pic:nvPicPr>
                  <pic:blipFill>
                    <a:blip r:embed="rId136">
                      <a:extLst>
                        <a:ext uri="{28A0092B-C50C-407E-A947-70E740481C1C}">
                          <a14:useLocalDpi xmlns:a14="http://schemas.microsoft.com/office/drawing/2010/main" val="0"/>
                        </a:ext>
                      </a:extLst>
                    </a:blip>
                    <a:stretch>
                      <a:fillRect/>
                    </a:stretch>
                  </pic:blipFill>
                  <pic:spPr>
                    <a:xfrm>
                      <a:off x="0" y="0"/>
                      <a:ext cx="5562807" cy="2514854"/>
                    </a:xfrm>
                    <a:prstGeom prst="rect">
                      <a:avLst/>
                    </a:prstGeom>
                  </pic:spPr>
                </pic:pic>
              </a:graphicData>
            </a:graphic>
          </wp:inline>
        </w:drawing>
      </w:r>
    </w:p>
    <w:p w14:paraId="7604DC70" w14:textId="0870B90B" w:rsidR="00726485" w:rsidRPr="006737AF" w:rsidRDefault="00726485" w:rsidP="00726485">
      <w:pPr>
        <w:rPr>
          <w:b/>
          <w:bCs/>
        </w:rPr>
      </w:pPr>
      <w:r w:rsidRPr="006737AF">
        <w:rPr>
          <w:b/>
          <w:bCs/>
        </w:rPr>
        <w:t>Figure 8</w:t>
      </w:r>
      <w:r w:rsidR="006D7B54">
        <w:rPr>
          <w:b/>
          <w:bCs/>
        </w:rPr>
        <w:t>4</w:t>
      </w:r>
      <w:r w:rsidRPr="006737AF">
        <w:rPr>
          <w:b/>
          <w:bCs/>
        </w:rPr>
        <w:t xml:space="preserve"> Percentage of people in Kent with a registered learning disability and autism diagnosis by age group and HCP [KPHO, 2022]</w:t>
      </w:r>
    </w:p>
    <w:p w14:paraId="3389A275" w14:textId="77777777" w:rsidR="00726485" w:rsidRDefault="00726485" w:rsidP="00726485">
      <w:r>
        <w:rPr>
          <w:noProof/>
        </w:rPr>
        <w:drawing>
          <wp:inline distT="0" distB="0" distL="0" distR="0" wp14:anchorId="2B1F6D14" wp14:editId="5A52DABC">
            <wp:extent cx="5534025" cy="3470297"/>
            <wp:effectExtent l="0" t="0" r="0" b="0"/>
            <wp:docPr id="1248657677" name="Picture 1248657677" descr="Column chart showing percentage of registered learning disability patients with a primary care record of autism by age group. In all HCPs, Dartford Gravesham and Swanley, East Kent, Medway and Swale, and West Kent, rates are highest in 18-24 year olds (between 55% and 71%) followed by 25-34 then 35-44. Rates are highest in Dartford Gravesham and Swanley and ithen n Medway and Sw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57677" name="Picture 1248657677" descr="Column chart showing percentage of registered learning disability patients with a primary care record of autism by age group. In all HCPs, Dartford Gravesham and Swanley, East Kent, Medway and Swale, and West Kent, rates are highest in 18-24 year olds (between 55% and 71%) followed by 25-34 then 35-44. Rates are highest in Dartford Gravesham and Swanley and ithen n Medway and Swale. "/>
                    <pic:cNvPicPr/>
                  </pic:nvPicPr>
                  <pic:blipFill>
                    <a:blip r:embed="rId137">
                      <a:extLst>
                        <a:ext uri="{28A0092B-C50C-407E-A947-70E740481C1C}">
                          <a14:useLocalDpi xmlns:a14="http://schemas.microsoft.com/office/drawing/2010/main" val="0"/>
                        </a:ext>
                      </a:extLst>
                    </a:blip>
                    <a:stretch>
                      <a:fillRect/>
                    </a:stretch>
                  </pic:blipFill>
                  <pic:spPr>
                    <a:xfrm>
                      <a:off x="0" y="0"/>
                      <a:ext cx="5566142" cy="3490437"/>
                    </a:xfrm>
                    <a:prstGeom prst="rect">
                      <a:avLst/>
                    </a:prstGeom>
                  </pic:spPr>
                </pic:pic>
              </a:graphicData>
            </a:graphic>
          </wp:inline>
        </w:drawing>
      </w:r>
    </w:p>
    <w:p w14:paraId="2BD455F1" w14:textId="77777777" w:rsidR="00D52BBD" w:rsidRDefault="00D52BBD">
      <w:pPr>
        <w:spacing w:before="0" w:after="200"/>
        <w:rPr>
          <w:rFonts w:ascii="Arial" w:eastAsia="Arial" w:hAnsi="Arial"/>
          <w:b/>
          <w:bCs/>
        </w:rPr>
      </w:pPr>
      <w:r>
        <w:rPr>
          <w:rFonts w:ascii="Arial" w:eastAsia="Arial" w:hAnsi="Arial"/>
          <w:b/>
          <w:bCs/>
        </w:rPr>
        <w:br w:type="page"/>
      </w:r>
    </w:p>
    <w:p w14:paraId="422A4064" w14:textId="7B4BBDE5" w:rsidR="00726485" w:rsidRPr="00CD204F" w:rsidRDefault="00726485" w:rsidP="00A86E2D">
      <w:pPr>
        <w:rPr>
          <w:b/>
          <w:bCs/>
        </w:rPr>
      </w:pPr>
      <w:r w:rsidRPr="00CD204F">
        <w:rPr>
          <w:rFonts w:ascii="Arial" w:eastAsia="Arial" w:hAnsi="Arial"/>
          <w:b/>
          <w:bCs/>
        </w:rPr>
        <w:lastRenderedPageBreak/>
        <w:t>F</w:t>
      </w:r>
      <w:r w:rsidRPr="00CD204F">
        <w:rPr>
          <w:b/>
          <w:bCs/>
        </w:rPr>
        <w:t>igure 8</w:t>
      </w:r>
      <w:r w:rsidR="006D7B54">
        <w:rPr>
          <w:b/>
          <w:bCs/>
        </w:rPr>
        <w:t>5</w:t>
      </w:r>
      <w:r w:rsidRPr="00CD204F">
        <w:rPr>
          <w:b/>
          <w:bCs/>
        </w:rPr>
        <w:t xml:space="preserve"> Percentage of registered patients with a diagnosis of learning disability and ADHD, by age group and Health Care Partnership. March 2021 [KPHO, 2022] GP reg LD ADHD by district</w:t>
      </w:r>
    </w:p>
    <w:p w14:paraId="69F506A8" w14:textId="77777777" w:rsidR="00726485" w:rsidRDefault="00726485" w:rsidP="00726485">
      <w:r>
        <w:rPr>
          <w:noProof/>
        </w:rPr>
        <w:drawing>
          <wp:inline distT="0" distB="0" distL="0" distR="0" wp14:anchorId="2C1468A5" wp14:editId="2E9F4D96">
            <wp:extent cx="5521202" cy="3324225"/>
            <wp:effectExtent l="0" t="0" r="3810" b="0"/>
            <wp:docPr id="1517289473" name="Picture 1517289473" descr="Column chart showing percentage of registered learning disability patients with a primary care record of ADHD by age group. In all HCPs, Dartford Gravesham and Swanley, East Kent, Medway and Swale, and West Kent, rates are highest in 18-24 year olds (between 20% and 34%) followed by 25-34 then 35-44. Rates are highest in Dartford Gravesham and Swanley and then in Medway and Sw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89473" name="Picture 1517289473" descr="Column chart showing percentage of registered learning disability patients with a primary care record of ADHD by age group. In all HCPs, Dartford Gravesham and Swanley, East Kent, Medway and Swale, and West Kent, rates are highest in 18-24 year olds (between 20% and 34%) followed by 25-34 then 35-44. Rates are highest in Dartford Gravesham and Swanley and then in Medway and Swale. "/>
                    <pic:cNvPicPr/>
                  </pic:nvPicPr>
                  <pic:blipFill>
                    <a:blip r:embed="rId138">
                      <a:extLst>
                        <a:ext uri="{28A0092B-C50C-407E-A947-70E740481C1C}">
                          <a14:useLocalDpi xmlns:a14="http://schemas.microsoft.com/office/drawing/2010/main" val="0"/>
                        </a:ext>
                      </a:extLst>
                    </a:blip>
                    <a:stretch>
                      <a:fillRect/>
                    </a:stretch>
                  </pic:blipFill>
                  <pic:spPr>
                    <a:xfrm>
                      <a:off x="0" y="0"/>
                      <a:ext cx="5535562" cy="3332871"/>
                    </a:xfrm>
                    <a:prstGeom prst="rect">
                      <a:avLst/>
                    </a:prstGeom>
                  </pic:spPr>
                </pic:pic>
              </a:graphicData>
            </a:graphic>
          </wp:inline>
        </w:drawing>
      </w:r>
    </w:p>
    <w:p w14:paraId="780D3C0F" w14:textId="4AA35278" w:rsidR="00726485" w:rsidRPr="009E7F62" w:rsidRDefault="00726485" w:rsidP="00726485">
      <w:pPr>
        <w:rPr>
          <w:b/>
          <w:bCs/>
        </w:rPr>
      </w:pPr>
      <w:r w:rsidRPr="009E7F62">
        <w:rPr>
          <w:b/>
          <w:bCs/>
        </w:rPr>
        <w:t>Figure 8</w:t>
      </w:r>
      <w:r w:rsidR="006D7B54">
        <w:rPr>
          <w:b/>
          <w:bCs/>
        </w:rPr>
        <w:t>6</w:t>
      </w:r>
      <w:r w:rsidRPr="009E7F62">
        <w:rPr>
          <w:b/>
          <w:bCs/>
        </w:rPr>
        <w:t xml:space="preserve"> Percentage of registered patients with a diagnosis of learning disability and a long-term condition, August 2022 [KPHO, 2022]</w:t>
      </w:r>
    </w:p>
    <w:p w14:paraId="2EC61445" w14:textId="77777777" w:rsidR="00726485" w:rsidRDefault="00726485" w:rsidP="00726485">
      <w:r>
        <w:rPr>
          <w:noProof/>
        </w:rPr>
        <w:drawing>
          <wp:inline distT="0" distB="0" distL="0" distR="0" wp14:anchorId="50319C2C" wp14:editId="552A6284">
            <wp:extent cx="5476875" cy="3297533"/>
            <wp:effectExtent l="0" t="0" r="0" b="0"/>
            <wp:docPr id="513271458" name="Picture 513271458" descr="Bar chart showing Percentage of registered patients with a diagnosis of learning disability and a long-term condition by age group. Epilepsy is highest at about 21%, followed by depression, asthma, hypertension, coronary heart disease, diabetes and serious mental illness at about 6%. Chronic kidney disease, cancer, stroke, dementia, palliative care, COPD, atrial fibrillation, heart failure, rheumatoid arthritis and peripheral arterial disease follow with percentages under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71458" name="Picture 513271458" descr="Bar chart showing Percentage of registered patients with a diagnosis of learning disability and a long-term condition by age group. Epilepsy is highest at about 21%, followed by depression, asthma, hypertension, coronary heart disease, diabetes and serious mental illness at about 6%. Chronic kidney disease, cancer, stroke, dementia, palliative care, COPD, atrial fibrillation, heart failure, rheumatoid arthritis and peripheral arterial disease follow with percentages under 3%. "/>
                    <pic:cNvPicPr/>
                  </pic:nvPicPr>
                  <pic:blipFill>
                    <a:blip r:embed="rId139">
                      <a:extLst>
                        <a:ext uri="{28A0092B-C50C-407E-A947-70E740481C1C}">
                          <a14:useLocalDpi xmlns:a14="http://schemas.microsoft.com/office/drawing/2010/main" val="0"/>
                        </a:ext>
                      </a:extLst>
                    </a:blip>
                    <a:stretch>
                      <a:fillRect/>
                    </a:stretch>
                  </pic:blipFill>
                  <pic:spPr>
                    <a:xfrm>
                      <a:off x="0" y="0"/>
                      <a:ext cx="5489449" cy="3305103"/>
                    </a:xfrm>
                    <a:prstGeom prst="rect">
                      <a:avLst/>
                    </a:prstGeom>
                  </pic:spPr>
                </pic:pic>
              </a:graphicData>
            </a:graphic>
          </wp:inline>
        </w:drawing>
      </w:r>
    </w:p>
    <w:p w14:paraId="0004689F" w14:textId="77777777" w:rsidR="00726485" w:rsidRDefault="00726485" w:rsidP="00A86E2D">
      <w:r w:rsidRPr="15853314">
        <w:rPr>
          <w:rFonts w:ascii="Calibri" w:eastAsia="Calibri" w:hAnsi="Calibri" w:cs="Calibri"/>
        </w:rPr>
        <w:t>60% of Kent registered patients aged 18+ with a primary care record of LD had an annual health check in 2021/22. The number in West Kent HCP area was just below 60%.</w:t>
      </w:r>
    </w:p>
    <w:p w14:paraId="442E4F2A" w14:textId="77777777" w:rsidR="00726485" w:rsidRDefault="00726485" w:rsidP="00A86E2D">
      <w:pPr>
        <w:rPr>
          <w:b/>
          <w:bCs/>
        </w:rPr>
      </w:pPr>
    </w:p>
    <w:p w14:paraId="6FED70BD" w14:textId="6740B9A3" w:rsidR="00726485" w:rsidRPr="00CD204F" w:rsidRDefault="00726485" w:rsidP="00A86E2D">
      <w:pPr>
        <w:rPr>
          <w:b/>
          <w:bCs/>
        </w:rPr>
      </w:pPr>
      <w:r w:rsidRPr="00CD204F">
        <w:rPr>
          <w:b/>
          <w:bCs/>
        </w:rPr>
        <w:lastRenderedPageBreak/>
        <w:t>Figure 8</w:t>
      </w:r>
      <w:r w:rsidR="006D7B54">
        <w:rPr>
          <w:b/>
          <w:bCs/>
        </w:rPr>
        <w:t>7</w:t>
      </w:r>
      <w:r w:rsidRPr="00CD204F">
        <w:rPr>
          <w:b/>
          <w:bCs/>
        </w:rPr>
        <w:t xml:space="preserve"> Adults in Kent with a learning disability having a recorded health check by </w:t>
      </w:r>
      <w:r w:rsidR="001B7F38">
        <w:rPr>
          <w:b/>
          <w:bCs/>
        </w:rPr>
        <w:t>HCP</w:t>
      </w:r>
      <w:r w:rsidRPr="00CD204F">
        <w:rPr>
          <w:b/>
          <w:bCs/>
        </w:rPr>
        <w:t>, 2021-22</w:t>
      </w:r>
    </w:p>
    <w:p w14:paraId="030AE7AB" w14:textId="77777777" w:rsidR="00726485" w:rsidRDefault="00726485" w:rsidP="00726485">
      <w:r>
        <w:rPr>
          <w:noProof/>
        </w:rPr>
        <w:drawing>
          <wp:inline distT="0" distB="0" distL="0" distR="0" wp14:anchorId="5127620B" wp14:editId="767F45E8">
            <wp:extent cx="5667375" cy="3412232"/>
            <wp:effectExtent l="0" t="0" r="0" b="0"/>
            <wp:docPr id="503578631" name="Picture 503578631" descr="Column chart showing percentage of learning disability patients with a record of a health check. Dartford Gravesham and Swanley, East Kent and West Kent are very similar to the Kent average around 60%. Medway and Swale is much lower at abou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78631" name="Picture 503578631" descr="Column chart showing percentage of learning disability patients with a record of a health check. Dartford Gravesham and Swanley, East Kent and West Kent are very similar to the Kent average around 60%. Medway and Swale is much lower at about 45%."/>
                    <pic:cNvPicPr/>
                  </pic:nvPicPr>
                  <pic:blipFill>
                    <a:blip r:embed="rId140">
                      <a:extLst>
                        <a:ext uri="{28A0092B-C50C-407E-A947-70E740481C1C}">
                          <a14:useLocalDpi xmlns:a14="http://schemas.microsoft.com/office/drawing/2010/main" val="0"/>
                        </a:ext>
                      </a:extLst>
                    </a:blip>
                    <a:stretch>
                      <a:fillRect/>
                    </a:stretch>
                  </pic:blipFill>
                  <pic:spPr>
                    <a:xfrm>
                      <a:off x="0" y="0"/>
                      <a:ext cx="5667375" cy="3412232"/>
                    </a:xfrm>
                    <a:prstGeom prst="rect">
                      <a:avLst/>
                    </a:prstGeom>
                  </pic:spPr>
                </pic:pic>
              </a:graphicData>
            </a:graphic>
          </wp:inline>
        </w:drawing>
      </w:r>
    </w:p>
    <w:p w14:paraId="546638E7" w14:textId="77777777" w:rsidR="00726485" w:rsidRDefault="00726485" w:rsidP="009D38FF">
      <w:pPr>
        <w:pStyle w:val="Heading2"/>
      </w:pPr>
      <w:bookmarkStart w:id="154" w:name="_Toc128133850"/>
      <w:r w:rsidRPr="7731B436">
        <w:rPr>
          <w:rFonts w:eastAsia="Calibri"/>
        </w:rPr>
        <w:t>Recommendations:</w:t>
      </w:r>
      <w:bookmarkEnd w:id="154"/>
    </w:p>
    <w:p w14:paraId="70A1CF15" w14:textId="77777777" w:rsidR="00726485" w:rsidRDefault="00726485" w:rsidP="007A44C5">
      <w:pPr>
        <w:pStyle w:val="ListParagraph"/>
        <w:numPr>
          <w:ilvl w:val="0"/>
          <w:numId w:val="12"/>
        </w:numPr>
        <w:rPr>
          <w:rFonts w:ascii="Calibri" w:eastAsia="Calibri" w:hAnsi="Calibri" w:cs="Calibri"/>
          <w:sz w:val="24"/>
          <w:szCs w:val="24"/>
        </w:rPr>
      </w:pPr>
      <w:r w:rsidRPr="7731B436">
        <w:rPr>
          <w:rFonts w:ascii="Calibri" w:eastAsia="Calibri" w:hAnsi="Calibri" w:cs="Calibri"/>
          <w:sz w:val="24"/>
          <w:szCs w:val="24"/>
        </w:rPr>
        <w:t>That Commissioners ensure that providers are mandated to recover relevant service user and service performance data.</w:t>
      </w:r>
    </w:p>
    <w:p w14:paraId="0A924F52" w14:textId="55E10380" w:rsidR="00726485" w:rsidRDefault="00726485" w:rsidP="007A44C5">
      <w:pPr>
        <w:pStyle w:val="ListParagraph"/>
        <w:numPr>
          <w:ilvl w:val="0"/>
          <w:numId w:val="12"/>
        </w:numPr>
        <w:rPr>
          <w:rFonts w:ascii="Calibri" w:eastAsia="Calibri" w:hAnsi="Calibri" w:cs="Calibri"/>
          <w:sz w:val="24"/>
          <w:szCs w:val="24"/>
        </w:rPr>
      </w:pPr>
      <w:r w:rsidRPr="7731B436">
        <w:rPr>
          <w:rFonts w:ascii="Calibri" w:eastAsia="Calibri" w:hAnsi="Calibri" w:cs="Calibri"/>
          <w:sz w:val="24"/>
          <w:szCs w:val="24"/>
        </w:rPr>
        <w:t>That Commissioners await the outcome of the current ongoing LD Needs assessment to enable better and timely responses.</w:t>
      </w:r>
    </w:p>
    <w:p w14:paraId="5A49A237" w14:textId="07D3CDB1" w:rsidR="00726485" w:rsidRPr="00A14C4B" w:rsidRDefault="006716E6" w:rsidP="00A14C4B">
      <w:pPr>
        <w:spacing w:before="0" w:after="200"/>
        <w:rPr>
          <w:rFonts w:ascii="Calibri" w:eastAsia="Calibri" w:hAnsi="Calibri" w:cs="Calibri"/>
          <w:lang w:eastAsia="en-US"/>
        </w:rPr>
      </w:pPr>
      <w:r>
        <w:rPr>
          <w:rFonts w:ascii="Calibri" w:eastAsia="Calibri" w:hAnsi="Calibri" w:cs="Calibri"/>
        </w:rPr>
        <w:br w:type="page"/>
      </w:r>
    </w:p>
    <w:p w14:paraId="34BBF255" w14:textId="3CD27F11" w:rsidR="003A10A0" w:rsidRPr="00990556" w:rsidRDefault="003A10A0" w:rsidP="002F5F22">
      <w:pPr>
        <w:pStyle w:val="Heading1"/>
      </w:pPr>
      <w:bookmarkStart w:id="155" w:name="_Toc128133851"/>
      <w:r w:rsidRPr="5E4DB3C2">
        <w:lastRenderedPageBreak/>
        <w:t xml:space="preserve">Wider determinants affecting health </w:t>
      </w:r>
      <w:r w:rsidR="00882CCB" w:rsidRPr="5E4DB3C2">
        <w:t>outcomes.</w:t>
      </w:r>
      <w:bookmarkEnd w:id="155"/>
    </w:p>
    <w:p w14:paraId="755AB6E0" w14:textId="77777777" w:rsidR="003A10A0" w:rsidRPr="00C7177A" w:rsidRDefault="003A10A0" w:rsidP="009D38FF">
      <w:pPr>
        <w:pStyle w:val="Heading2"/>
      </w:pPr>
      <w:bookmarkStart w:id="156" w:name="_Toc128133852"/>
      <w:r w:rsidRPr="32F7F25D">
        <w:t>Index of multiple deprivation 2019</w:t>
      </w:r>
      <w:bookmarkEnd w:id="156"/>
    </w:p>
    <w:p w14:paraId="3426B8DF" w14:textId="65050EAA" w:rsidR="003A10A0" w:rsidRDefault="003A10A0" w:rsidP="003A10A0">
      <w:pPr>
        <w:rPr>
          <w:b/>
          <w:bCs/>
        </w:rPr>
      </w:pPr>
      <w:r w:rsidRPr="32F7F25D">
        <w:rPr>
          <w:b/>
          <w:bCs/>
        </w:rPr>
        <w:t>Figure 8</w:t>
      </w:r>
      <w:r w:rsidR="006D7B54">
        <w:rPr>
          <w:b/>
          <w:bCs/>
        </w:rPr>
        <w:t>8</w:t>
      </w:r>
      <w:r w:rsidR="00AC1C17">
        <w:rPr>
          <w:b/>
          <w:bCs/>
        </w:rPr>
        <w:t>:</w:t>
      </w:r>
      <w:r w:rsidRPr="32F7F25D">
        <w:rPr>
          <w:b/>
          <w:bCs/>
        </w:rPr>
        <w:t xml:space="preserve"> 4 wards are in the lowest quintile for Kent – Trench, Snodland East, Shepway South and Parkwood. </w:t>
      </w:r>
    </w:p>
    <w:p w14:paraId="255ED664" w14:textId="44F16F21" w:rsidR="003A10A0" w:rsidRDefault="003A10A0" w:rsidP="003A10A0">
      <w:r>
        <w:rPr>
          <w:noProof/>
          <w:color w:val="2B579A"/>
          <w:shd w:val="clear" w:color="auto" w:fill="E6E6E6"/>
        </w:rPr>
        <w:drawing>
          <wp:inline distT="0" distB="0" distL="0" distR="0" wp14:anchorId="0502DE6A" wp14:editId="32CA986E">
            <wp:extent cx="5267325" cy="3096435"/>
            <wp:effectExtent l="0" t="0" r="0" b="8890"/>
            <wp:docPr id="42" name="Picture 42" descr="Map showing deprivation quintiles for the index of multiple deprivation 2019. 4 wards are in the lowest quintile for Kent – Trench, Snodland East, Shepway South and Parkw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showing deprivation quintiles for the index of multiple deprivation 2019. 4 wards are in the lowest quintile for Kent – Trench, Snodland East, Shepway South and Parkwood. "/>
                    <pic:cNvPicPr/>
                  </pic:nvPicPr>
                  <pic:blipFill>
                    <a:blip r:embed="rId141"/>
                    <a:stretch>
                      <a:fillRect/>
                    </a:stretch>
                  </pic:blipFill>
                  <pic:spPr>
                    <a:xfrm>
                      <a:off x="0" y="0"/>
                      <a:ext cx="5268882" cy="3097350"/>
                    </a:xfrm>
                    <a:prstGeom prst="rect">
                      <a:avLst/>
                    </a:prstGeom>
                  </pic:spPr>
                </pic:pic>
              </a:graphicData>
            </a:graphic>
          </wp:inline>
        </w:drawing>
      </w:r>
    </w:p>
    <w:p w14:paraId="42538C86" w14:textId="77777777" w:rsidR="003A10A0" w:rsidRPr="00C7177A" w:rsidRDefault="003A10A0" w:rsidP="004F3A12">
      <w:pPr>
        <w:pStyle w:val="Heading3"/>
        <w:rPr>
          <w:b w:val="0"/>
          <w:bCs/>
        </w:rPr>
      </w:pPr>
      <w:bookmarkStart w:id="157" w:name="_Toc128133853"/>
      <w:r w:rsidRPr="00C7177A">
        <w:t>Income Deprivation Affecting Children (IDACI)</w:t>
      </w:r>
      <w:bookmarkEnd w:id="157"/>
    </w:p>
    <w:p w14:paraId="1A42D47D" w14:textId="3C21041A" w:rsidR="003A10A0" w:rsidRDefault="003A10A0" w:rsidP="003A10A0">
      <w:pPr>
        <w:rPr>
          <w:b/>
          <w:bCs/>
        </w:rPr>
      </w:pPr>
      <w:r w:rsidRPr="32F7F25D">
        <w:rPr>
          <w:b/>
          <w:bCs/>
        </w:rPr>
        <w:t xml:space="preserve">Figure </w:t>
      </w:r>
      <w:r w:rsidR="006D7B54">
        <w:rPr>
          <w:b/>
          <w:bCs/>
        </w:rPr>
        <w:t>89</w:t>
      </w:r>
      <w:r w:rsidRPr="32F7F25D">
        <w:rPr>
          <w:b/>
          <w:bCs/>
        </w:rPr>
        <w:t>: 5 wards are in the lowest quintile for IDACI for Kent – Trench, Snodland East, Shepway South, Parkwood</w:t>
      </w:r>
      <w:r w:rsidR="49BD7E44" w:rsidRPr="740CDBE4">
        <w:rPr>
          <w:b/>
          <w:bCs/>
        </w:rPr>
        <w:t>,</w:t>
      </w:r>
      <w:r w:rsidRPr="32F7F25D">
        <w:rPr>
          <w:b/>
          <w:bCs/>
        </w:rPr>
        <w:t xml:space="preserve"> and East Malling</w:t>
      </w:r>
    </w:p>
    <w:p w14:paraId="10DE70CB" w14:textId="77777777" w:rsidR="003A10A0" w:rsidRDefault="003A10A0" w:rsidP="003A10A0">
      <w:r>
        <w:rPr>
          <w:noProof/>
          <w:color w:val="2B579A"/>
          <w:shd w:val="clear" w:color="auto" w:fill="E6E6E6"/>
        </w:rPr>
        <w:drawing>
          <wp:inline distT="0" distB="0" distL="0" distR="0" wp14:anchorId="633AAB4E" wp14:editId="3038D0F6">
            <wp:extent cx="5610225" cy="3357682"/>
            <wp:effectExtent l="0" t="0" r="0" b="0"/>
            <wp:docPr id="43" name="Picture 43" descr="Map showing deprivation quintiles for income deprivation for younger people. 5 wards are in the lowest quintile for IDACI for Kent – Trench, Snodland East, Shepway South, Parkwood and East Ma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showing deprivation quintiles for income deprivation for younger people. 5 wards are in the lowest quintile for IDACI for Kent – Trench, Snodland East, Shepway South, Parkwood and East Malling"/>
                    <pic:cNvPicPr/>
                  </pic:nvPicPr>
                  <pic:blipFill>
                    <a:blip r:embed="rId142"/>
                    <a:stretch>
                      <a:fillRect/>
                    </a:stretch>
                  </pic:blipFill>
                  <pic:spPr>
                    <a:xfrm>
                      <a:off x="0" y="0"/>
                      <a:ext cx="5612401" cy="3358985"/>
                    </a:xfrm>
                    <a:prstGeom prst="rect">
                      <a:avLst/>
                    </a:prstGeom>
                  </pic:spPr>
                </pic:pic>
              </a:graphicData>
            </a:graphic>
          </wp:inline>
        </w:drawing>
      </w:r>
    </w:p>
    <w:p w14:paraId="4099C3C2" w14:textId="77777777" w:rsidR="003A10A0" w:rsidRPr="009D38FF" w:rsidRDefault="003A10A0" w:rsidP="009D38FF">
      <w:pPr>
        <w:pStyle w:val="Heading2"/>
      </w:pPr>
      <w:bookmarkStart w:id="158" w:name="_Toc128133854"/>
      <w:r w:rsidRPr="009D38FF">
        <w:lastRenderedPageBreak/>
        <w:t>Unemployment</w:t>
      </w:r>
      <w:bookmarkEnd w:id="158"/>
      <w:r w:rsidRPr="009D38FF">
        <w:t xml:space="preserve"> </w:t>
      </w:r>
    </w:p>
    <w:p w14:paraId="65F7C32A" w14:textId="77777777" w:rsidR="003A10A0" w:rsidRDefault="003A10A0" w:rsidP="00A86E2D">
      <w:r>
        <w:t xml:space="preserve">For the latest available data in July 2022, Tonbridge &amp; Malling, Tunbridge Wells and Sevenoaks were significantly below the Kent average rate for claiming Universal Credit. Maidstone district was the highest in West Kent, but still below the Kent average. </w:t>
      </w:r>
    </w:p>
    <w:p w14:paraId="6D070C5B" w14:textId="2AFF357F" w:rsidR="003A10A0" w:rsidRDefault="003A10A0" w:rsidP="003A10A0">
      <w:pPr>
        <w:rPr>
          <w:b/>
          <w:bCs/>
        </w:rPr>
      </w:pPr>
      <w:r w:rsidRPr="045A98DE">
        <w:rPr>
          <w:b/>
          <w:bCs/>
        </w:rPr>
        <w:t>Figure 9</w:t>
      </w:r>
      <w:r w:rsidR="006D7B54">
        <w:rPr>
          <w:b/>
          <w:bCs/>
        </w:rPr>
        <w:t>0</w:t>
      </w:r>
      <w:r w:rsidRPr="045A98DE">
        <w:rPr>
          <w:b/>
          <w:bCs/>
        </w:rPr>
        <w:t xml:space="preserve"> Unemployment </w:t>
      </w:r>
      <w:r w:rsidR="31DB50A1" w:rsidRPr="045A98DE">
        <w:rPr>
          <w:b/>
          <w:bCs/>
        </w:rPr>
        <w:t>rate by</w:t>
      </w:r>
      <w:r w:rsidRPr="045A98DE">
        <w:rPr>
          <w:b/>
          <w:bCs/>
        </w:rPr>
        <w:t xml:space="preserve"> district</w:t>
      </w:r>
    </w:p>
    <w:p w14:paraId="4271E0B1" w14:textId="77777777" w:rsidR="003A10A0" w:rsidRDefault="003A10A0" w:rsidP="003A10A0">
      <w:r>
        <w:rPr>
          <w:noProof/>
          <w:color w:val="2B579A"/>
          <w:shd w:val="clear" w:color="auto" w:fill="E6E6E6"/>
        </w:rPr>
        <w:drawing>
          <wp:inline distT="0" distB="0" distL="0" distR="0" wp14:anchorId="6697EBB5" wp14:editId="6D3A6255">
            <wp:extent cx="5731510" cy="2784475"/>
            <wp:effectExtent l="0" t="0" r="2540" b="0"/>
            <wp:docPr id="45" name="Picture 45" descr="Tonbridge &amp; Malling, Tunbridge Wells and Sevenoaks were significantly below the Kent average rate for claiming Universal Credit. Maidstone district was the highest in West Kent, but still below the Kent ave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nbridge &amp; Malling, Tunbridge Wells and Sevenoaks were significantly below the Kent average rate for claiming Universal Credit. Maidstone district was the highest in West Kent, but still below the Kent average.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2784475"/>
                    </a:xfrm>
                    <a:prstGeom prst="rect">
                      <a:avLst/>
                    </a:prstGeom>
                    <a:noFill/>
                    <a:ln>
                      <a:noFill/>
                    </a:ln>
                  </pic:spPr>
                </pic:pic>
              </a:graphicData>
            </a:graphic>
          </wp:inline>
        </w:drawing>
      </w:r>
    </w:p>
    <w:p w14:paraId="3BA24005" w14:textId="6A768713" w:rsidR="00AC1C17" w:rsidRPr="00AC1C17" w:rsidRDefault="00AC1C17" w:rsidP="003A10A0">
      <w:pPr>
        <w:rPr>
          <w:b/>
          <w:bCs/>
        </w:rPr>
      </w:pPr>
      <w:r w:rsidRPr="32F7F25D">
        <w:rPr>
          <w:b/>
          <w:bCs/>
        </w:rPr>
        <w:t>Table 1</w:t>
      </w:r>
      <w:r w:rsidR="00FA57C8">
        <w:rPr>
          <w:b/>
          <w:bCs/>
        </w:rPr>
        <w:t>9</w:t>
      </w:r>
      <w:r w:rsidRPr="32F7F25D">
        <w:rPr>
          <w:b/>
          <w:bCs/>
        </w:rPr>
        <w:t xml:space="preserve"> </w:t>
      </w:r>
      <w:r>
        <w:rPr>
          <w:b/>
          <w:bCs/>
        </w:rPr>
        <w:t>P</w:t>
      </w:r>
      <w:r w:rsidRPr="32F7F25D">
        <w:rPr>
          <w:b/>
          <w:bCs/>
        </w:rPr>
        <w:t>ercentage claiming Universal Credit.</w:t>
      </w:r>
    </w:p>
    <w:tbl>
      <w:tblPr>
        <w:tblW w:w="5080" w:type="dxa"/>
        <w:tblInd w:w="118" w:type="dxa"/>
        <w:tblLook w:val="04A0" w:firstRow="1" w:lastRow="0" w:firstColumn="1" w:lastColumn="0" w:noHBand="0" w:noVBand="1"/>
      </w:tblPr>
      <w:tblGrid>
        <w:gridCol w:w="2160"/>
        <w:gridCol w:w="2920"/>
      </w:tblGrid>
      <w:tr w:rsidR="003A10A0" w14:paraId="66B32712" w14:textId="77777777">
        <w:trPr>
          <w:trHeight w:val="575"/>
        </w:trPr>
        <w:tc>
          <w:tcPr>
            <w:tcW w:w="2160" w:type="dxa"/>
            <w:tcBorders>
              <w:top w:val="single" w:sz="8" w:space="0" w:color="auto"/>
              <w:left w:val="single" w:sz="8" w:space="0" w:color="auto"/>
              <w:bottom w:val="single" w:sz="4" w:space="0" w:color="auto"/>
              <w:right w:val="single" w:sz="4" w:space="0" w:color="auto"/>
            </w:tcBorders>
            <w:shd w:val="clear" w:color="auto" w:fill="2D7D82"/>
            <w:noWrap/>
            <w:vAlign w:val="center"/>
            <w:hideMark/>
          </w:tcPr>
          <w:p w14:paraId="25C5B3DA" w14:textId="77777777" w:rsidR="003A10A0" w:rsidRDefault="003A10A0" w:rsidP="00A86E2D">
            <w:pPr>
              <w:spacing w:after="0" w:line="240" w:lineRule="auto"/>
              <w:rPr>
                <w:rFonts w:ascii="Arial" w:eastAsia="Times New Roman" w:hAnsi="Arial"/>
                <w:b/>
                <w:bCs/>
                <w:color w:val="FFFFFF"/>
              </w:rPr>
            </w:pPr>
            <w:r>
              <w:rPr>
                <w:rFonts w:ascii="Arial" w:eastAsia="Times New Roman" w:hAnsi="Arial"/>
                <w:b/>
                <w:bCs/>
                <w:color w:val="FFFFFF"/>
              </w:rPr>
              <w:t>Area</w:t>
            </w:r>
          </w:p>
        </w:tc>
        <w:tc>
          <w:tcPr>
            <w:tcW w:w="2920" w:type="dxa"/>
            <w:tcBorders>
              <w:top w:val="single" w:sz="8" w:space="0" w:color="auto"/>
              <w:left w:val="nil"/>
              <w:bottom w:val="single" w:sz="4" w:space="0" w:color="auto"/>
              <w:right w:val="single" w:sz="8" w:space="0" w:color="auto"/>
            </w:tcBorders>
            <w:shd w:val="clear" w:color="auto" w:fill="2D7D82"/>
            <w:vAlign w:val="center"/>
            <w:hideMark/>
          </w:tcPr>
          <w:p w14:paraId="2C918BF6" w14:textId="77777777" w:rsidR="003A10A0" w:rsidRDefault="003A10A0" w:rsidP="00A86E2D">
            <w:pPr>
              <w:spacing w:after="0" w:line="240" w:lineRule="auto"/>
              <w:rPr>
                <w:rFonts w:ascii="Arial" w:eastAsia="Times New Roman" w:hAnsi="Arial"/>
                <w:b/>
                <w:bCs/>
                <w:color w:val="FFFFFF"/>
              </w:rPr>
            </w:pPr>
            <w:r>
              <w:rPr>
                <w:rFonts w:ascii="Arial" w:eastAsia="Times New Roman" w:hAnsi="Arial"/>
                <w:b/>
                <w:bCs/>
                <w:color w:val="FFFFFF"/>
              </w:rPr>
              <w:t>Percentage claiming universal credit, July 2022</w:t>
            </w:r>
          </w:p>
        </w:tc>
      </w:tr>
      <w:tr w:rsidR="003A10A0" w14:paraId="697E69AD" w14:textId="77777777">
        <w:trPr>
          <w:trHeight w:val="283"/>
        </w:trPr>
        <w:tc>
          <w:tcPr>
            <w:tcW w:w="2160" w:type="dxa"/>
            <w:tcBorders>
              <w:top w:val="nil"/>
              <w:left w:val="single" w:sz="8" w:space="0" w:color="auto"/>
              <w:bottom w:val="single" w:sz="4" w:space="0" w:color="auto"/>
              <w:right w:val="single" w:sz="4" w:space="0" w:color="auto"/>
            </w:tcBorders>
            <w:shd w:val="clear" w:color="auto" w:fill="DDF1F3"/>
            <w:noWrap/>
            <w:vAlign w:val="center"/>
            <w:hideMark/>
          </w:tcPr>
          <w:p w14:paraId="01EEBB0E"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Maidstone</w:t>
            </w:r>
          </w:p>
        </w:tc>
        <w:tc>
          <w:tcPr>
            <w:tcW w:w="2920" w:type="dxa"/>
            <w:tcBorders>
              <w:top w:val="nil"/>
              <w:left w:val="nil"/>
              <w:bottom w:val="single" w:sz="4" w:space="0" w:color="auto"/>
              <w:right w:val="single" w:sz="8" w:space="0" w:color="auto"/>
            </w:tcBorders>
            <w:shd w:val="clear" w:color="auto" w:fill="DDF1F3"/>
            <w:noWrap/>
            <w:vAlign w:val="center"/>
            <w:hideMark/>
          </w:tcPr>
          <w:p w14:paraId="3E8AAF93"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2.9%</w:t>
            </w:r>
          </w:p>
        </w:tc>
      </w:tr>
      <w:tr w:rsidR="003A10A0" w14:paraId="54F8C0A7" w14:textId="77777777">
        <w:trPr>
          <w:trHeight w:val="283"/>
        </w:trPr>
        <w:tc>
          <w:tcPr>
            <w:tcW w:w="2160" w:type="dxa"/>
            <w:tcBorders>
              <w:top w:val="nil"/>
              <w:left w:val="single" w:sz="8" w:space="0" w:color="auto"/>
              <w:bottom w:val="single" w:sz="4" w:space="0" w:color="auto"/>
              <w:right w:val="single" w:sz="4" w:space="0" w:color="auto"/>
            </w:tcBorders>
            <w:shd w:val="clear" w:color="auto" w:fill="DDF1F3"/>
            <w:noWrap/>
            <w:vAlign w:val="center"/>
            <w:hideMark/>
          </w:tcPr>
          <w:p w14:paraId="31A9096F"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Sevenoaks</w:t>
            </w:r>
          </w:p>
        </w:tc>
        <w:tc>
          <w:tcPr>
            <w:tcW w:w="2920" w:type="dxa"/>
            <w:tcBorders>
              <w:top w:val="nil"/>
              <w:left w:val="nil"/>
              <w:bottom w:val="single" w:sz="4" w:space="0" w:color="auto"/>
              <w:right w:val="single" w:sz="8" w:space="0" w:color="auto"/>
            </w:tcBorders>
            <w:shd w:val="clear" w:color="auto" w:fill="DDF1F3"/>
            <w:noWrap/>
            <w:vAlign w:val="center"/>
            <w:hideMark/>
          </w:tcPr>
          <w:p w14:paraId="3CDBBD44"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2.1%</w:t>
            </w:r>
          </w:p>
        </w:tc>
      </w:tr>
      <w:tr w:rsidR="003A10A0" w14:paraId="0C0928CD" w14:textId="77777777">
        <w:trPr>
          <w:trHeight w:val="283"/>
        </w:trPr>
        <w:tc>
          <w:tcPr>
            <w:tcW w:w="2160" w:type="dxa"/>
            <w:tcBorders>
              <w:top w:val="nil"/>
              <w:left w:val="single" w:sz="8" w:space="0" w:color="auto"/>
              <w:bottom w:val="single" w:sz="4" w:space="0" w:color="auto"/>
              <w:right w:val="single" w:sz="4" w:space="0" w:color="auto"/>
            </w:tcBorders>
            <w:shd w:val="clear" w:color="auto" w:fill="DDF1F3"/>
            <w:noWrap/>
            <w:vAlign w:val="center"/>
            <w:hideMark/>
          </w:tcPr>
          <w:p w14:paraId="6603B689"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Tonbridge &amp; Malling</w:t>
            </w:r>
          </w:p>
        </w:tc>
        <w:tc>
          <w:tcPr>
            <w:tcW w:w="2920" w:type="dxa"/>
            <w:tcBorders>
              <w:top w:val="nil"/>
              <w:left w:val="nil"/>
              <w:bottom w:val="single" w:sz="4" w:space="0" w:color="auto"/>
              <w:right w:val="single" w:sz="8" w:space="0" w:color="auto"/>
            </w:tcBorders>
            <w:shd w:val="clear" w:color="auto" w:fill="DDF1F3"/>
            <w:noWrap/>
            <w:vAlign w:val="center"/>
            <w:hideMark/>
          </w:tcPr>
          <w:p w14:paraId="377E86E1"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2.0%</w:t>
            </w:r>
          </w:p>
        </w:tc>
      </w:tr>
      <w:tr w:rsidR="003A10A0" w14:paraId="3863DBDA" w14:textId="77777777">
        <w:trPr>
          <w:trHeight w:val="292"/>
        </w:trPr>
        <w:tc>
          <w:tcPr>
            <w:tcW w:w="2160" w:type="dxa"/>
            <w:tcBorders>
              <w:top w:val="nil"/>
              <w:left w:val="single" w:sz="8" w:space="0" w:color="auto"/>
              <w:bottom w:val="nil"/>
              <w:right w:val="single" w:sz="4" w:space="0" w:color="auto"/>
            </w:tcBorders>
            <w:shd w:val="clear" w:color="auto" w:fill="DDF1F3"/>
            <w:noWrap/>
            <w:vAlign w:val="center"/>
            <w:hideMark/>
          </w:tcPr>
          <w:p w14:paraId="566F09C0"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Tunbridge Wells</w:t>
            </w:r>
          </w:p>
        </w:tc>
        <w:tc>
          <w:tcPr>
            <w:tcW w:w="2920" w:type="dxa"/>
            <w:tcBorders>
              <w:top w:val="nil"/>
              <w:left w:val="nil"/>
              <w:bottom w:val="nil"/>
              <w:right w:val="single" w:sz="8" w:space="0" w:color="auto"/>
            </w:tcBorders>
            <w:shd w:val="clear" w:color="auto" w:fill="DDF1F3"/>
            <w:noWrap/>
            <w:vAlign w:val="center"/>
            <w:hideMark/>
          </w:tcPr>
          <w:p w14:paraId="7CD5FD50"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2.3%</w:t>
            </w:r>
          </w:p>
        </w:tc>
      </w:tr>
      <w:tr w:rsidR="003A10A0" w14:paraId="2BA24EBF" w14:textId="77777777">
        <w:trPr>
          <w:trHeight w:val="292"/>
        </w:trPr>
        <w:tc>
          <w:tcPr>
            <w:tcW w:w="2160" w:type="dxa"/>
            <w:tcBorders>
              <w:top w:val="single" w:sz="8" w:space="0" w:color="auto"/>
              <w:left w:val="single" w:sz="8" w:space="0" w:color="auto"/>
              <w:bottom w:val="single" w:sz="8" w:space="0" w:color="auto"/>
              <w:right w:val="single" w:sz="4" w:space="0" w:color="auto"/>
            </w:tcBorders>
            <w:shd w:val="clear" w:color="auto" w:fill="DDF1F3"/>
            <w:noWrap/>
            <w:vAlign w:val="center"/>
            <w:hideMark/>
          </w:tcPr>
          <w:p w14:paraId="69F60259" w14:textId="77777777" w:rsidR="003A10A0" w:rsidRDefault="003A10A0">
            <w:pPr>
              <w:spacing w:after="0" w:line="240" w:lineRule="auto"/>
              <w:rPr>
                <w:rFonts w:ascii="Arial Nova Light" w:eastAsia="Times New Roman" w:hAnsi="Arial Nova Light" w:cs="Times New Roman"/>
                <w:b/>
                <w:bCs/>
                <w:color w:val="000000"/>
              </w:rPr>
            </w:pPr>
            <w:r>
              <w:rPr>
                <w:rFonts w:ascii="Arial Nova Light" w:eastAsia="Times New Roman" w:hAnsi="Arial Nova Light" w:cs="Times New Roman"/>
                <w:b/>
                <w:bCs/>
                <w:color w:val="000000"/>
              </w:rPr>
              <w:t>Kent</w:t>
            </w:r>
          </w:p>
        </w:tc>
        <w:tc>
          <w:tcPr>
            <w:tcW w:w="2920" w:type="dxa"/>
            <w:tcBorders>
              <w:top w:val="single" w:sz="8" w:space="0" w:color="auto"/>
              <w:left w:val="nil"/>
              <w:bottom w:val="single" w:sz="8" w:space="0" w:color="auto"/>
              <w:right w:val="single" w:sz="8" w:space="0" w:color="auto"/>
            </w:tcBorders>
            <w:shd w:val="clear" w:color="auto" w:fill="DDF1F3"/>
            <w:noWrap/>
            <w:vAlign w:val="center"/>
            <w:hideMark/>
          </w:tcPr>
          <w:p w14:paraId="1DC50D77" w14:textId="77777777" w:rsidR="003A10A0" w:rsidRDefault="003A10A0">
            <w:pPr>
              <w:spacing w:after="0" w:line="240" w:lineRule="auto"/>
              <w:jc w:val="center"/>
              <w:rPr>
                <w:rFonts w:ascii="Arial Nova Light" w:eastAsia="Times New Roman" w:hAnsi="Arial Nova Light" w:cs="Times New Roman"/>
                <w:b/>
                <w:bCs/>
                <w:color w:val="000000"/>
              </w:rPr>
            </w:pPr>
            <w:r>
              <w:rPr>
                <w:rFonts w:ascii="Arial Nova Light" w:eastAsia="Times New Roman" w:hAnsi="Arial Nova Light" w:cs="Times New Roman"/>
                <w:b/>
                <w:bCs/>
                <w:color w:val="000000"/>
              </w:rPr>
              <w:t>3.2%</w:t>
            </w:r>
          </w:p>
        </w:tc>
      </w:tr>
    </w:tbl>
    <w:p w14:paraId="65A3BDF6" w14:textId="38A460C9" w:rsidR="003A10A0" w:rsidRDefault="003A10A0" w:rsidP="00A86E2D">
      <w:r>
        <w:t>The four West Kent districts have shown a similar trend since 2011 being significantly lower than Kent, with Maidstone district being the highest. The coronavirus pandemic significantly increased the proportion claiming in 2020 and 2021. Rates declined in 2022 but rem</w:t>
      </w:r>
      <w:r w:rsidR="009E178F">
        <w:t>a</w:t>
      </w:r>
      <w:r>
        <w:t xml:space="preserve">ined higher than pre-pandemic levels. </w:t>
      </w:r>
    </w:p>
    <w:p w14:paraId="415737B0" w14:textId="5B3C8472" w:rsidR="003A10A0" w:rsidRDefault="00A030E8" w:rsidP="00A030E8">
      <w:pPr>
        <w:spacing w:before="0" w:after="200"/>
      </w:pPr>
      <w:r>
        <w:br w:type="page"/>
      </w:r>
    </w:p>
    <w:p w14:paraId="55BB6F6A" w14:textId="77777777" w:rsidR="003A10A0" w:rsidRDefault="003A10A0" w:rsidP="009D38FF">
      <w:pPr>
        <w:pStyle w:val="Heading2"/>
      </w:pPr>
      <w:bookmarkStart w:id="159" w:name="_Toc128133855"/>
      <w:r w:rsidRPr="5E4DB3C2">
        <w:lastRenderedPageBreak/>
        <w:t>Fuel poverty</w:t>
      </w:r>
      <w:bookmarkEnd w:id="159"/>
    </w:p>
    <w:p w14:paraId="1A298971" w14:textId="5C633E7B" w:rsidR="00AC1C17" w:rsidRPr="00AC1C17" w:rsidRDefault="00AC1C17" w:rsidP="00A86E2D">
      <w:pPr>
        <w:rPr>
          <w:b/>
          <w:bCs/>
        </w:rPr>
      </w:pPr>
      <w:r w:rsidRPr="32F7F25D">
        <w:rPr>
          <w:b/>
          <w:bCs/>
        </w:rPr>
        <w:t>Figure 9</w:t>
      </w:r>
      <w:r w:rsidR="006D7B54">
        <w:rPr>
          <w:b/>
          <w:bCs/>
        </w:rPr>
        <w:t>1</w:t>
      </w:r>
      <w:r w:rsidR="00026B46">
        <w:rPr>
          <w:b/>
          <w:bCs/>
        </w:rPr>
        <w:t xml:space="preserve"> Proportion of</w:t>
      </w:r>
      <w:r w:rsidRPr="32F7F25D">
        <w:rPr>
          <w:b/>
          <w:bCs/>
        </w:rPr>
        <w:t xml:space="preserve"> </w:t>
      </w:r>
      <w:r w:rsidR="00CD3074">
        <w:rPr>
          <w:b/>
          <w:bCs/>
        </w:rPr>
        <w:t>h</w:t>
      </w:r>
      <w:r w:rsidRPr="32F7F25D">
        <w:rPr>
          <w:b/>
          <w:bCs/>
        </w:rPr>
        <w:t xml:space="preserve">ouseholds in </w:t>
      </w:r>
      <w:r w:rsidR="00CD3074">
        <w:rPr>
          <w:b/>
          <w:bCs/>
        </w:rPr>
        <w:t>f</w:t>
      </w:r>
      <w:r w:rsidRPr="32F7F25D">
        <w:rPr>
          <w:b/>
          <w:bCs/>
        </w:rPr>
        <w:t>uel poverty</w:t>
      </w:r>
      <w:r w:rsidR="00CD3074">
        <w:rPr>
          <w:b/>
          <w:bCs/>
        </w:rPr>
        <w:t xml:space="preserve"> by Kent ward, 2020</w:t>
      </w:r>
    </w:p>
    <w:p w14:paraId="12AE28AD" w14:textId="77777777" w:rsidR="003A10A0" w:rsidRDefault="003A10A0" w:rsidP="003A10A0">
      <w:r>
        <w:rPr>
          <w:noProof/>
        </w:rPr>
        <w:drawing>
          <wp:inline distT="0" distB="0" distL="0" distR="0" wp14:anchorId="73DB4013" wp14:editId="041848EC">
            <wp:extent cx="4806043" cy="3729928"/>
            <wp:effectExtent l="0" t="0" r="0" b="4445"/>
            <wp:docPr id="46" name="Picture 46" descr="Map showing proportion of households in fuel poverty in Kent wards. High Street Ward in Maidstone BC area has the highest level of fuel poverty at 12.8% of households. In Tonbridge and Malling, it is Snodland East and Ham Hill Ward at 10.2%, in Sevenoaks (HCP area) it is Cowden and Hever 11.5% and in Tunbridge Wells it is Goudhurst and Lamberhurst at 11.2%. The rate for Kent is 9.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ap showing proportion of households in fuel poverty in Kent wards. High Street Ward in Maidstone BC area has the highest level of fuel poverty at 12.8% of households. In Tonbridge and Malling, it is Snodland East and Ham Hill Ward at 10.2%, in Sevenoaks (HCP area) it is Cowden and Hever 11.5% and in Tunbridge Wells it is Goudhurst and Lamberhurst at 11.2%. The rate for Kent is 9.2%.">
                      <a:extLst>
                        <a:ext uri="{C183D7F6-B498-43B3-948B-1728B52AA6E4}">
                          <adec:decorative xmlns:adec="http://schemas.microsoft.com/office/drawing/2017/decorative" val="0"/>
                        </a:ext>
                      </a:extLst>
                    </pic:cNvPr>
                    <pic:cNvPicPr/>
                  </pic:nvPicPr>
                  <pic:blipFill>
                    <a:blip r:embed="rId144">
                      <a:extLst>
                        <a:ext uri="{28A0092B-C50C-407E-A947-70E740481C1C}">
                          <a14:useLocalDpi xmlns:a14="http://schemas.microsoft.com/office/drawing/2010/main" val="0"/>
                        </a:ext>
                      </a:extLst>
                    </a:blip>
                    <a:stretch>
                      <a:fillRect/>
                    </a:stretch>
                  </pic:blipFill>
                  <pic:spPr>
                    <a:xfrm>
                      <a:off x="0" y="0"/>
                      <a:ext cx="4817425" cy="3738761"/>
                    </a:xfrm>
                    <a:prstGeom prst="rect">
                      <a:avLst/>
                    </a:prstGeom>
                  </pic:spPr>
                </pic:pic>
              </a:graphicData>
            </a:graphic>
          </wp:inline>
        </w:drawing>
      </w:r>
    </w:p>
    <w:p w14:paraId="0AEF82C1" w14:textId="5C16E96B" w:rsidR="003A10A0" w:rsidRDefault="003A10A0" w:rsidP="00A86E2D">
      <w:r>
        <w:t>High Street Ward in Maidstone BC area has the</w:t>
      </w:r>
      <w:r w:rsidR="00026B46">
        <w:t xml:space="preserve"> highest</w:t>
      </w:r>
      <w:r>
        <w:t xml:space="preserve"> level of fuel poverty at 12.8% of households. In Tonbridge and Malling, it is Snodland East and Ham Hill Ward at 10.2%, in Sevenoaks (HCP area) it i</w:t>
      </w:r>
      <w:r w:rsidR="00026B46">
        <w:t>s</w:t>
      </w:r>
      <w:r>
        <w:t xml:space="preserve"> Cowden and Hever 11.5% and in Tunbridge Wells it is Goudhurst and Lamberhurst at 11.2%. The rate for Kent is 9.2%</w:t>
      </w:r>
      <w:r w:rsidR="00026B46">
        <w:t>.</w:t>
      </w:r>
    </w:p>
    <w:p w14:paraId="19408ABB" w14:textId="4C12B4B0" w:rsidR="004F3A12" w:rsidRDefault="00FC3F32" w:rsidP="00FC3F32">
      <w:pPr>
        <w:spacing w:before="0" w:after="200"/>
      </w:pPr>
      <w:r>
        <w:br w:type="page"/>
      </w:r>
    </w:p>
    <w:p w14:paraId="7A95A4D1" w14:textId="73C61902" w:rsidR="003A10A0" w:rsidRPr="00C7177A" w:rsidRDefault="003A10A0" w:rsidP="009D38FF">
      <w:pPr>
        <w:pStyle w:val="Heading2"/>
      </w:pPr>
      <w:bookmarkStart w:id="160" w:name="_Toc128133856"/>
      <w:r w:rsidRPr="32F7F25D">
        <w:lastRenderedPageBreak/>
        <w:t>Universal credit</w:t>
      </w:r>
      <w:bookmarkEnd w:id="160"/>
    </w:p>
    <w:p w14:paraId="51ED8C25" w14:textId="4457E269" w:rsidR="003A10A0" w:rsidRDefault="003A10A0" w:rsidP="003A10A0">
      <w:pPr>
        <w:rPr>
          <w:b/>
          <w:bCs/>
        </w:rPr>
      </w:pPr>
      <w:r w:rsidRPr="32F7F25D">
        <w:rPr>
          <w:b/>
          <w:bCs/>
        </w:rPr>
        <w:t>Figure 9</w:t>
      </w:r>
      <w:r w:rsidR="006D7B54">
        <w:rPr>
          <w:b/>
          <w:bCs/>
        </w:rPr>
        <w:t>2</w:t>
      </w:r>
      <w:r w:rsidRPr="32F7F25D">
        <w:rPr>
          <w:b/>
          <w:bCs/>
        </w:rPr>
        <w:t>: Universal credit rate trend, 2011 – July 2022</w:t>
      </w:r>
    </w:p>
    <w:p w14:paraId="212636B8" w14:textId="77777777" w:rsidR="003A10A0" w:rsidRDefault="003A10A0" w:rsidP="003A10A0">
      <w:r>
        <w:rPr>
          <w:noProof/>
          <w:color w:val="2B579A"/>
          <w:shd w:val="clear" w:color="auto" w:fill="E6E6E6"/>
        </w:rPr>
        <w:drawing>
          <wp:inline distT="0" distB="0" distL="0" distR="0" wp14:anchorId="5F907100" wp14:editId="7ACD345C">
            <wp:extent cx="4790258" cy="3129643"/>
            <wp:effectExtent l="0" t="0" r="0" b="0"/>
            <wp:docPr id="47" name="Picture 47" descr="Trend in Universal Credit claimants. The four West Kent districts have been significantly lower than the Kent ave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nd in Universal Credit claimants. The four West Kent districts have been significantly lower than the Kent average. "/>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839447" cy="3161780"/>
                    </a:xfrm>
                    <a:prstGeom prst="rect">
                      <a:avLst/>
                    </a:prstGeom>
                    <a:noFill/>
                    <a:ln>
                      <a:noFill/>
                    </a:ln>
                  </pic:spPr>
                </pic:pic>
              </a:graphicData>
            </a:graphic>
          </wp:inline>
        </w:drawing>
      </w:r>
    </w:p>
    <w:p w14:paraId="6AAE3B89" w14:textId="440B0D03" w:rsidR="00AC1C17" w:rsidRPr="00AC1C17" w:rsidRDefault="00AC1C17" w:rsidP="003A10A0">
      <w:pPr>
        <w:rPr>
          <w:b/>
          <w:bCs/>
          <w:noProof/>
        </w:rPr>
      </w:pPr>
      <w:r w:rsidRPr="32F7F25D">
        <w:rPr>
          <w:b/>
          <w:bCs/>
          <w:noProof/>
        </w:rPr>
        <w:t xml:space="preserve">Table </w:t>
      </w:r>
      <w:r w:rsidR="00FA57C8">
        <w:rPr>
          <w:b/>
          <w:bCs/>
          <w:noProof/>
        </w:rPr>
        <w:t>20</w:t>
      </w:r>
      <w:r w:rsidRPr="32F7F25D">
        <w:rPr>
          <w:b/>
          <w:bCs/>
          <w:noProof/>
        </w:rPr>
        <w:t>: Universal Credit Claimants by District.</w:t>
      </w:r>
    </w:p>
    <w:tbl>
      <w:tblPr>
        <w:tblW w:w="9020" w:type="dxa"/>
        <w:tblInd w:w="118" w:type="dxa"/>
        <w:tblLook w:val="04A0" w:firstRow="1" w:lastRow="0" w:firstColumn="1" w:lastColumn="0" w:noHBand="0" w:noVBand="1"/>
      </w:tblPr>
      <w:tblGrid>
        <w:gridCol w:w="2420"/>
        <w:gridCol w:w="1100"/>
        <w:gridCol w:w="1100"/>
        <w:gridCol w:w="1100"/>
        <w:gridCol w:w="1100"/>
        <w:gridCol w:w="1100"/>
        <w:gridCol w:w="1100"/>
      </w:tblGrid>
      <w:tr w:rsidR="003A10A0" w14:paraId="703C8C4E" w14:textId="77777777" w:rsidTr="00882CCB">
        <w:trPr>
          <w:trHeight w:val="526"/>
        </w:trPr>
        <w:tc>
          <w:tcPr>
            <w:tcW w:w="2420" w:type="dxa"/>
            <w:tcBorders>
              <w:top w:val="single" w:sz="8" w:space="0" w:color="auto"/>
              <w:left w:val="single" w:sz="8" w:space="0" w:color="auto"/>
              <w:bottom w:val="single" w:sz="4" w:space="0" w:color="auto"/>
              <w:right w:val="single" w:sz="4" w:space="0" w:color="auto"/>
            </w:tcBorders>
            <w:shd w:val="clear" w:color="auto" w:fill="2D7D82"/>
            <w:noWrap/>
            <w:vAlign w:val="center"/>
            <w:hideMark/>
          </w:tcPr>
          <w:p w14:paraId="520DEB10"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District or Area</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7AFFA3D1"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2011</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3C3C956B"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2012</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7B3CF386"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2013</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6C574AB9"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2014</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6BDA7C89"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2015</w:t>
            </w:r>
          </w:p>
        </w:tc>
        <w:tc>
          <w:tcPr>
            <w:tcW w:w="1100" w:type="dxa"/>
            <w:tcBorders>
              <w:top w:val="single" w:sz="8" w:space="0" w:color="auto"/>
              <w:left w:val="nil"/>
              <w:bottom w:val="single" w:sz="4" w:space="0" w:color="auto"/>
              <w:right w:val="single" w:sz="8" w:space="0" w:color="auto"/>
            </w:tcBorders>
            <w:shd w:val="clear" w:color="auto" w:fill="2D7D82"/>
            <w:noWrap/>
            <w:vAlign w:val="center"/>
            <w:hideMark/>
          </w:tcPr>
          <w:p w14:paraId="37E8922D"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2016</w:t>
            </w:r>
          </w:p>
        </w:tc>
      </w:tr>
      <w:tr w:rsidR="003A10A0" w14:paraId="0BE8A7F5" w14:textId="77777777">
        <w:trPr>
          <w:trHeight w:val="283"/>
        </w:trPr>
        <w:tc>
          <w:tcPr>
            <w:tcW w:w="2420" w:type="dxa"/>
            <w:tcBorders>
              <w:top w:val="nil"/>
              <w:left w:val="single" w:sz="8" w:space="0" w:color="auto"/>
              <w:bottom w:val="single" w:sz="4" w:space="0" w:color="auto"/>
              <w:right w:val="single" w:sz="4" w:space="0" w:color="auto"/>
            </w:tcBorders>
            <w:shd w:val="clear" w:color="auto" w:fill="DDF1F3"/>
            <w:noWrap/>
            <w:vAlign w:val="center"/>
            <w:hideMark/>
          </w:tcPr>
          <w:p w14:paraId="5DDF82DF"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Maidstone</w:t>
            </w:r>
          </w:p>
        </w:tc>
        <w:tc>
          <w:tcPr>
            <w:tcW w:w="1100" w:type="dxa"/>
            <w:tcBorders>
              <w:top w:val="nil"/>
              <w:left w:val="nil"/>
              <w:bottom w:val="single" w:sz="4" w:space="0" w:color="auto"/>
              <w:right w:val="single" w:sz="4" w:space="0" w:color="auto"/>
            </w:tcBorders>
            <w:shd w:val="clear" w:color="auto" w:fill="DDF1F3"/>
            <w:noWrap/>
            <w:vAlign w:val="center"/>
            <w:hideMark/>
          </w:tcPr>
          <w:p w14:paraId="62AC8CA3"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2.4%</w:t>
            </w:r>
          </w:p>
        </w:tc>
        <w:tc>
          <w:tcPr>
            <w:tcW w:w="1100" w:type="dxa"/>
            <w:tcBorders>
              <w:top w:val="nil"/>
              <w:left w:val="nil"/>
              <w:bottom w:val="single" w:sz="4" w:space="0" w:color="auto"/>
              <w:right w:val="single" w:sz="4" w:space="0" w:color="auto"/>
            </w:tcBorders>
            <w:shd w:val="clear" w:color="auto" w:fill="DDF1F3"/>
            <w:noWrap/>
            <w:vAlign w:val="center"/>
            <w:hideMark/>
          </w:tcPr>
          <w:p w14:paraId="109C2B13"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2.5%</w:t>
            </w:r>
          </w:p>
        </w:tc>
        <w:tc>
          <w:tcPr>
            <w:tcW w:w="1100" w:type="dxa"/>
            <w:tcBorders>
              <w:top w:val="nil"/>
              <w:left w:val="nil"/>
              <w:bottom w:val="single" w:sz="4" w:space="0" w:color="auto"/>
              <w:right w:val="single" w:sz="4" w:space="0" w:color="auto"/>
            </w:tcBorders>
            <w:shd w:val="clear" w:color="auto" w:fill="DDF1F3"/>
            <w:noWrap/>
            <w:vAlign w:val="center"/>
            <w:hideMark/>
          </w:tcPr>
          <w:p w14:paraId="522D33EB"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2.2%</w:t>
            </w:r>
          </w:p>
        </w:tc>
        <w:tc>
          <w:tcPr>
            <w:tcW w:w="1100" w:type="dxa"/>
            <w:tcBorders>
              <w:top w:val="nil"/>
              <w:left w:val="nil"/>
              <w:bottom w:val="single" w:sz="4" w:space="0" w:color="auto"/>
              <w:right w:val="single" w:sz="4" w:space="0" w:color="auto"/>
            </w:tcBorders>
            <w:shd w:val="clear" w:color="auto" w:fill="DDF1F3"/>
            <w:noWrap/>
            <w:vAlign w:val="center"/>
            <w:hideMark/>
          </w:tcPr>
          <w:p w14:paraId="2B2DAB2B"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1.5%</w:t>
            </w:r>
          </w:p>
        </w:tc>
        <w:tc>
          <w:tcPr>
            <w:tcW w:w="1100" w:type="dxa"/>
            <w:tcBorders>
              <w:top w:val="nil"/>
              <w:left w:val="nil"/>
              <w:bottom w:val="single" w:sz="4" w:space="0" w:color="auto"/>
              <w:right w:val="single" w:sz="4" w:space="0" w:color="auto"/>
            </w:tcBorders>
            <w:shd w:val="clear" w:color="auto" w:fill="DDF1F3"/>
            <w:noWrap/>
            <w:vAlign w:val="center"/>
            <w:hideMark/>
          </w:tcPr>
          <w:p w14:paraId="120C6093"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1.2%</w:t>
            </w:r>
          </w:p>
        </w:tc>
        <w:tc>
          <w:tcPr>
            <w:tcW w:w="1100" w:type="dxa"/>
            <w:tcBorders>
              <w:top w:val="nil"/>
              <w:left w:val="nil"/>
              <w:bottom w:val="single" w:sz="4" w:space="0" w:color="auto"/>
              <w:right w:val="single" w:sz="8" w:space="0" w:color="auto"/>
            </w:tcBorders>
            <w:shd w:val="clear" w:color="auto" w:fill="DDF1F3"/>
            <w:noWrap/>
            <w:vAlign w:val="center"/>
            <w:hideMark/>
          </w:tcPr>
          <w:p w14:paraId="7FE1939B"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1.2%</w:t>
            </w:r>
          </w:p>
        </w:tc>
      </w:tr>
      <w:tr w:rsidR="003A10A0" w14:paraId="316EBF59" w14:textId="77777777">
        <w:trPr>
          <w:trHeight w:val="283"/>
        </w:trPr>
        <w:tc>
          <w:tcPr>
            <w:tcW w:w="2420" w:type="dxa"/>
            <w:tcBorders>
              <w:top w:val="nil"/>
              <w:left w:val="single" w:sz="8" w:space="0" w:color="auto"/>
              <w:bottom w:val="single" w:sz="4" w:space="0" w:color="auto"/>
              <w:right w:val="single" w:sz="4" w:space="0" w:color="auto"/>
            </w:tcBorders>
            <w:shd w:val="clear" w:color="auto" w:fill="DDF1F3"/>
            <w:noWrap/>
            <w:vAlign w:val="center"/>
            <w:hideMark/>
          </w:tcPr>
          <w:p w14:paraId="77802536"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Sevenoaks</w:t>
            </w:r>
          </w:p>
        </w:tc>
        <w:tc>
          <w:tcPr>
            <w:tcW w:w="1100" w:type="dxa"/>
            <w:tcBorders>
              <w:top w:val="nil"/>
              <w:left w:val="nil"/>
              <w:bottom w:val="single" w:sz="4" w:space="0" w:color="auto"/>
              <w:right w:val="single" w:sz="4" w:space="0" w:color="auto"/>
            </w:tcBorders>
            <w:shd w:val="clear" w:color="auto" w:fill="DDF1F3"/>
            <w:noWrap/>
            <w:vAlign w:val="center"/>
            <w:hideMark/>
          </w:tcPr>
          <w:p w14:paraId="0A208633"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1.8%</w:t>
            </w:r>
          </w:p>
        </w:tc>
        <w:tc>
          <w:tcPr>
            <w:tcW w:w="1100" w:type="dxa"/>
            <w:tcBorders>
              <w:top w:val="nil"/>
              <w:left w:val="nil"/>
              <w:bottom w:val="single" w:sz="4" w:space="0" w:color="auto"/>
              <w:right w:val="single" w:sz="4" w:space="0" w:color="auto"/>
            </w:tcBorders>
            <w:shd w:val="clear" w:color="auto" w:fill="DDF1F3"/>
            <w:noWrap/>
            <w:vAlign w:val="center"/>
            <w:hideMark/>
          </w:tcPr>
          <w:p w14:paraId="1CC9167D"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1.8%</w:t>
            </w:r>
          </w:p>
        </w:tc>
        <w:tc>
          <w:tcPr>
            <w:tcW w:w="1100" w:type="dxa"/>
            <w:tcBorders>
              <w:top w:val="nil"/>
              <w:left w:val="nil"/>
              <w:bottom w:val="single" w:sz="4" w:space="0" w:color="auto"/>
              <w:right w:val="single" w:sz="4" w:space="0" w:color="auto"/>
            </w:tcBorders>
            <w:shd w:val="clear" w:color="auto" w:fill="DDF1F3"/>
            <w:noWrap/>
            <w:vAlign w:val="center"/>
            <w:hideMark/>
          </w:tcPr>
          <w:p w14:paraId="69708995"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1.5%</w:t>
            </w:r>
          </w:p>
        </w:tc>
        <w:tc>
          <w:tcPr>
            <w:tcW w:w="1100" w:type="dxa"/>
            <w:tcBorders>
              <w:top w:val="nil"/>
              <w:left w:val="nil"/>
              <w:bottom w:val="single" w:sz="4" w:space="0" w:color="auto"/>
              <w:right w:val="single" w:sz="4" w:space="0" w:color="auto"/>
            </w:tcBorders>
            <w:shd w:val="clear" w:color="auto" w:fill="DDF1F3"/>
            <w:noWrap/>
            <w:vAlign w:val="center"/>
            <w:hideMark/>
          </w:tcPr>
          <w:p w14:paraId="1D5B009B"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1.1%</w:t>
            </w:r>
          </w:p>
        </w:tc>
        <w:tc>
          <w:tcPr>
            <w:tcW w:w="1100" w:type="dxa"/>
            <w:tcBorders>
              <w:top w:val="nil"/>
              <w:left w:val="nil"/>
              <w:bottom w:val="single" w:sz="4" w:space="0" w:color="auto"/>
              <w:right w:val="single" w:sz="4" w:space="0" w:color="auto"/>
            </w:tcBorders>
            <w:shd w:val="clear" w:color="auto" w:fill="DDF1F3"/>
            <w:noWrap/>
            <w:vAlign w:val="center"/>
            <w:hideMark/>
          </w:tcPr>
          <w:p w14:paraId="47330E3A"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0.8%</w:t>
            </w:r>
          </w:p>
        </w:tc>
        <w:tc>
          <w:tcPr>
            <w:tcW w:w="1100" w:type="dxa"/>
            <w:tcBorders>
              <w:top w:val="nil"/>
              <w:left w:val="nil"/>
              <w:bottom w:val="single" w:sz="4" w:space="0" w:color="auto"/>
              <w:right w:val="single" w:sz="8" w:space="0" w:color="auto"/>
            </w:tcBorders>
            <w:shd w:val="clear" w:color="auto" w:fill="DDF1F3"/>
            <w:noWrap/>
            <w:vAlign w:val="center"/>
            <w:hideMark/>
          </w:tcPr>
          <w:p w14:paraId="0CB5B1B2"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0.7%</w:t>
            </w:r>
          </w:p>
        </w:tc>
      </w:tr>
      <w:tr w:rsidR="003A10A0" w14:paraId="0A91C045" w14:textId="77777777">
        <w:trPr>
          <w:trHeight w:val="283"/>
        </w:trPr>
        <w:tc>
          <w:tcPr>
            <w:tcW w:w="2420" w:type="dxa"/>
            <w:tcBorders>
              <w:top w:val="nil"/>
              <w:left w:val="single" w:sz="8" w:space="0" w:color="auto"/>
              <w:bottom w:val="single" w:sz="4" w:space="0" w:color="auto"/>
              <w:right w:val="single" w:sz="4" w:space="0" w:color="auto"/>
            </w:tcBorders>
            <w:shd w:val="clear" w:color="auto" w:fill="DDF1F3"/>
            <w:noWrap/>
            <w:vAlign w:val="center"/>
            <w:hideMark/>
          </w:tcPr>
          <w:p w14:paraId="00AF9054"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Tonbridge and Malling</w:t>
            </w:r>
          </w:p>
        </w:tc>
        <w:tc>
          <w:tcPr>
            <w:tcW w:w="1100" w:type="dxa"/>
            <w:tcBorders>
              <w:top w:val="nil"/>
              <w:left w:val="nil"/>
              <w:bottom w:val="single" w:sz="4" w:space="0" w:color="auto"/>
              <w:right w:val="single" w:sz="4" w:space="0" w:color="auto"/>
            </w:tcBorders>
            <w:shd w:val="clear" w:color="auto" w:fill="DDF1F3"/>
            <w:noWrap/>
            <w:vAlign w:val="center"/>
            <w:hideMark/>
          </w:tcPr>
          <w:p w14:paraId="6A409591"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1.9%</w:t>
            </w:r>
          </w:p>
        </w:tc>
        <w:tc>
          <w:tcPr>
            <w:tcW w:w="1100" w:type="dxa"/>
            <w:tcBorders>
              <w:top w:val="nil"/>
              <w:left w:val="nil"/>
              <w:bottom w:val="single" w:sz="4" w:space="0" w:color="auto"/>
              <w:right w:val="single" w:sz="4" w:space="0" w:color="auto"/>
            </w:tcBorders>
            <w:shd w:val="clear" w:color="auto" w:fill="DDF1F3"/>
            <w:noWrap/>
            <w:vAlign w:val="center"/>
            <w:hideMark/>
          </w:tcPr>
          <w:p w14:paraId="4AB6DE94"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2.1%</w:t>
            </w:r>
          </w:p>
        </w:tc>
        <w:tc>
          <w:tcPr>
            <w:tcW w:w="1100" w:type="dxa"/>
            <w:tcBorders>
              <w:top w:val="nil"/>
              <w:left w:val="nil"/>
              <w:bottom w:val="single" w:sz="4" w:space="0" w:color="auto"/>
              <w:right w:val="single" w:sz="4" w:space="0" w:color="auto"/>
            </w:tcBorders>
            <w:shd w:val="clear" w:color="auto" w:fill="DDF1F3"/>
            <w:noWrap/>
            <w:vAlign w:val="center"/>
            <w:hideMark/>
          </w:tcPr>
          <w:p w14:paraId="64859F37"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1.7%</w:t>
            </w:r>
          </w:p>
        </w:tc>
        <w:tc>
          <w:tcPr>
            <w:tcW w:w="1100" w:type="dxa"/>
            <w:tcBorders>
              <w:top w:val="nil"/>
              <w:left w:val="nil"/>
              <w:bottom w:val="single" w:sz="4" w:space="0" w:color="auto"/>
              <w:right w:val="single" w:sz="4" w:space="0" w:color="auto"/>
            </w:tcBorders>
            <w:shd w:val="clear" w:color="auto" w:fill="DDF1F3"/>
            <w:noWrap/>
            <w:vAlign w:val="center"/>
            <w:hideMark/>
          </w:tcPr>
          <w:p w14:paraId="7539FDCF"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1.2%</w:t>
            </w:r>
          </w:p>
        </w:tc>
        <w:tc>
          <w:tcPr>
            <w:tcW w:w="1100" w:type="dxa"/>
            <w:tcBorders>
              <w:top w:val="nil"/>
              <w:left w:val="nil"/>
              <w:bottom w:val="single" w:sz="4" w:space="0" w:color="auto"/>
              <w:right w:val="single" w:sz="4" w:space="0" w:color="auto"/>
            </w:tcBorders>
            <w:shd w:val="clear" w:color="auto" w:fill="DDF1F3"/>
            <w:noWrap/>
            <w:vAlign w:val="center"/>
            <w:hideMark/>
          </w:tcPr>
          <w:p w14:paraId="4CCADF91"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1.0%</w:t>
            </w:r>
          </w:p>
        </w:tc>
        <w:tc>
          <w:tcPr>
            <w:tcW w:w="1100" w:type="dxa"/>
            <w:tcBorders>
              <w:top w:val="nil"/>
              <w:left w:val="nil"/>
              <w:bottom w:val="single" w:sz="4" w:space="0" w:color="auto"/>
              <w:right w:val="single" w:sz="8" w:space="0" w:color="auto"/>
            </w:tcBorders>
            <w:shd w:val="clear" w:color="auto" w:fill="DDF1F3"/>
            <w:noWrap/>
            <w:vAlign w:val="center"/>
            <w:hideMark/>
          </w:tcPr>
          <w:p w14:paraId="1DEF90C6"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0.9%</w:t>
            </w:r>
          </w:p>
        </w:tc>
      </w:tr>
      <w:tr w:rsidR="003A10A0" w14:paraId="70FBFB97" w14:textId="77777777">
        <w:trPr>
          <w:trHeight w:val="292"/>
        </w:trPr>
        <w:tc>
          <w:tcPr>
            <w:tcW w:w="2420" w:type="dxa"/>
            <w:tcBorders>
              <w:top w:val="nil"/>
              <w:left w:val="single" w:sz="8" w:space="0" w:color="auto"/>
              <w:bottom w:val="nil"/>
              <w:right w:val="single" w:sz="4" w:space="0" w:color="auto"/>
            </w:tcBorders>
            <w:shd w:val="clear" w:color="auto" w:fill="DDF1F3"/>
            <w:noWrap/>
            <w:vAlign w:val="center"/>
            <w:hideMark/>
          </w:tcPr>
          <w:p w14:paraId="1489BD5C"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Tunbridge Wells</w:t>
            </w:r>
          </w:p>
        </w:tc>
        <w:tc>
          <w:tcPr>
            <w:tcW w:w="1100" w:type="dxa"/>
            <w:tcBorders>
              <w:top w:val="nil"/>
              <w:left w:val="nil"/>
              <w:bottom w:val="nil"/>
              <w:right w:val="single" w:sz="4" w:space="0" w:color="auto"/>
            </w:tcBorders>
            <w:shd w:val="clear" w:color="auto" w:fill="DDF1F3"/>
            <w:noWrap/>
            <w:vAlign w:val="center"/>
            <w:hideMark/>
          </w:tcPr>
          <w:p w14:paraId="03321EEF"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1.6%</w:t>
            </w:r>
          </w:p>
        </w:tc>
        <w:tc>
          <w:tcPr>
            <w:tcW w:w="1100" w:type="dxa"/>
            <w:tcBorders>
              <w:top w:val="nil"/>
              <w:left w:val="nil"/>
              <w:bottom w:val="nil"/>
              <w:right w:val="single" w:sz="4" w:space="0" w:color="auto"/>
            </w:tcBorders>
            <w:shd w:val="clear" w:color="auto" w:fill="DDF1F3"/>
            <w:noWrap/>
            <w:vAlign w:val="center"/>
            <w:hideMark/>
          </w:tcPr>
          <w:p w14:paraId="34D96641"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1.5%</w:t>
            </w:r>
          </w:p>
        </w:tc>
        <w:tc>
          <w:tcPr>
            <w:tcW w:w="1100" w:type="dxa"/>
            <w:tcBorders>
              <w:top w:val="nil"/>
              <w:left w:val="nil"/>
              <w:bottom w:val="nil"/>
              <w:right w:val="single" w:sz="4" w:space="0" w:color="auto"/>
            </w:tcBorders>
            <w:shd w:val="clear" w:color="auto" w:fill="DDF1F3"/>
            <w:noWrap/>
            <w:vAlign w:val="center"/>
            <w:hideMark/>
          </w:tcPr>
          <w:p w14:paraId="1334A4A2"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1.2%</w:t>
            </w:r>
          </w:p>
        </w:tc>
        <w:tc>
          <w:tcPr>
            <w:tcW w:w="1100" w:type="dxa"/>
            <w:tcBorders>
              <w:top w:val="nil"/>
              <w:left w:val="nil"/>
              <w:bottom w:val="nil"/>
              <w:right w:val="single" w:sz="4" w:space="0" w:color="auto"/>
            </w:tcBorders>
            <w:shd w:val="clear" w:color="auto" w:fill="DDF1F3"/>
            <w:noWrap/>
            <w:vAlign w:val="center"/>
            <w:hideMark/>
          </w:tcPr>
          <w:p w14:paraId="659C9D3C"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0.9%</w:t>
            </w:r>
          </w:p>
        </w:tc>
        <w:tc>
          <w:tcPr>
            <w:tcW w:w="1100" w:type="dxa"/>
            <w:tcBorders>
              <w:top w:val="nil"/>
              <w:left w:val="nil"/>
              <w:bottom w:val="nil"/>
              <w:right w:val="single" w:sz="4" w:space="0" w:color="auto"/>
            </w:tcBorders>
            <w:shd w:val="clear" w:color="auto" w:fill="DDF1F3"/>
            <w:noWrap/>
            <w:vAlign w:val="center"/>
            <w:hideMark/>
          </w:tcPr>
          <w:p w14:paraId="44490474"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0.7%</w:t>
            </w:r>
          </w:p>
        </w:tc>
        <w:tc>
          <w:tcPr>
            <w:tcW w:w="1100" w:type="dxa"/>
            <w:tcBorders>
              <w:top w:val="nil"/>
              <w:left w:val="nil"/>
              <w:bottom w:val="nil"/>
              <w:right w:val="single" w:sz="8" w:space="0" w:color="auto"/>
            </w:tcBorders>
            <w:shd w:val="clear" w:color="auto" w:fill="DDF1F3"/>
            <w:noWrap/>
            <w:vAlign w:val="center"/>
            <w:hideMark/>
          </w:tcPr>
          <w:p w14:paraId="403CA112"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0.7%</w:t>
            </w:r>
          </w:p>
        </w:tc>
      </w:tr>
      <w:tr w:rsidR="003A10A0" w14:paraId="1993D7F0" w14:textId="77777777">
        <w:trPr>
          <w:trHeight w:val="283"/>
        </w:trPr>
        <w:tc>
          <w:tcPr>
            <w:tcW w:w="2420" w:type="dxa"/>
            <w:tcBorders>
              <w:top w:val="single" w:sz="8" w:space="0" w:color="auto"/>
              <w:left w:val="single" w:sz="8" w:space="0" w:color="auto"/>
              <w:bottom w:val="single" w:sz="4" w:space="0" w:color="auto"/>
              <w:right w:val="single" w:sz="4" w:space="0" w:color="auto"/>
            </w:tcBorders>
            <w:shd w:val="clear" w:color="auto" w:fill="DDF1F3"/>
            <w:noWrap/>
            <w:vAlign w:val="center"/>
            <w:hideMark/>
          </w:tcPr>
          <w:p w14:paraId="0DEFB7B6"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England</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40676B4D"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3.7%</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5A8C4CED"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3.8%</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537005C6"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3.4%</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0B9A696E"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2.4%</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3DCB5509"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1.8%</w:t>
            </w:r>
          </w:p>
        </w:tc>
        <w:tc>
          <w:tcPr>
            <w:tcW w:w="1100" w:type="dxa"/>
            <w:tcBorders>
              <w:top w:val="single" w:sz="8" w:space="0" w:color="auto"/>
              <w:left w:val="nil"/>
              <w:bottom w:val="single" w:sz="4" w:space="0" w:color="auto"/>
              <w:right w:val="single" w:sz="8" w:space="0" w:color="auto"/>
            </w:tcBorders>
            <w:shd w:val="clear" w:color="auto" w:fill="DDF1F3"/>
            <w:noWrap/>
            <w:vAlign w:val="center"/>
            <w:hideMark/>
          </w:tcPr>
          <w:p w14:paraId="3C8A1D53"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1.8%</w:t>
            </w:r>
          </w:p>
        </w:tc>
      </w:tr>
      <w:tr w:rsidR="003A10A0" w14:paraId="25965507" w14:textId="77777777">
        <w:trPr>
          <w:trHeight w:val="292"/>
        </w:trPr>
        <w:tc>
          <w:tcPr>
            <w:tcW w:w="2420" w:type="dxa"/>
            <w:tcBorders>
              <w:top w:val="nil"/>
              <w:left w:val="single" w:sz="8" w:space="0" w:color="auto"/>
              <w:bottom w:val="single" w:sz="8" w:space="0" w:color="auto"/>
              <w:right w:val="single" w:sz="4" w:space="0" w:color="auto"/>
            </w:tcBorders>
            <w:shd w:val="clear" w:color="auto" w:fill="DDF1F3"/>
            <w:noWrap/>
            <w:vAlign w:val="center"/>
            <w:hideMark/>
          </w:tcPr>
          <w:p w14:paraId="57CFE369"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Kent &amp; Medway</w:t>
            </w:r>
          </w:p>
        </w:tc>
        <w:tc>
          <w:tcPr>
            <w:tcW w:w="1100" w:type="dxa"/>
            <w:tcBorders>
              <w:top w:val="nil"/>
              <w:left w:val="nil"/>
              <w:bottom w:val="single" w:sz="8" w:space="0" w:color="auto"/>
              <w:right w:val="single" w:sz="4" w:space="0" w:color="auto"/>
            </w:tcBorders>
            <w:shd w:val="clear" w:color="auto" w:fill="DDF1F3"/>
            <w:noWrap/>
            <w:vAlign w:val="center"/>
            <w:hideMark/>
          </w:tcPr>
          <w:p w14:paraId="5D540916"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3.2%</w:t>
            </w:r>
          </w:p>
        </w:tc>
        <w:tc>
          <w:tcPr>
            <w:tcW w:w="1100" w:type="dxa"/>
            <w:tcBorders>
              <w:top w:val="nil"/>
              <w:left w:val="nil"/>
              <w:bottom w:val="single" w:sz="8" w:space="0" w:color="auto"/>
              <w:right w:val="single" w:sz="4" w:space="0" w:color="auto"/>
            </w:tcBorders>
            <w:shd w:val="clear" w:color="auto" w:fill="DDF1F3"/>
            <w:noWrap/>
            <w:vAlign w:val="center"/>
            <w:hideMark/>
          </w:tcPr>
          <w:p w14:paraId="7BED77F1"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3.3%</w:t>
            </w:r>
          </w:p>
        </w:tc>
        <w:tc>
          <w:tcPr>
            <w:tcW w:w="1100" w:type="dxa"/>
            <w:tcBorders>
              <w:top w:val="nil"/>
              <w:left w:val="nil"/>
              <w:bottom w:val="single" w:sz="8" w:space="0" w:color="auto"/>
              <w:right w:val="single" w:sz="4" w:space="0" w:color="auto"/>
            </w:tcBorders>
            <w:shd w:val="clear" w:color="auto" w:fill="DDF1F3"/>
            <w:noWrap/>
            <w:vAlign w:val="center"/>
            <w:hideMark/>
          </w:tcPr>
          <w:p w14:paraId="601F486B"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2.9%</w:t>
            </w:r>
          </w:p>
        </w:tc>
        <w:tc>
          <w:tcPr>
            <w:tcW w:w="1100" w:type="dxa"/>
            <w:tcBorders>
              <w:top w:val="nil"/>
              <w:left w:val="nil"/>
              <w:bottom w:val="single" w:sz="8" w:space="0" w:color="auto"/>
              <w:right w:val="single" w:sz="4" w:space="0" w:color="auto"/>
            </w:tcBorders>
            <w:shd w:val="clear" w:color="auto" w:fill="DDF1F3"/>
            <w:noWrap/>
            <w:vAlign w:val="center"/>
            <w:hideMark/>
          </w:tcPr>
          <w:p w14:paraId="2B2A120E"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2.1%</w:t>
            </w:r>
          </w:p>
        </w:tc>
        <w:tc>
          <w:tcPr>
            <w:tcW w:w="1100" w:type="dxa"/>
            <w:tcBorders>
              <w:top w:val="nil"/>
              <w:left w:val="nil"/>
              <w:bottom w:val="single" w:sz="8" w:space="0" w:color="auto"/>
              <w:right w:val="single" w:sz="4" w:space="0" w:color="auto"/>
            </w:tcBorders>
            <w:shd w:val="clear" w:color="auto" w:fill="DDF1F3"/>
            <w:noWrap/>
            <w:vAlign w:val="center"/>
            <w:hideMark/>
          </w:tcPr>
          <w:p w14:paraId="08036D1E"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1.6%</w:t>
            </w:r>
          </w:p>
        </w:tc>
        <w:tc>
          <w:tcPr>
            <w:tcW w:w="1100" w:type="dxa"/>
            <w:tcBorders>
              <w:top w:val="nil"/>
              <w:left w:val="nil"/>
              <w:bottom w:val="single" w:sz="8" w:space="0" w:color="auto"/>
              <w:right w:val="single" w:sz="8" w:space="0" w:color="auto"/>
            </w:tcBorders>
            <w:shd w:val="clear" w:color="auto" w:fill="DDF1F3"/>
            <w:noWrap/>
            <w:vAlign w:val="center"/>
            <w:hideMark/>
          </w:tcPr>
          <w:p w14:paraId="067DDD10"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1.6%</w:t>
            </w:r>
          </w:p>
        </w:tc>
      </w:tr>
      <w:tr w:rsidR="003A10A0" w14:paraId="72A0C29B" w14:textId="77777777">
        <w:trPr>
          <w:trHeight w:val="386"/>
        </w:trPr>
        <w:tc>
          <w:tcPr>
            <w:tcW w:w="2420" w:type="dxa"/>
            <w:tcBorders>
              <w:top w:val="single" w:sz="8" w:space="0" w:color="auto"/>
              <w:left w:val="single" w:sz="8" w:space="0" w:color="auto"/>
              <w:bottom w:val="single" w:sz="4" w:space="0" w:color="auto"/>
              <w:right w:val="single" w:sz="4" w:space="0" w:color="auto"/>
            </w:tcBorders>
            <w:shd w:val="clear" w:color="auto" w:fill="2D7D82"/>
            <w:noWrap/>
            <w:vAlign w:val="center"/>
            <w:hideMark/>
          </w:tcPr>
          <w:p w14:paraId="67FF2453"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District or Area</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42218328"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2017</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1AB16ACD"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2018</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235B0913"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2019</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7677E621"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2020</w:t>
            </w:r>
          </w:p>
        </w:tc>
        <w:tc>
          <w:tcPr>
            <w:tcW w:w="1100" w:type="dxa"/>
            <w:tcBorders>
              <w:top w:val="single" w:sz="8" w:space="0" w:color="auto"/>
              <w:left w:val="nil"/>
              <w:bottom w:val="single" w:sz="4" w:space="0" w:color="auto"/>
              <w:right w:val="single" w:sz="4" w:space="0" w:color="auto"/>
            </w:tcBorders>
            <w:shd w:val="clear" w:color="auto" w:fill="2D7D82"/>
            <w:noWrap/>
            <w:vAlign w:val="center"/>
            <w:hideMark/>
          </w:tcPr>
          <w:p w14:paraId="70C48416"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2021</w:t>
            </w:r>
          </w:p>
        </w:tc>
        <w:tc>
          <w:tcPr>
            <w:tcW w:w="1100" w:type="dxa"/>
            <w:tcBorders>
              <w:top w:val="single" w:sz="8" w:space="0" w:color="auto"/>
              <w:left w:val="nil"/>
              <w:bottom w:val="single" w:sz="4" w:space="0" w:color="auto"/>
              <w:right w:val="single" w:sz="8" w:space="0" w:color="auto"/>
            </w:tcBorders>
            <w:shd w:val="clear" w:color="auto" w:fill="2D7D82"/>
            <w:noWrap/>
            <w:vAlign w:val="center"/>
            <w:hideMark/>
          </w:tcPr>
          <w:p w14:paraId="3E0C22D3" w14:textId="77777777" w:rsidR="003A10A0" w:rsidRDefault="003A10A0">
            <w:pPr>
              <w:spacing w:after="0" w:line="240" w:lineRule="auto"/>
              <w:jc w:val="center"/>
              <w:rPr>
                <w:rFonts w:ascii="Arial" w:eastAsia="Times New Roman" w:hAnsi="Arial"/>
                <w:b/>
                <w:bCs/>
                <w:color w:val="FFFFFF"/>
              </w:rPr>
            </w:pPr>
            <w:r>
              <w:rPr>
                <w:rFonts w:ascii="Arial" w:eastAsia="Times New Roman" w:hAnsi="Arial"/>
                <w:b/>
                <w:bCs/>
                <w:color w:val="FFFFFF"/>
              </w:rPr>
              <w:t>July 2022</w:t>
            </w:r>
          </w:p>
        </w:tc>
      </w:tr>
      <w:tr w:rsidR="003A10A0" w14:paraId="6FD2A8FC" w14:textId="77777777">
        <w:trPr>
          <w:trHeight w:val="283"/>
        </w:trPr>
        <w:tc>
          <w:tcPr>
            <w:tcW w:w="2420" w:type="dxa"/>
            <w:tcBorders>
              <w:top w:val="nil"/>
              <w:left w:val="single" w:sz="8" w:space="0" w:color="auto"/>
              <w:bottom w:val="single" w:sz="4" w:space="0" w:color="auto"/>
              <w:right w:val="single" w:sz="4" w:space="0" w:color="auto"/>
            </w:tcBorders>
            <w:shd w:val="clear" w:color="auto" w:fill="DDF1F3"/>
            <w:noWrap/>
            <w:vAlign w:val="center"/>
            <w:hideMark/>
          </w:tcPr>
          <w:p w14:paraId="1C5698DD"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Maidstone</w:t>
            </w:r>
          </w:p>
        </w:tc>
        <w:tc>
          <w:tcPr>
            <w:tcW w:w="1100" w:type="dxa"/>
            <w:tcBorders>
              <w:top w:val="nil"/>
              <w:left w:val="nil"/>
              <w:bottom w:val="single" w:sz="4" w:space="0" w:color="auto"/>
              <w:right w:val="single" w:sz="4" w:space="0" w:color="auto"/>
            </w:tcBorders>
            <w:shd w:val="clear" w:color="auto" w:fill="DDF1F3"/>
            <w:noWrap/>
            <w:vAlign w:val="center"/>
            <w:hideMark/>
          </w:tcPr>
          <w:p w14:paraId="41332722"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1.2%</w:t>
            </w:r>
          </w:p>
        </w:tc>
        <w:tc>
          <w:tcPr>
            <w:tcW w:w="1100" w:type="dxa"/>
            <w:tcBorders>
              <w:top w:val="nil"/>
              <w:left w:val="nil"/>
              <w:bottom w:val="single" w:sz="4" w:space="0" w:color="auto"/>
              <w:right w:val="single" w:sz="4" w:space="0" w:color="auto"/>
            </w:tcBorders>
            <w:shd w:val="clear" w:color="auto" w:fill="DDF1F3"/>
            <w:noWrap/>
            <w:vAlign w:val="center"/>
            <w:hideMark/>
          </w:tcPr>
          <w:p w14:paraId="62711CD0"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1.2%</w:t>
            </w:r>
          </w:p>
        </w:tc>
        <w:tc>
          <w:tcPr>
            <w:tcW w:w="1100" w:type="dxa"/>
            <w:tcBorders>
              <w:top w:val="nil"/>
              <w:left w:val="nil"/>
              <w:bottom w:val="single" w:sz="4" w:space="0" w:color="auto"/>
              <w:right w:val="single" w:sz="4" w:space="0" w:color="auto"/>
            </w:tcBorders>
            <w:shd w:val="clear" w:color="auto" w:fill="DDF1F3"/>
            <w:noWrap/>
            <w:vAlign w:val="center"/>
            <w:hideMark/>
          </w:tcPr>
          <w:p w14:paraId="286B531F"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1.7%</w:t>
            </w:r>
          </w:p>
        </w:tc>
        <w:tc>
          <w:tcPr>
            <w:tcW w:w="1100" w:type="dxa"/>
            <w:tcBorders>
              <w:top w:val="nil"/>
              <w:left w:val="nil"/>
              <w:bottom w:val="single" w:sz="4" w:space="0" w:color="auto"/>
              <w:right w:val="single" w:sz="4" w:space="0" w:color="auto"/>
            </w:tcBorders>
            <w:shd w:val="clear" w:color="auto" w:fill="DDF1F3"/>
            <w:noWrap/>
            <w:vAlign w:val="center"/>
            <w:hideMark/>
          </w:tcPr>
          <w:p w14:paraId="386093E5"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4.3%</w:t>
            </w:r>
          </w:p>
        </w:tc>
        <w:tc>
          <w:tcPr>
            <w:tcW w:w="1100" w:type="dxa"/>
            <w:tcBorders>
              <w:top w:val="nil"/>
              <w:left w:val="nil"/>
              <w:bottom w:val="single" w:sz="4" w:space="0" w:color="auto"/>
              <w:right w:val="single" w:sz="4" w:space="0" w:color="auto"/>
            </w:tcBorders>
            <w:shd w:val="clear" w:color="auto" w:fill="DDF1F3"/>
            <w:noWrap/>
            <w:vAlign w:val="center"/>
            <w:hideMark/>
          </w:tcPr>
          <w:p w14:paraId="6C16848A"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4.4%</w:t>
            </w:r>
          </w:p>
        </w:tc>
        <w:tc>
          <w:tcPr>
            <w:tcW w:w="1100" w:type="dxa"/>
            <w:tcBorders>
              <w:top w:val="nil"/>
              <w:left w:val="nil"/>
              <w:bottom w:val="single" w:sz="4" w:space="0" w:color="auto"/>
              <w:right w:val="single" w:sz="8" w:space="0" w:color="auto"/>
            </w:tcBorders>
            <w:shd w:val="clear" w:color="auto" w:fill="DDF1F3"/>
            <w:noWrap/>
            <w:vAlign w:val="center"/>
            <w:hideMark/>
          </w:tcPr>
          <w:p w14:paraId="36E7A5DC"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2.9%</w:t>
            </w:r>
          </w:p>
        </w:tc>
      </w:tr>
      <w:tr w:rsidR="003A10A0" w14:paraId="6A71C1D2" w14:textId="77777777">
        <w:trPr>
          <w:trHeight w:val="283"/>
        </w:trPr>
        <w:tc>
          <w:tcPr>
            <w:tcW w:w="2420" w:type="dxa"/>
            <w:tcBorders>
              <w:top w:val="nil"/>
              <w:left w:val="single" w:sz="8" w:space="0" w:color="auto"/>
              <w:bottom w:val="single" w:sz="4" w:space="0" w:color="auto"/>
              <w:right w:val="single" w:sz="4" w:space="0" w:color="auto"/>
            </w:tcBorders>
            <w:shd w:val="clear" w:color="auto" w:fill="DDF1F3"/>
            <w:noWrap/>
            <w:vAlign w:val="center"/>
            <w:hideMark/>
          </w:tcPr>
          <w:p w14:paraId="7FA9B0FF"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Sevenoaks</w:t>
            </w:r>
          </w:p>
        </w:tc>
        <w:tc>
          <w:tcPr>
            <w:tcW w:w="1100" w:type="dxa"/>
            <w:tcBorders>
              <w:top w:val="nil"/>
              <w:left w:val="nil"/>
              <w:bottom w:val="single" w:sz="4" w:space="0" w:color="auto"/>
              <w:right w:val="single" w:sz="4" w:space="0" w:color="auto"/>
            </w:tcBorders>
            <w:shd w:val="clear" w:color="auto" w:fill="DDF1F3"/>
            <w:noWrap/>
            <w:vAlign w:val="center"/>
            <w:hideMark/>
          </w:tcPr>
          <w:p w14:paraId="2BF824BE"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0.7%</w:t>
            </w:r>
          </w:p>
        </w:tc>
        <w:tc>
          <w:tcPr>
            <w:tcW w:w="1100" w:type="dxa"/>
            <w:tcBorders>
              <w:top w:val="nil"/>
              <w:left w:val="nil"/>
              <w:bottom w:val="single" w:sz="4" w:space="0" w:color="auto"/>
              <w:right w:val="single" w:sz="4" w:space="0" w:color="auto"/>
            </w:tcBorders>
            <w:shd w:val="clear" w:color="auto" w:fill="DDF1F3"/>
            <w:noWrap/>
            <w:vAlign w:val="center"/>
            <w:hideMark/>
          </w:tcPr>
          <w:p w14:paraId="69A65B79"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0.7%</w:t>
            </w:r>
          </w:p>
        </w:tc>
        <w:tc>
          <w:tcPr>
            <w:tcW w:w="1100" w:type="dxa"/>
            <w:tcBorders>
              <w:top w:val="nil"/>
              <w:left w:val="nil"/>
              <w:bottom w:val="single" w:sz="4" w:space="0" w:color="auto"/>
              <w:right w:val="single" w:sz="4" w:space="0" w:color="auto"/>
            </w:tcBorders>
            <w:shd w:val="clear" w:color="auto" w:fill="DDF1F3"/>
            <w:noWrap/>
            <w:vAlign w:val="center"/>
            <w:hideMark/>
          </w:tcPr>
          <w:p w14:paraId="2E10119E"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1.1%</w:t>
            </w:r>
          </w:p>
        </w:tc>
        <w:tc>
          <w:tcPr>
            <w:tcW w:w="1100" w:type="dxa"/>
            <w:tcBorders>
              <w:top w:val="nil"/>
              <w:left w:val="nil"/>
              <w:bottom w:val="single" w:sz="4" w:space="0" w:color="auto"/>
              <w:right w:val="single" w:sz="4" w:space="0" w:color="auto"/>
            </w:tcBorders>
            <w:shd w:val="clear" w:color="auto" w:fill="DDF1F3"/>
            <w:noWrap/>
            <w:vAlign w:val="center"/>
            <w:hideMark/>
          </w:tcPr>
          <w:p w14:paraId="39809A03"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3.3%</w:t>
            </w:r>
          </w:p>
        </w:tc>
        <w:tc>
          <w:tcPr>
            <w:tcW w:w="1100" w:type="dxa"/>
            <w:tcBorders>
              <w:top w:val="nil"/>
              <w:left w:val="nil"/>
              <w:bottom w:val="single" w:sz="4" w:space="0" w:color="auto"/>
              <w:right w:val="single" w:sz="4" w:space="0" w:color="auto"/>
            </w:tcBorders>
            <w:shd w:val="clear" w:color="auto" w:fill="DDF1F3"/>
            <w:noWrap/>
            <w:vAlign w:val="center"/>
            <w:hideMark/>
          </w:tcPr>
          <w:p w14:paraId="15A14719"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3.4%</w:t>
            </w:r>
          </w:p>
        </w:tc>
        <w:tc>
          <w:tcPr>
            <w:tcW w:w="1100" w:type="dxa"/>
            <w:tcBorders>
              <w:top w:val="nil"/>
              <w:left w:val="nil"/>
              <w:bottom w:val="single" w:sz="4" w:space="0" w:color="auto"/>
              <w:right w:val="single" w:sz="8" w:space="0" w:color="auto"/>
            </w:tcBorders>
            <w:shd w:val="clear" w:color="auto" w:fill="DDF1F3"/>
            <w:noWrap/>
            <w:vAlign w:val="center"/>
            <w:hideMark/>
          </w:tcPr>
          <w:p w14:paraId="67315409"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2.1%</w:t>
            </w:r>
          </w:p>
        </w:tc>
      </w:tr>
      <w:tr w:rsidR="003A10A0" w14:paraId="7AAEEA1F" w14:textId="77777777">
        <w:trPr>
          <w:trHeight w:val="283"/>
        </w:trPr>
        <w:tc>
          <w:tcPr>
            <w:tcW w:w="2420" w:type="dxa"/>
            <w:tcBorders>
              <w:top w:val="nil"/>
              <w:left w:val="single" w:sz="8" w:space="0" w:color="auto"/>
              <w:bottom w:val="single" w:sz="4" w:space="0" w:color="auto"/>
              <w:right w:val="single" w:sz="4" w:space="0" w:color="auto"/>
            </w:tcBorders>
            <w:shd w:val="clear" w:color="auto" w:fill="DDF1F3"/>
            <w:noWrap/>
            <w:vAlign w:val="center"/>
            <w:hideMark/>
          </w:tcPr>
          <w:p w14:paraId="29258C5A"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Tonbridge and Malling</w:t>
            </w:r>
          </w:p>
        </w:tc>
        <w:tc>
          <w:tcPr>
            <w:tcW w:w="1100" w:type="dxa"/>
            <w:tcBorders>
              <w:top w:val="nil"/>
              <w:left w:val="nil"/>
              <w:bottom w:val="single" w:sz="4" w:space="0" w:color="auto"/>
              <w:right w:val="single" w:sz="4" w:space="0" w:color="auto"/>
            </w:tcBorders>
            <w:shd w:val="clear" w:color="auto" w:fill="DDF1F3"/>
            <w:noWrap/>
            <w:vAlign w:val="center"/>
            <w:hideMark/>
          </w:tcPr>
          <w:p w14:paraId="2086243A"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0.9%</w:t>
            </w:r>
          </w:p>
        </w:tc>
        <w:tc>
          <w:tcPr>
            <w:tcW w:w="1100" w:type="dxa"/>
            <w:tcBorders>
              <w:top w:val="nil"/>
              <w:left w:val="nil"/>
              <w:bottom w:val="single" w:sz="4" w:space="0" w:color="auto"/>
              <w:right w:val="single" w:sz="4" w:space="0" w:color="auto"/>
            </w:tcBorders>
            <w:shd w:val="clear" w:color="auto" w:fill="DDF1F3"/>
            <w:noWrap/>
            <w:vAlign w:val="center"/>
            <w:hideMark/>
          </w:tcPr>
          <w:p w14:paraId="55287C24"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0.9%</w:t>
            </w:r>
          </w:p>
        </w:tc>
        <w:tc>
          <w:tcPr>
            <w:tcW w:w="1100" w:type="dxa"/>
            <w:tcBorders>
              <w:top w:val="nil"/>
              <w:left w:val="nil"/>
              <w:bottom w:val="single" w:sz="4" w:space="0" w:color="auto"/>
              <w:right w:val="single" w:sz="4" w:space="0" w:color="auto"/>
            </w:tcBorders>
            <w:shd w:val="clear" w:color="auto" w:fill="DDF1F3"/>
            <w:noWrap/>
            <w:vAlign w:val="center"/>
            <w:hideMark/>
          </w:tcPr>
          <w:p w14:paraId="0D2F5E54"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1.2%</w:t>
            </w:r>
          </w:p>
        </w:tc>
        <w:tc>
          <w:tcPr>
            <w:tcW w:w="1100" w:type="dxa"/>
            <w:tcBorders>
              <w:top w:val="nil"/>
              <w:left w:val="nil"/>
              <w:bottom w:val="single" w:sz="4" w:space="0" w:color="auto"/>
              <w:right w:val="single" w:sz="4" w:space="0" w:color="auto"/>
            </w:tcBorders>
            <w:shd w:val="clear" w:color="auto" w:fill="DDF1F3"/>
            <w:noWrap/>
            <w:vAlign w:val="center"/>
            <w:hideMark/>
          </w:tcPr>
          <w:p w14:paraId="6D42698C"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3.5%</w:t>
            </w:r>
          </w:p>
        </w:tc>
        <w:tc>
          <w:tcPr>
            <w:tcW w:w="1100" w:type="dxa"/>
            <w:tcBorders>
              <w:top w:val="nil"/>
              <w:left w:val="nil"/>
              <w:bottom w:val="single" w:sz="4" w:space="0" w:color="auto"/>
              <w:right w:val="single" w:sz="4" w:space="0" w:color="auto"/>
            </w:tcBorders>
            <w:shd w:val="clear" w:color="auto" w:fill="DDF1F3"/>
            <w:noWrap/>
            <w:vAlign w:val="center"/>
            <w:hideMark/>
          </w:tcPr>
          <w:p w14:paraId="27D80012"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3.4%</w:t>
            </w:r>
          </w:p>
        </w:tc>
        <w:tc>
          <w:tcPr>
            <w:tcW w:w="1100" w:type="dxa"/>
            <w:tcBorders>
              <w:top w:val="nil"/>
              <w:left w:val="nil"/>
              <w:bottom w:val="single" w:sz="4" w:space="0" w:color="auto"/>
              <w:right w:val="single" w:sz="8" w:space="0" w:color="auto"/>
            </w:tcBorders>
            <w:shd w:val="clear" w:color="auto" w:fill="DDF1F3"/>
            <w:noWrap/>
            <w:vAlign w:val="center"/>
            <w:hideMark/>
          </w:tcPr>
          <w:p w14:paraId="24876EB5"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2.0%</w:t>
            </w:r>
          </w:p>
        </w:tc>
      </w:tr>
      <w:tr w:rsidR="003A10A0" w14:paraId="6CA6EBEE" w14:textId="77777777">
        <w:trPr>
          <w:trHeight w:val="292"/>
        </w:trPr>
        <w:tc>
          <w:tcPr>
            <w:tcW w:w="2420" w:type="dxa"/>
            <w:tcBorders>
              <w:top w:val="nil"/>
              <w:left w:val="single" w:sz="8" w:space="0" w:color="auto"/>
              <w:bottom w:val="nil"/>
              <w:right w:val="single" w:sz="4" w:space="0" w:color="auto"/>
            </w:tcBorders>
            <w:shd w:val="clear" w:color="auto" w:fill="DDF1F3"/>
            <w:noWrap/>
            <w:vAlign w:val="center"/>
            <w:hideMark/>
          </w:tcPr>
          <w:p w14:paraId="23589555"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Tunbridge Wells</w:t>
            </w:r>
          </w:p>
        </w:tc>
        <w:tc>
          <w:tcPr>
            <w:tcW w:w="1100" w:type="dxa"/>
            <w:tcBorders>
              <w:top w:val="nil"/>
              <w:left w:val="nil"/>
              <w:bottom w:val="nil"/>
              <w:right w:val="single" w:sz="4" w:space="0" w:color="auto"/>
            </w:tcBorders>
            <w:shd w:val="clear" w:color="auto" w:fill="DDF1F3"/>
            <w:noWrap/>
            <w:vAlign w:val="center"/>
            <w:hideMark/>
          </w:tcPr>
          <w:p w14:paraId="1865B147"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0.9%</w:t>
            </w:r>
          </w:p>
        </w:tc>
        <w:tc>
          <w:tcPr>
            <w:tcW w:w="1100" w:type="dxa"/>
            <w:tcBorders>
              <w:top w:val="nil"/>
              <w:left w:val="nil"/>
              <w:bottom w:val="nil"/>
              <w:right w:val="single" w:sz="4" w:space="0" w:color="auto"/>
            </w:tcBorders>
            <w:shd w:val="clear" w:color="auto" w:fill="DDF1F3"/>
            <w:noWrap/>
            <w:vAlign w:val="center"/>
            <w:hideMark/>
          </w:tcPr>
          <w:p w14:paraId="104EAAA4"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0.8%</w:t>
            </w:r>
          </w:p>
        </w:tc>
        <w:tc>
          <w:tcPr>
            <w:tcW w:w="1100" w:type="dxa"/>
            <w:tcBorders>
              <w:top w:val="nil"/>
              <w:left w:val="nil"/>
              <w:bottom w:val="nil"/>
              <w:right w:val="single" w:sz="4" w:space="0" w:color="auto"/>
            </w:tcBorders>
            <w:shd w:val="clear" w:color="auto" w:fill="DDF1F3"/>
            <w:noWrap/>
            <w:vAlign w:val="center"/>
            <w:hideMark/>
          </w:tcPr>
          <w:p w14:paraId="34F511BF"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1.3%</w:t>
            </w:r>
          </w:p>
        </w:tc>
        <w:tc>
          <w:tcPr>
            <w:tcW w:w="1100" w:type="dxa"/>
            <w:tcBorders>
              <w:top w:val="nil"/>
              <w:left w:val="nil"/>
              <w:bottom w:val="nil"/>
              <w:right w:val="single" w:sz="4" w:space="0" w:color="auto"/>
            </w:tcBorders>
            <w:shd w:val="clear" w:color="auto" w:fill="DDF1F3"/>
            <w:noWrap/>
            <w:vAlign w:val="center"/>
            <w:hideMark/>
          </w:tcPr>
          <w:p w14:paraId="38B6A0C2"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3.6%</w:t>
            </w:r>
          </w:p>
        </w:tc>
        <w:tc>
          <w:tcPr>
            <w:tcW w:w="1100" w:type="dxa"/>
            <w:tcBorders>
              <w:top w:val="nil"/>
              <w:left w:val="nil"/>
              <w:bottom w:val="nil"/>
              <w:right w:val="single" w:sz="4" w:space="0" w:color="auto"/>
            </w:tcBorders>
            <w:shd w:val="clear" w:color="auto" w:fill="DDF1F3"/>
            <w:noWrap/>
            <w:vAlign w:val="center"/>
            <w:hideMark/>
          </w:tcPr>
          <w:p w14:paraId="5141FA2F"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3.7%</w:t>
            </w:r>
          </w:p>
        </w:tc>
        <w:tc>
          <w:tcPr>
            <w:tcW w:w="1100" w:type="dxa"/>
            <w:tcBorders>
              <w:top w:val="nil"/>
              <w:left w:val="nil"/>
              <w:bottom w:val="nil"/>
              <w:right w:val="single" w:sz="8" w:space="0" w:color="auto"/>
            </w:tcBorders>
            <w:shd w:val="clear" w:color="auto" w:fill="DDF1F3"/>
            <w:noWrap/>
            <w:vAlign w:val="center"/>
            <w:hideMark/>
          </w:tcPr>
          <w:p w14:paraId="6B27B064"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2.3%</w:t>
            </w:r>
          </w:p>
        </w:tc>
      </w:tr>
      <w:tr w:rsidR="003A10A0" w14:paraId="511D84A6" w14:textId="77777777">
        <w:trPr>
          <w:trHeight w:val="283"/>
        </w:trPr>
        <w:tc>
          <w:tcPr>
            <w:tcW w:w="2420" w:type="dxa"/>
            <w:tcBorders>
              <w:top w:val="single" w:sz="8" w:space="0" w:color="auto"/>
              <w:left w:val="single" w:sz="8" w:space="0" w:color="auto"/>
              <w:bottom w:val="single" w:sz="4" w:space="0" w:color="auto"/>
              <w:right w:val="single" w:sz="4" w:space="0" w:color="auto"/>
            </w:tcBorders>
            <w:shd w:val="clear" w:color="auto" w:fill="DDF1F3"/>
            <w:noWrap/>
            <w:vAlign w:val="center"/>
            <w:hideMark/>
          </w:tcPr>
          <w:p w14:paraId="5AB5F030"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England</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10CC3C7B"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1.8%</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0638E266"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2.1%</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4F5220DF"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2.7%</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1CC3DF3C"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5.4%</w:t>
            </w:r>
          </w:p>
        </w:tc>
        <w:tc>
          <w:tcPr>
            <w:tcW w:w="1100" w:type="dxa"/>
            <w:tcBorders>
              <w:top w:val="single" w:sz="8" w:space="0" w:color="auto"/>
              <w:left w:val="nil"/>
              <w:bottom w:val="single" w:sz="4" w:space="0" w:color="auto"/>
              <w:right w:val="single" w:sz="4" w:space="0" w:color="auto"/>
            </w:tcBorders>
            <w:shd w:val="clear" w:color="auto" w:fill="DDF1F3"/>
            <w:noWrap/>
            <w:vAlign w:val="center"/>
            <w:hideMark/>
          </w:tcPr>
          <w:p w14:paraId="2157BA92"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5.6%</w:t>
            </w:r>
          </w:p>
        </w:tc>
        <w:tc>
          <w:tcPr>
            <w:tcW w:w="1100" w:type="dxa"/>
            <w:tcBorders>
              <w:top w:val="single" w:sz="8" w:space="0" w:color="auto"/>
              <w:left w:val="nil"/>
              <w:bottom w:val="single" w:sz="4" w:space="0" w:color="auto"/>
              <w:right w:val="single" w:sz="8" w:space="0" w:color="auto"/>
            </w:tcBorders>
            <w:shd w:val="clear" w:color="auto" w:fill="DDF1F3"/>
            <w:noWrap/>
            <w:vAlign w:val="center"/>
            <w:hideMark/>
          </w:tcPr>
          <w:p w14:paraId="3D9D283D"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3.8%</w:t>
            </w:r>
          </w:p>
        </w:tc>
      </w:tr>
      <w:tr w:rsidR="003A10A0" w14:paraId="05FC9D45" w14:textId="77777777">
        <w:trPr>
          <w:trHeight w:val="292"/>
        </w:trPr>
        <w:tc>
          <w:tcPr>
            <w:tcW w:w="2420" w:type="dxa"/>
            <w:tcBorders>
              <w:top w:val="nil"/>
              <w:left w:val="single" w:sz="8" w:space="0" w:color="auto"/>
              <w:bottom w:val="single" w:sz="8" w:space="0" w:color="auto"/>
              <w:right w:val="single" w:sz="4" w:space="0" w:color="auto"/>
            </w:tcBorders>
            <w:shd w:val="clear" w:color="auto" w:fill="DDF1F3"/>
            <w:noWrap/>
            <w:vAlign w:val="center"/>
            <w:hideMark/>
          </w:tcPr>
          <w:p w14:paraId="7476C1FF" w14:textId="77777777" w:rsidR="003A10A0" w:rsidRDefault="003A10A0">
            <w:pPr>
              <w:spacing w:after="0" w:line="240" w:lineRule="auto"/>
              <w:rPr>
                <w:rFonts w:ascii="Arial Nova Light" w:eastAsia="Times New Roman" w:hAnsi="Arial Nova Light" w:cs="Times New Roman"/>
                <w:color w:val="000000"/>
              </w:rPr>
            </w:pPr>
            <w:r>
              <w:rPr>
                <w:rFonts w:ascii="Arial Nova Light" w:eastAsia="Times New Roman" w:hAnsi="Arial Nova Light" w:cs="Times New Roman"/>
                <w:color w:val="000000"/>
              </w:rPr>
              <w:t>Kent &amp; Medway</w:t>
            </w:r>
          </w:p>
        </w:tc>
        <w:tc>
          <w:tcPr>
            <w:tcW w:w="1100" w:type="dxa"/>
            <w:tcBorders>
              <w:top w:val="nil"/>
              <w:left w:val="nil"/>
              <w:bottom w:val="single" w:sz="8" w:space="0" w:color="auto"/>
              <w:right w:val="single" w:sz="4" w:space="0" w:color="auto"/>
            </w:tcBorders>
            <w:shd w:val="clear" w:color="auto" w:fill="DDF1F3"/>
            <w:noWrap/>
            <w:vAlign w:val="center"/>
            <w:hideMark/>
          </w:tcPr>
          <w:p w14:paraId="0AFD50D8"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1.7%</w:t>
            </w:r>
          </w:p>
        </w:tc>
        <w:tc>
          <w:tcPr>
            <w:tcW w:w="1100" w:type="dxa"/>
            <w:tcBorders>
              <w:top w:val="nil"/>
              <w:left w:val="nil"/>
              <w:bottom w:val="single" w:sz="8" w:space="0" w:color="auto"/>
              <w:right w:val="single" w:sz="4" w:space="0" w:color="auto"/>
            </w:tcBorders>
            <w:shd w:val="clear" w:color="auto" w:fill="DDF1F3"/>
            <w:noWrap/>
            <w:vAlign w:val="center"/>
            <w:hideMark/>
          </w:tcPr>
          <w:p w14:paraId="33133607"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1.9%</w:t>
            </w:r>
          </w:p>
        </w:tc>
        <w:tc>
          <w:tcPr>
            <w:tcW w:w="1100" w:type="dxa"/>
            <w:tcBorders>
              <w:top w:val="nil"/>
              <w:left w:val="nil"/>
              <w:bottom w:val="single" w:sz="8" w:space="0" w:color="auto"/>
              <w:right w:val="single" w:sz="4" w:space="0" w:color="auto"/>
            </w:tcBorders>
            <w:shd w:val="clear" w:color="auto" w:fill="DDF1F3"/>
            <w:noWrap/>
            <w:vAlign w:val="center"/>
            <w:hideMark/>
          </w:tcPr>
          <w:p w14:paraId="030C6FEE"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2.6%</w:t>
            </w:r>
          </w:p>
        </w:tc>
        <w:tc>
          <w:tcPr>
            <w:tcW w:w="1100" w:type="dxa"/>
            <w:tcBorders>
              <w:top w:val="nil"/>
              <w:left w:val="nil"/>
              <w:bottom w:val="single" w:sz="8" w:space="0" w:color="auto"/>
              <w:right w:val="single" w:sz="4" w:space="0" w:color="auto"/>
            </w:tcBorders>
            <w:shd w:val="clear" w:color="auto" w:fill="DDF1F3"/>
            <w:noWrap/>
            <w:vAlign w:val="center"/>
            <w:hideMark/>
          </w:tcPr>
          <w:p w14:paraId="0F2EB895"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5.2%</w:t>
            </w:r>
          </w:p>
        </w:tc>
        <w:tc>
          <w:tcPr>
            <w:tcW w:w="1100" w:type="dxa"/>
            <w:tcBorders>
              <w:top w:val="nil"/>
              <w:left w:val="nil"/>
              <w:bottom w:val="single" w:sz="8" w:space="0" w:color="auto"/>
              <w:right w:val="single" w:sz="4" w:space="0" w:color="auto"/>
            </w:tcBorders>
            <w:shd w:val="clear" w:color="auto" w:fill="DDF1F3"/>
            <w:noWrap/>
            <w:vAlign w:val="center"/>
            <w:hideMark/>
          </w:tcPr>
          <w:p w14:paraId="0E6BEBAC"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5.2%</w:t>
            </w:r>
          </w:p>
        </w:tc>
        <w:tc>
          <w:tcPr>
            <w:tcW w:w="1100" w:type="dxa"/>
            <w:tcBorders>
              <w:top w:val="nil"/>
              <w:left w:val="nil"/>
              <w:bottom w:val="single" w:sz="8" w:space="0" w:color="auto"/>
              <w:right w:val="single" w:sz="8" w:space="0" w:color="auto"/>
            </w:tcBorders>
            <w:shd w:val="clear" w:color="auto" w:fill="DDF1F3"/>
            <w:noWrap/>
            <w:vAlign w:val="center"/>
            <w:hideMark/>
          </w:tcPr>
          <w:p w14:paraId="5D3CF129" w14:textId="77777777" w:rsidR="003A10A0" w:rsidRDefault="003A10A0">
            <w:pPr>
              <w:spacing w:after="0" w:line="240" w:lineRule="auto"/>
              <w:jc w:val="center"/>
              <w:rPr>
                <w:rFonts w:ascii="Arial Nova Light" w:eastAsia="Times New Roman" w:hAnsi="Arial Nova Light" w:cs="Times New Roman"/>
                <w:color w:val="000000"/>
              </w:rPr>
            </w:pPr>
            <w:r>
              <w:rPr>
                <w:rFonts w:ascii="Arial Nova Light" w:eastAsia="Times New Roman" w:hAnsi="Arial Nova Light" w:cs="Times New Roman"/>
                <w:color w:val="000000"/>
              </w:rPr>
              <w:t>3.3%</w:t>
            </w:r>
          </w:p>
        </w:tc>
      </w:tr>
    </w:tbl>
    <w:p w14:paraId="35E8D9E6" w14:textId="77777777" w:rsidR="003A10A0" w:rsidRDefault="003A10A0" w:rsidP="003A10A0">
      <w:pPr>
        <w:rPr>
          <w:noProof/>
        </w:rPr>
      </w:pPr>
      <w:r w:rsidRPr="32F7F25D">
        <w:rPr>
          <w:noProof/>
        </w:rPr>
        <w:lastRenderedPageBreak/>
        <w:t xml:space="preserve">Universal credit claimants vary significantly by electoral ward, as shown in the graphs below, with High Street ward in Maidstone being the highest at 6.9% of the adult population claiming in July 2022. </w:t>
      </w:r>
    </w:p>
    <w:p w14:paraId="40FC25B8" w14:textId="1D389D9A" w:rsidR="003A10A0" w:rsidRDefault="003A10A0" w:rsidP="003A10A0">
      <w:pPr>
        <w:rPr>
          <w:b/>
          <w:bCs/>
        </w:rPr>
      </w:pPr>
      <w:r w:rsidRPr="32F7F25D">
        <w:rPr>
          <w:b/>
          <w:bCs/>
        </w:rPr>
        <w:t>Figure 9</w:t>
      </w:r>
      <w:r w:rsidR="006D7B54">
        <w:rPr>
          <w:b/>
          <w:bCs/>
        </w:rPr>
        <w:t>3</w:t>
      </w:r>
      <w:r w:rsidRPr="32F7F25D">
        <w:rPr>
          <w:b/>
          <w:bCs/>
        </w:rPr>
        <w:t xml:space="preserve"> Universal Credit in Maidstone District</w:t>
      </w:r>
    </w:p>
    <w:p w14:paraId="243FE387" w14:textId="77777777" w:rsidR="003A10A0" w:rsidRDefault="003A10A0" w:rsidP="003A10A0">
      <w:r>
        <w:rPr>
          <w:noProof/>
        </w:rPr>
        <w:drawing>
          <wp:inline distT="0" distB="0" distL="0" distR="0" wp14:anchorId="56F3FD73" wp14:editId="376A10BB">
            <wp:extent cx="5622926" cy="2607129"/>
            <wp:effectExtent l="0" t="0" r="0" b="3175"/>
            <wp:docPr id="48" name="Picture 48" descr="Universal credit claimants in wards in Maidstone district. High Street Ward is highest at 6.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630754" cy="2610759"/>
                    </a:xfrm>
                    <a:prstGeom prst="rect">
                      <a:avLst/>
                    </a:prstGeom>
                  </pic:spPr>
                </pic:pic>
              </a:graphicData>
            </a:graphic>
          </wp:inline>
        </w:drawing>
      </w:r>
    </w:p>
    <w:p w14:paraId="42088A29" w14:textId="2AC58595" w:rsidR="003A10A0" w:rsidRDefault="003A10A0" w:rsidP="003A10A0">
      <w:pPr>
        <w:rPr>
          <w:b/>
          <w:bCs/>
        </w:rPr>
      </w:pPr>
      <w:r w:rsidRPr="32F7F25D">
        <w:rPr>
          <w:b/>
          <w:bCs/>
        </w:rPr>
        <w:t>Figure 9</w:t>
      </w:r>
      <w:r w:rsidR="006D7B54">
        <w:rPr>
          <w:b/>
          <w:bCs/>
        </w:rPr>
        <w:t>4</w:t>
      </w:r>
      <w:r w:rsidRPr="32F7F25D">
        <w:rPr>
          <w:b/>
          <w:bCs/>
        </w:rPr>
        <w:t xml:space="preserve"> Universal Credit in Sevenoaks District</w:t>
      </w:r>
    </w:p>
    <w:p w14:paraId="5CA911BF" w14:textId="77777777" w:rsidR="003A10A0" w:rsidRDefault="003A10A0" w:rsidP="003A10A0">
      <w:r>
        <w:rPr>
          <w:noProof/>
        </w:rPr>
        <w:drawing>
          <wp:inline distT="0" distB="0" distL="0" distR="0" wp14:anchorId="19A70140" wp14:editId="10F937A3">
            <wp:extent cx="5417185" cy="2449286"/>
            <wp:effectExtent l="0" t="0" r="0" b="8255"/>
            <wp:docPr id="49" name="Picture 49" descr="Universal credit claimants in wards in Sevenoaks district. Swanley St Marys Ward is highest at 4.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454417" cy="2466120"/>
                    </a:xfrm>
                    <a:prstGeom prst="rect">
                      <a:avLst/>
                    </a:prstGeom>
                  </pic:spPr>
                </pic:pic>
              </a:graphicData>
            </a:graphic>
          </wp:inline>
        </w:drawing>
      </w:r>
    </w:p>
    <w:p w14:paraId="2DFDAD1D" w14:textId="11276DED" w:rsidR="00FC3F32" w:rsidRDefault="00B711F3">
      <w:pPr>
        <w:spacing w:before="0" w:after="200"/>
        <w:rPr>
          <w:b/>
          <w:bCs/>
        </w:rPr>
      </w:pPr>
      <w:r>
        <w:rPr>
          <w:b/>
          <w:bCs/>
        </w:rPr>
        <w:br w:type="page"/>
      </w:r>
    </w:p>
    <w:p w14:paraId="5D1AB7D5" w14:textId="7506DB00" w:rsidR="003A10A0" w:rsidRDefault="003A10A0" w:rsidP="003A10A0">
      <w:pPr>
        <w:rPr>
          <w:b/>
          <w:bCs/>
        </w:rPr>
      </w:pPr>
      <w:r w:rsidRPr="32F7F25D">
        <w:rPr>
          <w:b/>
          <w:bCs/>
        </w:rPr>
        <w:lastRenderedPageBreak/>
        <w:t>Figure 9</w:t>
      </w:r>
      <w:r w:rsidR="006D7B54">
        <w:rPr>
          <w:b/>
          <w:bCs/>
        </w:rPr>
        <w:t>5</w:t>
      </w:r>
      <w:r w:rsidRPr="32F7F25D">
        <w:rPr>
          <w:b/>
          <w:bCs/>
        </w:rPr>
        <w:t>: Universal Credit in Tonbridge &amp; Malling District</w:t>
      </w:r>
    </w:p>
    <w:p w14:paraId="650B5259" w14:textId="77777777" w:rsidR="003A10A0" w:rsidRDefault="003A10A0" w:rsidP="003A10A0">
      <w:r>
        <w:rPr>
          <w:noProof/>
        </w:rPr>
        <w:drawing>
          <wp:inline distT="0" distB="0" distL="0" distR="0" wp14:anchorId="71706CDA" wp14:editId="42A669F8">
            <wp:extent cx="5426529" cy="2646530"/>
            <wp:effectExtent l="0" t="0" r="3175" b="1905"/>
            <wp:docPr id="50" name="Picture 50" descr="Universal credit claimants in wards in Tonbridge &amp; Malling district. Trench Ward is highest at 3.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44010" cy="2655056"/>
                    </a:xfrm>
                    <a:prstGeom prst="rect">
                      <a:avLst/>
                    </a:prstGeom>
                  </pic:spPr>
                </pic:pic>
              </a:graphicData>
            </a:graphic>
          </wp:inline>
        </w:drawing>
      </w:r>
    </w:p>
    <w:p w14:paraId="7E6316B7" w14:textId="6442A684" w:rsidR="003A10A0" w:rsidRDefault="003A10A0" w:rsidP="003A10A0">
      <w:pPr>
        <w:rPr>
          <w:b/>
          <w:bCs/>
        </w:rPr>
      </w:pPr>
      <w:r w:rsidRPr="32F7F25D">
        <w:rPr>
          <w:b/>
          <w:bCs/>
        </w:rPr>
        <w:t>Figure 9</w:t>
      </w:r>
      <w:r w:rsidR="006D7B54">
        <w:rPr>
          <w:b/>
          <w:bCs/>
        </w:rPr>
        <w:t>6</w:t>
      </w:r>
      <w:r w:rsidRPr="32F7F25D">
        <w:rPr>
          <w:b/>
          <w:bCs/>
        </w:rPr>
        <w:t xml:space="preserve"> Universal Credit in Tunbridge Wells District</w:t>
      </w:r>
    </w:p>
    <w:p w14:paraId="3A6B6A62" w14:textId="77777777" w:rsidR="003A10A0" w:rsidRDefault="003A10A0" w:rsidP="003A10A0">
      <w:r>
        <w:rPr>
          <w:noProof/>
          <w:color w:val="2B579A"/>
          <w:shd w:val="clear" w:color="auto" w:fill="E6E6E6"/>
        </w:rPr>
        <w:drawing>
          <wp:inline distT="0" distB="0" distL="0" distR="0" wp14:anchorId="62841A5C" wp14:editId="306E42C3">
            <wp:extent cx="5448300" cy="2572640"/>
            <wp:effectExtent l="0" t="0" r="0" b="0"/>
            <wp:docPr id="51" name="Picture 51" descr="Universal credit claimants in wards in Tunbridge Well district. Sherwood Ward is highest at 3.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iversal credit claimants in wards in Tunbridge Well district. Sherwood Ward is highest at 3.4%.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71981" cy="2583822"/>
                    </a:xfrm>
                    <a:prstGeom prst="rect">
                      <a:avLst/>
                    </a:prstGeom>
                    <a:noFill/>
                    <a:ln>
                      <a:noFill/>
                    </a:ln>
                  </pic:spPr>
                </pic:pic>
              </a:graphicData>
            </a:graphic>
          </wp:inline>
        </w:drawing>
      </w:r>
    </w:p>
    <w:p w14:paraId="45DD0DD7" w14:textId="77777777" w:rsidR="003A10A0" w:rsidRDefault="003A10A0" w:rsidP="009D38FF">
      <w:pPr>
        <w:pStyle w:val="Heading2"/>
      </w:pPr>
      <w:bookmarkStart w:id="161" w:name="_Toc128133857"/>
      <w:r w:rsidRPr="5E4DB3C2">
        <w:t>Housing</w:t>
      </w:r>
      <w:bookmarkEnd w:id="161"/>
    </w:p>
    <w:p w14:paraId="37CC401B" w14:textId="77777777" w:rsidR="009478AB" w:rsidRDefault="003A10A0" w:rsidP="00A86E2D">
      <w:r>
        <w:t>Up to 2013 the total number of people on local authority housing registers throughout England was steadily increasing, when changes to legislation from the Localism Act 2011 took effect. This act allowed local authorities to set their own rules about who can apply to be on a housing register or waiting list. One of the changes meant that a household could only apply to one local authority. As a result of these changes there was a significant drop in the number of people on all local authority waiting lists</w:t>
      </w:r>
      <w:r w:rsidR="009478AB">
        <w:t>.</w:t>
      </w:r>
    </w:p>
    <w:p w14:paraId="0EBEA498" w14:textId="61C8BBDC" w:rsidR="009D7BD1" w:rsidRDefault="003A10A0" w:rsidP="00A86E2D">
      <w:r>
        <w:t xml:space="preserve">The number of households on the housing register in Kent steadily increased from 2001 to 2013 when the highest number occurred (36,016). As a result of the changes mentioned above, there was a marked fall in households on the housing register in Kent in 2014. Since 2014 the number has remained steady with a decline in the last year. As of 31 March 2021, </w:t>
      </w:r>
      <w:r>
        <w:lastRenderedPageBreak/>
        <w:t>there were 15,368 households on the Housing Registers of the local authorities in Kent. This is the lowest number of households on the housing register for 20 years. The Housing Register is important as an indication of housing need as determined by the local authority using their eligibility criteria.</w:t>
      </w:r>
      <w:r w:rsidR="254C6DA4">
        <w:t xml:space="preserve"> (</w:t>
      </w:r>
      <w:r w:rsidR="254C6DA4" w:rsidRPr="045A98DE">
        <w:rPr>
          <w:rFonts w:ascii="Calibri" w:eastAsia="Calibri" w:hAnsi="Calibri" w:cs="Calibri"/>
          <w:sz w:val="22"/>
          <w:szCs w:val="22"/>
        </w:rPr>
        <w:t>The housing register in Kent: - 2020 to 2021. Kent Analytics)</w:t>
      </w:r>
    </w:p>
    <w:p w14:paraId="68F13218" w14:textId="77777777" w:rsidR="003A10A0" w:rsidRDefault="003A10A0" w:rsidP="003A10A0">
      <w:pPr>
        <w:rPr>
          <w:b/>
          <w:bCs/>
        </w:rPr>
      </w:pPr>
      <w:r w:rsidRPr="32F7F25D">
        <w:rPr>
          <w:b/>
          <w:bCs/>
        </w:rPr>
        <w:t>Maidstone</w:t>
      </w:r>
    </w:p>
    <w:p w14:paraId="081BC34D" w14:textId="1751F374" w:rsidR="003A10A0" w:rsidRDefault="003A10A0" w:rsidP="003A10A0">
      <w:pPr>
        <w:rPr>
          <w:b/>
          <w:bCs/>
        </w:rPr>
      </w:pPr>
      <w:r w:rsidRPr="045A98DE">
        <w:rPr>
          <w:b/>
          <w:bCs/>
        </w:rPr>
        <w:t>Figure 9</w:t>
      </w:r>
      <w:r w:rsidR="006D7B54">
        <w:rPr>
          <w:b/>
          <w:bCs/>
        </w:rPr>
        <w:t>7</w:t>
      </w:r>
      <w:r w:rsidRPr="045A98DE">
        <w:rPr>
          <w:b/>
          <w:bCs/>
        </w:rPr>
        <w:t>: Households on the Housing Register Maidstone</w:t>
      </w:r>
    </w:p>
    <w:p w14:paraId="2C2008C3" w14:textId="1AAB5247" w:rsidR="003A10A0" w:rsidRDefault="00CC4E8B" w:rsidP="003A10A0">
      <w:pPr>
        <w:rPr>
          <w:b/>
          <w:bCs/>
        </w:rPr>
      </w:pPr>
      <w:r>
        <w:rPr>
          <w:noProof/>
        </w:rPr>
        <w:drawing>
          <wp:inline distT="0" distB="0" distL="0" distR="0" wp14:anchorId="39801F3F" wp14:editId="62F21628">
            <wp:extent cx="5731510" cy="2274946"/>
            <wp:effectExtent l="0" t="0" r="2540" b="0"/>
            <wp:docPr id="1704452134" name="Picture 1704452134" descr="In 2021 Maidstone had 840 households on the housing register. The highest number of households on the register was 3674 in 2012, and the lowest number was 618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 2021 Maidstone had 840 households on the housing register. The highest number of households on the register was 3674 in 2012, and the lowest number was 618 in 201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1510" cy="2274946"/>
                    </a:xfrm>
                    <a:prstGeom prst="rect">
                      <a:avLst/>
                    </a:prstGeom>
                    <a:noFill/>
                  </pic:spPr>
                </pic:pic>
              </a:graphicData>
            </a:graphic>
          </wp:inline>
        </w:drawing>
      </w:r>
    </w:p>
    <w:p w14:paraId="14B75FE0" w14:textId="77777777" w:rsidR="00CC4E8B" w:rsidRPr="002936B1" w:rsidRDefault="00CC4E8B" w:rsidP="00CC4E8B">
      <w:r w:rsidRPr="002936B1">
        <w:t>In 2021, Maidstone had</w:t>
      </w:r>
      <w:r>
        <w:t xml:space="preserve"> 840 households on the housing register. The highest number of households on the register was 3674 in 2012 and the lowest number was 618 in 2018.</w:t>
      </w:r>
    </w:p>
    <w:p w14:paraId="63FCE59F" w14:textId="77777777" w:rsidR="003A10A0" w:rsidRDefault="003A10A0" w:rsidP="003A10A0">
      <w:pPr>
        <w:rPr>
          <w:b/>
          <w:bCs/>
        </w:rPr>
      </w:pPr>
      <w:r w:rsidRPr="32F7F25D">
        <w:rPr>
          <w:b/>
          <w:bCs/>
        </w:rPr>
        <w:t>Sevenoaks</w:t>
      </w:r>
    </w:p>
    <w:p w14:paraId="7801FB38" w14:textId="08876FBB" w:rsidR="003A10A0" w:rsidRDefault="003A10A0" w:rsidP="003A10A0">
      <w:pPr>
        <w:rPr>
          <w:b/>
          <w:bCs/>
        </w:rPr>
      </w:pPr>
      <w:r w:rsidRPr="32F7F25D">
        <w:rPr>
          <w:b/>
          <w:bCs/>
        </w:rPr>
        <w:t>Figure 9</w:t>
      </w:r>
      <w:r w:rsidR="006D7B54">
        <w:rPr>
          <w:b/>
          <w:bCs/>
        </w:rPr>
        <w:t>8</w:t>
      </w:r>
      <w:r w:rsidRPr="32F7F25D">
        <w:rPr>
          <w:b/>
          <w:bCs/>
        </w:rPr>
        <w:t>: Households on the Housing Register Sevenoaks</w:t>
      </w:r>
    </w:p>
    <w:p w14:paraId="7F0F9A36" w14:textId="040B171D" w:rsidR="003A10A0" w:rsidRDefault="00CC4E8B" w:rsidP="003A10A0">
      <w:pPr>
        <w:rPr>
          <w:b/>
          <w:bCs/>
        </w:rPr>
      </w:pPr>
      <w:r>
        <w:rPr>
          <w:noProof/>
        </w:rPr>
        <w:drawing>
          <wp:inline distT="0" distB="0" distL="0" distR="0" wp14:anchorId="38826570" wp14:editId="5373EC93">
            <wp:extent cx="5731510" cy="2278256"/>
            <wp:effectExtent l="0" t="0" r="2540" b="8255"/>
            <wp:docPr id="1704452135" name="Picture 1704452135" descr="In 2021 Sevenoaks had 838 households on the housing register. The highest number of households on the register was 2625 in 2006, and the lowest number was 484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 2021 Sevenoaks had 838 households on the housing register. The highest number of households on the register was 2625 in 2006, and the lowest number was 484 in 20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2278256"/>
                    </a:xfrm>
                    <a:prstGeom prst="rect">
                      <a:avLst/>
                    </a:prstGeom>
                    <a:noFill/>
                  </pic:spPr>
                </pic:pic>
              </a:graphicData>
            </a:graphic>
          </wp:inline>
        </w:drawing>
      </w:r>
    </w:p>
    <w:p w14:paraId="0C444D29" w14:textId="77777777" w:rsidR="00CC4E8B" w:rsidRPr="002936B1" w:rsidRDefault="00CC4E8B" w:rsidP="00CC4E8B">
      <w:r w:rsidRPr="002936B1">
        <w:t>In 2021 Sevenoaks had 838 households on the housing register. The highest number of households on the register was 2625 in 2006 and the lowest number was 484 in 2019.</w:t>
      </w:r>
    </w:p>
    <w:p w14:paraId="13697745" w14:textId="77777777" w:rsidR="00EA0981" w:rsidRDefault="00EA0981">
      <w:pPr>
        <w:spacing w:before="0" w:after="200"/>
        <w:rPr>
          <w:b/>
          <w:bCs/>
        </w:rPr>
      </w:pPr>
      <w:r>
        <w:rPr>
          <w:b/>
          <w:bCs/>
        </w:rPr>
        <w:br w:type="page"/>
      </w:r>
    </w:p>
    <w:p w14:paraId="149C0806" w14:textId="3D3773FD" w:rsidR="003A10A0" w:rsidRDefault="003A10A0" w:rsidP="003A10A0">
      <w:pPr>
        <w:rPr>
          <w:b/>
          <w:bCs/>
        </w:rPr>
      </w:pPr>
      <w:r w:rsidRPr="32F7F25D">
        <w:rPr>
          <w:b/>
          <w:bCs/>
        </w:rPr>
        <w:lastRenderedPageBreak/>
        <w:t>Tonbridge and Malling.</w:t>
      </w:r>
    </w:p>
    <w:p w14:paraId="40EC9224" w14:textId="320A3468" w:rsidR="003A10A0" w:rsidRDefault="003A10A0" w:rsidP="003A10A0">
      <w:pPr>
        <w:rPr>
          <w:b/>
          <w:bCs/>
        </w:rPr>
      </w:pPr>
      <w:r w:rsidRPr="32F7F25D">
        <w:rPr>
          <w:b/>
          <w:bCs/>
        </w:rPr>
        <w:t xml:space="preserve">Figure </w:t>
      </w:r>
      <w:r w:rsidR="006D7B54">
        <w:rPr>
          <w:b/>
          <w:bCs/>
        </w:rPr>
        <w:t>99</w:t>
      </w:r>
      <w:r w:rsidRPr="32F7F25D">
        <w:rPr>
          <w:b/>
          <w:bCs/>
        </w:rPr>
        <w:t>: Households on the Housing Register Tonbridge and Malling</w:t>
      </w:r>
    </w:p>
    <w:p w14:paraId="4EAF3F40" w14:textId="77777777" w:rsidR="003A10A0" w:rsidRDefault="003A10A0" w:rsidP="003A10A0">
      <w:pPr>
        <w:rPr>
          <w:b/>
          <w:bCs/>
        </w:rPr>
      </w:pPr>
    </w:p>
    <w:p w14:paraId="341A61BA" w14:textId="1B2305C7" w:rsidR="003A10A0" w:rsidRDefault="00CC4E8B" w:rsidP="003A10A0">
      <w:pPr>
        <w:rPr>
          <w:b/>
          <w:bCs/>
        </w:rPr>
      </w:pPr>
      <w:r>
        <w:rPr>
          <w:noProof/>
        </w:rPr>
        <w:drawing>
          <wp:inline distT="0" distB="0" distL="0" distR="0" wp14:anchorId="29A16B60" wp14:editId="36ED0746">
            <wp:extent cx="5731510" cy="2278099"/>
            <wp:effectExtent l="0" t="0" r="2540" b="8255"/>
            <wp:docPr id="1704452137" name="Picture 1704452137" descr="In 2021 Tonbridge and Malling had 1171 households on the housing register. The highest number of households on the register was 2492 in 2010, and the lowest number was 989 i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n 2021 Tonbridge and Malling had 1171 households on the housing register. The highest number of households on the register was 2492 in 2010, and the lowest number was 989 in 20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31510" cy="2278099"/>
                    </a:xfrm>
                    <a:prstGeom prst="rect">
                      <a:avLst/>
                    </a:prstGeom>
                    <a:noFill/>
                  </pic:spPr>
                </pic:pic>
              </a:graphicData>
            </a:graphic>
          </wp:inline>
        </w:drawing>
      </w:r>
    </w:p>
    <w:p w14:paraId="3D4B71AA" w14:textId="77777777" w:rsidR="00CC4E8B" w:rsidRPr="002936B1" w:rsidRDefault="00CC4E8B" w:rsidP="00CC4E8B">
      <w:r w:rsidRPr="002936B1">
        <w:t xml:space="preserve">In 2021, </w:t>
      </w:r>
      <w:r>
        <w:t>Tonbridge and Malling</w:t>
      </w:r>
      <w:r w:rsidRPr="002936B1">
        <w:t xml:space="preserve"> had</w:t>
      </w:r>
      <w:r>
        <w:t xml:space="preserve"> 1171 households on the housing register. The highest number of households on the register was 2492 in 2010 and the lowest number was 989 in 2017.</w:t>
      </w:r>
    </w:p>
    <w:p w14:paraId="7323F07D" w14:textId="77777777" w:rsidR="003A10A0" w:rsidRDefault="003A10A0" w:rsidP="003A10A0">
      <w:pPr>
        <w:rPr>
          <w:b/>
          <w:bCs/>
        </w:rPr>
      </w:pPr>
      <w:r w:rsidRPr="32F7F25D">
        <w:rPr>
          <w:b/>
          <w:bCs/>
        </w:rPr>
        <w:t>Tunbridge Wells</w:t>
      </w:r>
    </w:p>
    <w:p w14:paraId="44CDD608" w14:textId="4B346E1D" w:rsidR="003A10A0" w:rsidRDefault="003A10A0" w:rsidP="003A10A0">
      <w:pPr>
        <w:rPr>
          <w:b/>
          <w:bCs/>
        </w:rPr>
      </w:pPr>
      <w:r w:rsidRPr="045A98DE">
        <w:rPr>
          <w:b/>
          <w:bCs/>
        </w:rPr>
        <w:t>Figure 10</w:t>
      </w:r>
      <w:r w:rsidR="006D7B54">
        <w:rPr>
          <w:b/>
          <w:bCs/>
        </w:rPr>
        <w:t>0</w:t>
      </w:r>
      <w:r w:rsidRPr="045A98DE">
        <w:rPr>
          <w:b/>
          <w:bCs/>
        </w:rPr>
        <w:t>: Households on the Housing Register Tunbridge Wells</w:t>
      </w:r>
    </w:p>
    <w:p w14:paraId="2798DD08" w14:textId="77777777" w:rsidR="003A10A0" w:rsidRDefault="003A10A0" w:rsidP="003A10A0">
      <w:pPr>
        <w:rPr>
          <w:b/>
          <w:bCs/>
        </w:rPr>
      </w:pPr>
    </w:p>
    <w:p w14:paraId="2E643381" w14:textId="77777777" w:rsidR="003A10A0" w:rsidRPr="009924ED" w:rsidRDefault="003A10A0" w:rsidP="003A10A0">
      <w:pPr>
        <w:rPr>
          <w:b/>
          <w:bCs/>
        </w:rPr>
      </w:pPr>
      <w:r>
        <w:rPr>
          <w:noProof/>
        </w:rPr>
        <w:drawing>
          <wp:inline distT="0" distB="0" distL="0" distR="0" wp14:anchorId="53719EA9" wp14:editId="67926B2B">
            <wp:extent cx="5965371" cy="2916221"/>
            <wp:effectExtent l="0" t="0" r="0" b="0"/>
            <wp:docPr id="55" name="Picture 55" descr="In 2021 Tunbridge Wells had 897 households on the housing register. The highest number of households on the register was 2677 in 2012, and the lowest number was 836 in 201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n 2021 Tunbridge Wells had 897 households on the housing register. The highest number of households on the register was 2677 in 2012, and the lowest number was 836 in 2018.">
                      <a:extLst>
                        <a:ext uri="{C183D7F6-B498-43B3-948B-1728B52AA6E4}">
                          <adec:decorative xmlns:adec="http://schemas.microsoft.com/office/drawing/2017/decorative" val="0"/>
                        </a:ext>
                      </a:extLst>
                    </pic:cNvPr>
                    <pic:cNvPicPr/>
                  </pic:nvPicPr>
                  <pic:blipFill>
                    <a:blip r:embed="rId153">
                      <a:extLst>
                        <a:ext uri="{28A0092B-C50C-407E-A947-70E740481C1C}">
                          <a14:useLocalDpi xmlns:a14="http://schemas.microsoft.com/office/drawing/2010/main" val="0"/>
                        </a:ext>
                      </a:extLst>
                    </a:blip>
                    <a:stretch>
                      <a:fillRect/>
                    </a:stretch>
                  </pic:blipFill>
                  <pic:spPr>
                    <a:xfrm>
                      <a:off x="0" y="0"/>
                      <a:ext cx="5972517" cy="2919714"/>
                    </a:xfrm>
                    <a:prstGeom prst="rect">
                      <a:avLst/>
                    </a:prstGeom>
                  </pic:spPr>
                </pic:pic>
              </a:graphicData>
            </a:graphic>
          </wp:inline>
        </w:drawing>
      </w:r>
    </w:p>
    <w:p w14:paraId="5518AD29" w14:textId="77777777" w:rsidR="003A10A0" w:rsidRDefault="003A10A0" w:rsidP="009D38FF">
      <w:pPr>
        <w:pStyle w:val="Heading2"/>
      </w:pPr>
      <w:bookmarkStart w:id="162" w:name="_Toc128133858"/>
      <w:r w:rsidRPr="00AC4169">
        <w:t>Cost of Living</w:t>
      </w:r>
      <w:bookmarkEnd w:id="162"/>
    </w:p>
    <w:p w14:paraId="2EB7DACF" w14:textId="77777777" w:rsidR="003A10A0" w:rsidRPr="00953560" w:rsidRDefault="003A10A0" w:rsidP="00A86E2D">
      <w:r w:rsidRPr="15853314">
        <w:t xml:space="preserve">Over the past several months inflation has had an impact on the incomes of households and businesses. While the UK Government is addressing cost of living pressures through fiscal </w:t>
      </w:r>
      <w:r w:rsidRPr="15853314">
        <w:lastRenderedPageBreak/>
        <w:t>and other measures, there are actions which the public and the voluntary sectors and their partners can take to mitigate against some of the negative pressures which may impact on people’s and communities’ health.</w:t>
      </w:r>
    </w:p>
    <w:p w14:paraId="5E51F3AA" w14:textId="77777777" w:rsidR="003A10A0" w:rsidRPr="00AC4169" w:rsidRDefault="003A10A0" w:rsidP="00A86E2D">
      <w:r w:rsidRPr="15853314">
        <w:t>The current inflationary episode is driven by rising costs which include energy prices, tradable goods prices and wage rise pressures. There are many impacts upon people’s health as described by the following complex chart</w:t>
      </w:r>
      <w:r>
        <w:t>:</w:t>
      </w:r>
    </w:p>
    <w:p w14:paraId="3CC726F5" w14:textId="535D0312" w:rsidR="00EF6DF9" w:rsidRDefault="003A10A0" w:rsidP="00A86E2D">
      <w:pPr>
        <w:rPr>
          <w:b/>
          <w:bCs/>
        </w:rPr>
      </w:pPr>
      <w:r>
        <w:t xml:space="preserve"> </w:t>
      </w:r>
      <w:r w:rsidR="00EF6DF9" w:rsidRPr="32F7F25D">
        <w:rPr>
          <w:b/>
          <w:bCs/>
        </w:rPr>
        <w:t>Figure 10</w:t>
      </w:r>
      <w:r w:rsidR="006D7B54">
        <w:rPr>
          <w:b/>
          <w:bCs/>
        </w:rPr>
        <w:t>1</w:t>
      </w:r>
      <w:r w:rsidR="00EF6DF9" w:rsidRPr="32F7F25D">
        <w:rPr>
          <w:b/>
          <w:bCs/>
        </w:rPr>
        <w:t>: Impacts upon people’s lives.</w:t>
      </w:r>
    </w:p>
    <w:p w14:paraId="08FDB101" w14:textId="2BD8D21C" w:rsidR="003A10A0" w:rsidRPr="00AC4169" w:rsidRDefault="003A10A0" w:rsidP="00A86E2D">
      <w:r>
        <w:rPr>
          <w:noProof/>
        </w:rPr>
        <w:drawing>
          <wp:inline distT="0" distB="0" distL="0" distR="0" wp14:anchorId="69FBDC49" wp14:editId="7A1D518D">
            <wp:extent cx="5981195" cy="3129643"/>
            <wp:effectExtent l="0" t="0" r="635" b="0"/>
            <wp:docPr id="56" name="Picture 56" descr="Spider diagram showing the complex interrelationships between different economic factors and how they can impact on heal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pider diagram showing the complex interrelationships between different economic factors and how they can impact on health. "/>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90230" cy="3134371"/>
                    </a:xfrm>
                    <a:prstGeom prst="rect">
                      <a:avLst/>
                    </a:prstGeom>
                  </pic:spPr>
                </pic:pic>
              </a:graphicData>
            </a:graphic>
          </wp:inline>
        </w:drawing>
      </w:r>
    </w:p>
    <w:p w14:paraId="417A9150" w14:textId="77777777" w:rsidR="003A10A0" w:rsidRPr="00953560" w:rsidRDefault="003A10A0" w:rsidP="00A86E2D">
      <w:r w:rsidRPr="305ECFD1">
        <w:t xml:space="preserve">Lower real incomes pose a real risk to public health effecting lower income households who spend a higher proportion of their income on energy and food. Lower real incomes can directly reduce health because of reverse psychosocial factors such as stress and anxiety. Health can also be directly influenced </w:t>
      </w:r>
      <w:bookmarkStart w:id="163" w:name="_Int_J1m5bcUE"/>
      <w:r w:rsidRPr="305ECFD1">
        <w:t>as a result of</w:t>
      </w:r>
      <w:bookmarkEnd w:id="163"/>
      <w:r w:rsidRPr="305ECFD1">
        <w:t xml:space="preserve"> changes in decisions about consumption decisions. It is noted that there are substantial disparities in health outcomes according to gradients of income and related socioeconomic factors. Income and wealth are linked to life expectancy, self-reported health, quality of life and disease risk.</w:t>
      </w:r>
    </w:p>
    <w:p w14:paraId="16257538" w14:textId="30B2E244" w:rsidR="003A10A0" w:rsidRPr="00953560" w:rsidRDefault="003A10A0" w:rsidP="00A86E2D">
      <w:r>
        <w:t xml:space="preserve">Inflation is likely to exacerbate mental health through falling real </w:t>
      </w:r>
      <w:r w:rsidR="00B21505">
        <w:t>incomes. It</w:t>
      </w:r>
      <w:r w:rsidR="00834AA0">
        <w:t xml:space="preserve"> is also </w:t>
      </w:r>
      <w:r w:rsidR="32F2BA1D">
        <w:t>thought to</w:t>
      </w:r>
      <w:r>
        <w:t xml:space="preserve"> result in calorie reduction, a shift to unhealthier foods and the consumption of more processed foods. There is also an impact upon willingness to visit charge paying services such as the dentist.</w:t>
      </w:r>
    </w:p>
    <w:p w14:paraId="360E9FF0" w14:textId="2263A2A5" w:rsidR="003A10A0" w:rsidRPr="00953560" w:rsidRDefault="003A10A0" w:rsidP="00A86E2D">
      <w:r>
        <w:t>Heating bills are rising significantly and whilst Government support is in place it is expected to be modified in 2023. Lower income households are more likely to respond to higher energy prices by cutting energy use below safe levels. This could have direct implications for health with Covid and flu the winter of 2002/23. The Marmot Review Team estimated that 21.5% of all excess winter deaths can be attributed due to homes being cold. A 201</w:t>
      </w:r>
      <w:r w:rsidR="4C747BEE">
        <w:t>5</w:t>
      </w:r>
      <w:r>
        <w:t xml:space="preserve"> study suggested that death rates rise 2.8% for every Celsius degree drop in the external </w:t>
      </w:r>
      <w:r>
        <w:lastRenderedPageBreak/>
        <w:t>temperature for those in the coldest 10% of homes compared with the 0.9% in the warmest homes</w:t>
      </w:r>
      <w:r w:rsidR="630D589F">
        <w:t xml:space="preserve"> (NICE 2015)</w:t>
      </w:r>
      <w:r>
        <w:t>.</w:t>
      </w:r>
    </w:p>
    <w:p w14:paraId="6A1A95AC" w14:textId="77777777" w:rsidR="003A10A0" w:rsidRPr="00953560" w:rsidRDefault="003A10A0" w:rsidP="003A10A0">
      <w:pPr>
        <w:spacing w:after="0"/>
        <w:rPr>
          <w:rFonts w:eastAsia="Calibri"/>
        </w:rPr>
      </w:pPr>
      <w:r w:rsidRPr="00953560">
        <w:rPr>
          <w:rFonts w:eastAsia="Calibri"/>
        </w:rPr>
        <w:t xml:space="preserve">The Health Foundation has highlighted that living in poverty is likely to lead to poorer health outcomes including:    </w:t>
      </w:r>
    </w:p>
    <w:p w14:paraId="18ECDF5F" w14:textId="1F1B6F47" w:rsidR="003A10A0" w:rsidRPr="00953560" w:rsidRDefault="003A10A0" w:rsidP="00A86E2D">
      <w:pPr>
        <w:pStyle w:val="ListParagraph"/>
        <w:numPr>
          <w:ilvl w:val="0"/>
          <w:numId w:val="15"/>
        </w:numPr>
        <w:spacing w:after="0"/>
        <w:rPr>
          <w:rFonts w:eastAsia="Calibri" w:cs="Arial"/>
          <w:sz w:val="24"/>
          <w:szCs w:val="24"/>
        </w:rPr>
      </w:pPr>
      <w:r w:rsidRPr="5E4DB3C2">
        <w:rPr>
          <w:rFonts w:eastAsia="Calibri" w:cs="Arial"/>
          <w:sz w:val="24"/>
          <w:szCs w:val="24"/>
        </w:rPr>
        <w:t xml:space="preserve">Increase in mortality rates - including excess deaths due to living in cold houses through hypothermia and infection, </w:t>
      </w:r>
      <w:r w:rsidR="007C1886">
        <w:rPr>
          <w:rFonts w:eastAsia="Calibri" w:cs="Arial"/>
          <w:sz w:val="24"/>
          <w:szCs w:val="24"/>
        </w:rPr>
        <w:t xml:space="preserve">a </w:t>
      </w:r>
      <w:r w:rsidRPr="5E4DB3C2">
        <w:rPr>
          <w:rFonts w:eastAsia="Calibri" w:cs="Arial"/>
          <w:sz w:val="24"/>
          <w:szCs w:val="24"/>
        </w:rPr>
        <w:t xml:space="preserve">potential increase in suicide linked to depression and anxiety, heart attacks and strokes linked to experiencing long term anxiety and stress. </w:t>
      </w:r>
    </w:p>
    <w:p w14:paraId="52420AF7" w14:textId="77777777" w:rsidR="003A10A0" w:rsidRPr="00953560" w:rsidRDefault="003A10A0" w:rsidP="00A86E2D">
      <w:pPr>
        <w:pStyle w:val="ListParagraph"/>
        <w:numPr>
          <w:ilvl w:val="0"/>
          <w:numId w:val="15"/>
        </w:numPr>
        <w:spacing w:after="0"/>
        <w:rPr>
          <w:rFonts w:eastAsia="Calibri" w:cs="Arial"/>
          <w:sz w:val="24"/>
          <w:szCs w:val="24"/>
        </w:rPr>
      </w:pPr>
      <w:r w:rsidRPr="5E4DB3C2">
        <w:rPr>
          <w:rFonts w:eastAsia="Calibri" w:cs="Arial"/>
          <w:sz w:val="24"/>
          <w:szCs w:val="24"/>
        </w:rPr>
        <w:t xml:space="preserve">Children experiencing food insecurity are more likely to suffer from anxiety and stress, and hunger in childhood has been linked to depression and suicidal episodes in teenagers. Hunger is also linked to increased levels of chronic illnesses such as asthma and impacts on years lived in good health. </w:t>
      </w:r>
    </w:p>
    <w:p w14:paraId="4AAB7C33" w14:textId="5D1F1969" w:rsidR="003A10A0" w:rsidRPr="00953560" w:rsidRDefault="003A10A0" w:rsidP="00A86E2D">
      <w:pPr>
        <w:pStyle w:val="ListParagraph"/>
        <w:numPr>
          <w:ilvl w:val="0"/>
          <w:numId w:val="15"/>
        </w:numPr>
        <w:spacing w:after="0"/>
        <w:rPr>
          <w:rFonts w:eastAsia="Calibri" w:cs="Arial"/>
          <w:sz w:val="24"/>
          <w:szCs w:val="24"/>
        </w:rPr>
      </w:pPr>
      <w:r w:rsidRPr="5E4DB3C2">
        <w:rPr>
          <w:rFonts w:eastAsia="Calibri" w:cs="Arial"/>
          <w:sz w:val="24"/>
          <w:szCs w:val="24"/>
        </w:rPr>
        <w:t>Mental health needs associated with money worries - feelings of low self-esteem, insecurity, anger, despair, anxiety, and depression</w:t>
      </w:r>
      <w:r w:rsidR="001F741E" w:rsidRPr="5E4DB3C2">
        <w:rPr>
          <w:rFonts w:eastAsia="Calibri" w:cs="Arial"/>
          <w:sz w:val="24"/>
          <w:szCs w:val="24"/>
        </w:rPr>
        <w:t>.</w:t>
      </w:r>
      <w:r w:rsidRPr="5E4DB3C2">
        <w:rPr>
          <w:rFonts w:eastAsia="Calibri" w:cs="Arial"/>
          <w:sz w:val="24"/>
          <w:szCs w:val="24"/>
        </w:rPr>
        <w:t xml:space="preserve"> </w:t>
      </w:r>
    </w:p>
    <w:p w14:paraId="2FC87B88" w14:textId="057F99FD" w:rsidR="003A10A0" w:rsidRPr="00953560" w:rsidRDefault="003A10A0" w:rsidP="00A86E2D">
      <w:pPr>
        <w:pStyle w:val="ListParagraph"/>
        <w:numPr>
          <w:ilvl w:val="0"/>
          <w:numId w:val="15"/>
        </w:numPr>
        <w:spacing w:after="0"/>
        <w:rPr>
          <w:rFonts w:eastAsia="Calibri" w:cs="Arial"/>
          <w:sz w:val="24"/>
          <w:szCs w:val="24"/>
        </w:rPr>
      </w:pPr>
      <w:r w:rsidRPr="5E4DB3C2">
        <w:rPr>
          <w:rFonts w:eastAsia="Calibri" w:cs="Arial"/>
          <w:sz w:val="24"/>
          <w:szCs w:val="24"/>
        </w:rPr>
        <w:t xml:space="preserve">Burden of disease - the ‘food poor’ are at higher risk of developing chronic diseases such as hypertension, diabetes, and cardiovascular disease. The risk of developing hypertension, cancer and heart disease is also linked to </w:t>
      </w:r>
      <w:bookmarkStart w:id="164" w:name="_Int_FPca1n3S"/>
      <w:r w:rsidRPr="5E4DB3C2">
        <w:rPr>
          <w:rFonts w:eastAsia="Calibri" w:cs="Arial"/>
          <w:sz w:val="24"/>
          <w:szCs w:val="24"/>
        </w:rPr>
        <w:t>long periods</w:t>
      </w:r>
      <w:bookmarkEnd w:id="164"/>
      <w:r w:rsidRPr="5E4DB3C2">
        <w:rPr>
          <w:rFonts w:eastAsia="Calibri" w:cs="Arial"/>
          <w:sz w:val="24"/>
          <w:szCs w:val="24"/>
        </w:rPr>
        <w:t xml:space="preserve"> of low-level stress. Cold, damp, and mouldy homes pose increased risks of respiratory infections and the onset or worsening of asthma</w:t>
      </w:r>
      <w:r w:rsidR="00702BC6">
        <w:rPr>
          <w:rFonts w:eastAsia="Calibri" w:cs="Arial"/>
          <w:sz w:val="24"/>
          <w:szCs w:val="24"/>
        </w:rPr>
        <w:t>.</w:t>
      </w:r>
      <w:r w:rsidRPr="5E4DB3C2">
        <w:rPr>
          <w:rFonts w:eastAsia="Calibri" w:cs="Arial"/>
          <w:sz w:val="24"/>
          <w:szCs w:val="24"/>
        </w:rPr>
        <w:t xml:space="preserve"> </w:t>
      </w:r>
    </w:p>
    <w:p w14:paraId="3937E36D" w14:textId="170C88A2" w:rsidR="003A10A0" w:rsidRPr="00953560" w:rsidRDefault="003A10A0" w:rsidP="00A86E2D">
      <w:pPr>
        <w:pStyle w:val="ListParagraph"/>
        <w:numPr>
          <w:ilvl w:val="0"/>
          <w:numId w:val="15"/>
        </w:numPr>
        <w:spacing w:after="0"/>
        <w:rPr>
          <w:rFonts w:eastAsia="Calibri" w:cs="Arial"/>
          <w:sz w:val="24"/>
          <w:szCs w:val="24"/>
        </w:rPr>
      </w:pPr>
      <w:r w:rsidRPr="5E4DB3C2">
        <w:rPr>
          <w:rFonts w:eastAsia="Calibri" w:cs="Arial"/>
          <w:sz w:val="24"/>
          <w:szCs w:val="24"/>
        </w:rPr>
        <w:t>Unhealthy lifestyle choices leading to increased risk of disease.</w:t>
      </w:r>
      <w:r w:rsidRPr="5E4DB3C2">
        <w:rPr>
          <w:rFonts w:cs="Arial"/>
          <w:sz w:val="24"/>
          <w:szCs w:val="24"/>
        </w:rPr>
        <w:t xml:space="preserve"> </w:t>
      </w:r>
      <w:r w:rsidRPr="5E4DB3C2">
        <w:rPr>
          <w:rFonts w:eastAsia="Calibri" w:cs="Arial"/>
          <w:sz w:val="24"/>
          <w:szCs w:val="24"/>
        </w:rPr>
        <w:t xml:space="preserve">Taking care of your own health is </w:t>
      </w:r>
      <w:r w:rsidR="0013416F">
        <w:rPr>
          <w:rFonts w:eastAsia="Calibri" w:cs="Arial"/>
          <w:sz w:val="24"/>
          <w:szCs w:val="24"/>
        </w:rPr>
        <w:t>less likely to be</w:t>
      </w:r>
      <w:r w:rsidRPr="5E4DB3C2">
        <w:rPr>
          <w:rFonts w:eastAsia="Calibri" w:cs="Arial"/>
          <w:sz w:val="24"/>
          <w:szCs w:val="24"/>
        </w:rPr>
        <w:t xml:space="preserve"> a priority for the financially insecure. The conditions surrounding insecurity of income are linked to an increase in drug and alcohol consumption, smoking, lack of exercise and unhealthy eating.</w:t>
      </w:r>
    </w:p>
    <w:p w14:paraId="57A5574A" w14:textId="523AF783" w:rsidR="003A10A0" w:rsidRPr="00953560" w:rsidRDefault="003A10A0" w:rsidP="00A86E2D">
      <w:r w:rsidRPr="5E4DB3C2">
        <w:t xml:space="preserve">Traditionally, the NHS has been very focussed on meeting the immediate health needs or implications from any social or economic issues. However, the creation of the statutory Integrated Care Partnership for Kent and Medway, to which the upper tier local authorities in Kent are statutory members, will see them playing a wider role across the Kent and Medway system. One of the purposes of creating the ICS is </w:t>
      </w:r>
      <w:r>
        <w:t xml:space="preserve">for health and care providers to jointly </w:t>
      </w:r>
      <w:r w:rsidRPr="5E4DB3C2">
        <w:t xml:space="preserve">address the broader social and economic pressures which impact on the health and wellbeing of people who live and work in the area. </w:t>
      </w:r>
    </w:p>
    <w:p w14:paraId="7D128460" w14:textId="1817DBB4" w:rsidR="003A10A0" w:rsidRPr="00953560" w:rsidRDefault="003A10A0" w:rsidP="00A86E2D">
      <w:r w:rsidRPr="15853314">
        <w:t>As the Integrated Care Partnership develops further, it will be the natural vehicle through which Kent and Medway partners can work together to jointly address the medium to longer term impact that the cost-of-living crisis associated economic downturn will have. The ICS is required to develop an interim Integrated Care Strategy by December 2022 which will be influenced by D</w:t>
      </w:r>
      <w:r w:rsidRPr="15853314">
        <w:rPr>
          <w:rFonts w:eastAsia="Arial"/>
        </w:rPr>
        <w:t>irector of Public Health (DPH) professional advice and a refresh of the Joint Strategic Needs Assessment. Th</w:t>
      </w:r>
      <w:r w:rsidR="00A45F7F">
        <w:rPr>
          <w:rFonts w:eastAsia="Arial"/>
        </w:rPr>
        <w:t>is</w:t>
      </w:r>
      <w:r w:rsidRPr="15853314">
        <w:rPr>
          <w:rFonts w:eastAsia="Arial"/>
        </w:rPr>
        <w:t xml:space="preserve"> needs assessment highlights how deprivation impacts on health inequalities and how the system can focus on preventative measures to mitigate the effects. This will undoubtedly pick up the latest impact on health inequalities caused by the cost-of-living crisis. </w:t>
      </w:r>
    </w:p>
    <w:p w14:paraId="4A6D568D" w14:textId="18409DF9" w:rsidR="003A10A0" w:rsidRPr="00953560" w:rsidRDefault="003A10A0" w:rsidP="00A86E2D">
      <w:r w:rsidRPr="5E4DB3C2">
        <w:rPr>
          <w:rFonts w:eastAsia="Arial"/>
        </w:rPr>
        <w:lastRenderedPageBreak/>
        <w:t>The ICS has requested a paper about cost of living to consider a collective response. One of the issues that Kent County Council will be asking the Integrated Care Partnership Board to consider is whether there are additional monies within the system, however limited, that could be repurposed and reprioritised downstream to support direct intervention in the most vulnerable communities before that presents as demand for NHS services. However, the Government</w:t>
      </w:r>
      <w:r w:rsidR="0032175A">
        <w:rPr>
          <w:rFonts w:eastAsia="Arial"/>
        </w:rPr>
        <w:t>’</w:t>
      </w:r>
      <w:r w:rsidRPr="5E4DB3C2">
        <w:rPr>
          <w:rFonts w:eastAsia="Arial"/>
        </w:rPr>
        <w:t xml:space="preserve">s Autumn </w:t>
      </w:r>
      <w:r w:rsidR="0032175A">
        <w:rPr>
          <w:rFonts w:eastAsia="Arial"/>
        </w:rPr>
        <w:t>S</w:t>
      </w:r>
      <w:r w:rsidRPr="5E4DB3C2">
        <w:rPr>
          <w:rFonts w:eastAsia="Arial"/>
        </w:rPr>
        <w:t>tatement may well have a bearing upon this.</w:t>
      </w:r>
    </w:p>
    <w:p w14:paraId="5F9E4CD7" w14:textId="77777777" w:rsidR="003A10A0" w:rsidRPr="00953560" w:rsidRDefault="003A10A0" w:rsidP="00A86E2D">
      <w:r w:rsidRPr="5E4DB3C2">
        <w:t xml:space="preserve">There are key actions that relevant stakeholders can take. In terms of the health sector examples from NICE, </w:t>
      </w:r>
      <w:bookmarkStart w:id="165" w:name="_Int_ehHzJwzT"/>
      <w:r w:rsidRPr="5E4DB3C2">
        <w:t>NHSE</w:t>
      </w:r>
      <w:bookmarkEnd w:id="165"/>
      <w:r w:rsidRPr="5E4DB3C2">
        <w:t>, and NHS Platform for instance recommend enhanced actions for winter preparedness.</w:t>
      </w:r>
    </w:p>
    <w:p w14:paraId="56F6CA57" w14:textId="5EDF5CBA" w:rsidR="003A10A0" w:rsidRPr="00953560" w:rsidRDefault="003A10A0" w:rsidP="007A44C5">
      <w:pPr>
        <w:pStyle w:val="ListParagraph"/>
        <w:numPr>
          <w:ilvl w:val="0"/>
          <w:numId w:val="14"/>
        </w:numPr>
        <w:rPr>
          <w:sz w:val="24"/>
          <w:szCs w:val="24"/>
        </w:rPr>
      </w:pPr>
      <w:r w:rsidRPr="00953560">
        <w:rPr>
          <w:sz w:val="24"/>
          <w:szCs w:val="24"/>
        </w:rPr>
        <w:t xml:space="preserve">That Winter Plans are ready and </w:t>
      </w:r>
      <w:r w:rsidR="00A45F7F" w:rsidRPr="00953560">
        <w:rPr>
          <w:sz w:val="24"/>
          <w:szCs w:val="24"/>
        </w:rPr>
        <w:t>actionable.</w:t>
      </w:r>
    </w:p>
    <w:p w14:paraId="54BD5D92" w14:textId="771AF4BE" w:rsidR="003A10A0" w:rsidRPr="00953560" w:rsidRDefault="003A10A0" w:rsidP="007A44C5">
      <w:pPr>
        <w:pStyle w:val="ListParagraph"/>
        <w:numPr>
          <w:ilvl w:val="0"/>
          <w:numId w:val="14"/>
        </w:numPr>
        <w:rPr>
          <w:sz w:val="24"/>
          <w:szCs w:val="24"/>
        </w:rPr>
      </w:pPr>
      <w:r w:rsidRPr="00953560">
        <w:rPr>
          <w:sz w:val="24"/>
          <w:szCs w:val="24"/>
        </w:rPr>
        <w:t xml:space="preserve">That GP practices maximise flu vax and Covid </w:t>
      </w:r>
      <w:r w:rsidR="00A45F7F" w:rsidRPr="00953560">
        <w:rPr>
          <w:sz w:val="24"/>
          <w:szCs w:val="24"/>
        </w:rPr>
        <w:t>booster.</w:t>
      </w:r>
    </w:p>
    <w:p w14:paraId="7FBB8E70" w14:textId="77777777" w:rsidR="003A10A0" w:rsidRPr="00953560" w:rsidRDefault="003A10A0" w:rsidP="007A44C5">
      <w:pPr>
        <w:pStyle w:val="ListParagraph"/>
        <w:numPr>
          <w:ilvl w:val="0"/>
          <w:numId w:val="14"/>
        </w:numPr>
        <w:rPr>
          <w:sz w:val="24"/>
          <w:szCs w:val="24"/>
        </w:rPr>
      </w:pPr>
      <w:r w:rsidRPr="00953560">
        <w:rPr>
          <w:sz w:val="24"/>
          <w:szCs w:val="24"/>
        </w:rPr>
        <w:t>Discharge planning for warm home and healthy food</w:t>
      </w:r>
    </w:p>
    <w:p w14:paraId="59546E2D" w14:textId="5C3B1559" w:rsidR="003A10A0" w:rsidRPr="00953560" w:rsidRDefault="003A10A0" w:rsidP="007A44C5">
      <w:pPr>
        <w:pStyle w:val="ListParagraph"/>
        <w:numPr>
          <w:ilvl w:val="0"/>
          <w:numId w:val="14"/>
        </w:numPr>
        <w:rPr>
          <w:sz w:val="24"/>
          <w:szCs w:val="24"/>
        </w:rPr>
      </w:pPr>
      <w:r w:rsidRPr="00953560">
        <w:rPr>
          <w:sz w:val="24"/>
          <w:szCs w:val="24"/>
        </w:rPr>
        <w:t xml:space="preserve">Enable social prescribing workers to support people to avoid hospital </w:t>
      </w:r>
      <w:r w:rsidR="00A45F7F" w:rsidRPr="00953560">
        <w:rPr>
          <w:sz w:val="24"/>
          <w:szCs w:val="24"/>
        </w:rPr>
        <w:t>admission.</w:t>
      </w:r>
    </w:p>
    <w:p w14:paraId="17138832" w14:textId="00C3BD35" w:rsidR="003A10A0" w:rsidRPr="00953560" w:rsidRDefault="003A10A0" w:rsidP="007A44C5">
      <w:pPr>
        <w:pStyle w:val="ListParagraph"/>
        <w:numPr>
          <w:ilvl w:val="0"/>
          <w:numId w:val="14"/>
        </w:numPr>
        <w:rPr>
          <w:sz w:val="24"/>
          <w:szCs w:val="24"/>
        </w:rPr>
      </w:pPr>
      <w:r w:rsidRPr="00953560">
        <w:rPr>
          <w:sz w:val="24"/>
          <w:szCs w:val="24"/>
        </w:rPr>
        <w:t xml:space="preserve">Frontline staff undertake practical checks for vulnerable </w:t>
      </w:r>
      <w:r>
        <w:rPr>
          <w:sz w:val="24"/>
          <w:szCs w:val="24"/>
        </w:rPr>
        <w:t xml:space="preserve">people </w:t>
      </w:r>
      <w:r w:rsidRPr="00953560">
        <w:rPr>
          <w:sz w:val="24"/>
          <w:szCs w:val="24"/>
        </w:rPr>
        <w:t xml:space="preserve">in their </w:t>
      </w:r>
      <w:r w:rsidR="00A45F7F" w:rsidRPr="00953560">
        <w:rPr>
          <w:sz w:val="24"/>
          <w:szCs w:val="24"/>
        </w:rPr>
        <w:t>homes.</w:t>
      </w:r>
    </w:p>
    <w:p w14:paraId="635CA374" w14:textId="77777777" w:rsidR="003A10A0" w:rsidRPr="00953560" w:rsidRDefault="003A10A0" w:rsidP="003A10A0">
      <w:r w:rsidRPr="00953560">
        <w:t>The NHS has a role in tackling poverty (source: The NHS’s role in tackling poverty. Awareness, action, and advocacy. The King’s Fund March 2021).</w:t>
      </w:r>
    </w:p>
    <w:p w14:paraId="73F7894E" w14:textId="77777777" w:rsidR="003A10A0" w:rsidRDefault="003A10A0" w:rsidP="00A86E2D">
      <w:r w:rsidRPr="32F7F25D">
        <w:t xml:space="preserve">Kent County Council has its own </w:t>
      </w:r>
      <w:r w:rsidRPr="32F7F25D">
        <w:rPr>
          <w:color w:val="000000" w:themeColor="text1"/>
        </w:rPr>
        <w:t xml:space="preserve">Financial Hardship programme which encompasses a raft of initiatives. Within this </w:t>
      </w:r>
      <w:r w:rsidRPr="32F7F25D">
        <w:t xml:space="preserve">Financial Hardship Programme, it includes the Helping Hands Scheme which expands on this work to utilise funding from other sources. As a result of this, three additional workstreams are included in the Financial Hardship Programme which also support tackling the cost-of-living crisis namely Referrals, Free School Meals, and Healthy start and finally Data Sharing. This latter initiative is placed at both County and District level work to try to effectively identify individuals at risk of crisis. As such there is a strategic need to develop a solution which allows frontline teams greater visibility of individual vulnerability, both financially and socially to enable a proactive </w:t>
      </w:r>
      <w:r>
        <w:t xml:space="preserve">holistic </w:t>
      </w:r>
      <w:r w:rsidRPr="32F7F25D">
        <w:t xml:space="preserve">response in providing support. </w:t>
      </w:r>
    </w:p>
    <w:p w14:paraId="7A5B7250" w14:textId="77777777" w:rsidR="003A10A0" w:rsidRPr="00953560" w:rsidRDefault="003A10A0" w:rsidP="00A86E2D">
      <w:r w:rsidRPr="32F7F25D">
        <w:t xml:space="preserve">The Data Sharing Workstream has been testing two systems which specialise in extracting, combining, and representing data in a more useful way: Policy in Practice and </w:t>
      </w:r>
      <w:proofErr w:type="spellStart"/>
      <w:r w:rsidRPr="32F7F25D">
        <w:t>Xantura</w:t>
      </w:r>
      <w:proofErr w:type="spellEnd"/>
      <w:r w:rsidRPr="32F7F25D">
        <w:t xml:space="preserve">. These systems are being implemented across Kent, in partnership with District level authorities. Below is a case study highlighting </w:t>
      </w:r>
      <w:proofErr w:type="spellStart"/>
      <w:r w:rsidRPr="32F7F25D">
        <w:t>Xantura’s</w:t>
      </w:r>
      <w:proofErr w:type="spellEnd"/>
      <w:r w:rsidRPr="32F7F25D">
        <w:t xml:space="preserve"> development and early indicators of success.</w:t>
      </w:r>
    </w:p>
    <w:p w14:paraId="44DEB20D" w14:textId="5E9A7514" w:rsidR="003A10A0" w:rsidRDefault="00EA0981" w:rsidP="00EA0981">
      <w:pPr>
        <w:spacing w:before="0" w:after="200"/>
        <w:rPr>
          <w:b/>
          <w:bCs/>
        </w:rPr>
      </w:pPr>
      <w:r>
        <w:rPr>
          <w:b/>
          <w:bCs/>
        </w:rPr>
        <w:br w:type="page"/>
      </w:r>
    </w:p>
    <w:p w14:paraId="4B8CEF00" w14:textId="77777777" w:rsidR="003A10A0" w:rsidRPr="00953560" w:rsidRDefault="003A10A0" w:rsidP="003A10A0">
      <w:pPr>
        <w:pBdr>
          <w:top w:val="single" w:sz="4" w:space="1" w:color="auto"/>
          <w:left w:val="single" w:sz="4" w:space="4" w:color="auto"/>
          <w:bottom w:val="single" w:sz="4" w:space="1" w:color="auto"/>
          <w:right w:val="single" w:sz="4" w:space="4" w:color="auto"/>
        </w:pBdr>
        <w:rPr>
          <w:b/>
          <w:bCs/>
        </w:rPr>
      </w:pPr>
      <w:r w:rsidRPr="32F7F25D">
        <w:rPr>
          <w:b/>
          <w:bCs/>
        </w:rPr>
        <w:lastRenderedPageBreak/>
        <w:t>Case Study – Financial Hardship Programme</w:t>
      </w:r>
    </w:p>
    <w:p w14:paraId="78B9BE72" w14:textId="77777777" w:rsidR="003A10A0" w:rsidRPr="00953560" w:rsidRDefault="003A10A0" w:rsidP="00A86E2D">
      <w:pPr>
        <w:pBdr>
          <w:top w:val="single" w:sz="4" w:space="1" w:color="auto"/>
          <w:left w:val="single" w:sz="4" w:space="4" w:color="auto"/>
          <w:bottom w:val="single" w:sz="4" w:space="1" w:color="auto"/>
          <w:right w:val="single" w:sz="4" w:space="4" w:color="auto"/>
        </w:pBdr>
        <w:rPr>
          <w:b/>
          <w:bCs/>
          <w:sz w:val="20"/>
          <w:szCs w:val="20"/>
        </w:rPr>
      </w:pPr>
      <w:r w:rsidRPr="32F7F25D">
        <w:rPr>
          <w:b/>
          <w:bCs/>
          <w:sz w:val="20"/>
          <w:szCs w:val="20"/>
        </w:rPr>
        <w:t xml:space="preserve">In the 5 years prior to 2018, Maidstone saw a 58% rise in homelessness. Faced with limited resources to alleviate this hardship, Maidstone Borough Council shifted their homelessness strategy from crisis response to crisis prevention. In partnership with Ernst &amp; Young and </w:t>
      </w:r>
      <w:proofErr w:type="spellStart"/>
      <w:r w:rsidRPr="32F7F25D">
        <w:rPr>
          <w:b/>
          <w:bCs/>
          <w:sz w:val="20"/>
          <w:szCs w:val="20"/>
        </w:rPr>
        <w:t>Xantura</w:t>
      </w:r>
      <w:proofErr w:type="spellEnd"/>
      <w:r w:rsidRPr="32F7F25D">
        <w:rPr>
          <w:b/>
          <w:bCs/>
          <w:sz w:val="20"/>
          <w:szCs w:val="20"/>
        </w:rPr>
        <w:t xml:space="preserve">, the Council pioneered the use of data analytics to find and support households predicted to be 6 months away from homelessness. </w:t>
      </w:r>
    </w:p>
    <w:p w14:paraId="08CC0764" w14:textId="298F5141" w:rsidR="003A10A0" w:rsidRPr="00953560" w:rsidRDefault="003A10A0" w:rsidP="00A86E2D">
      <w:pPr>
        <w:pBdr>
          <w:top w:val="single" w:sz="4" w:space="1" w:color="auto"/>
          <w:left w:val="single" w:sz="4" w:space="4" w:color="auto"/>
          <w:bottom w:val="single" w:sz="4" w:space="1" w:color="auto"/>
          <w:right w:val="single" w:sz="4" w:space="4" w:color="auto"/>
        </w:pBdr>
        <w:rPr>
          <w:b/>
          <w:bCs/>
          <w:sz w:val="20"/>
          <w:szCs w:val="20"/>
        </w:rPr>
      </w:pPr>
      <w:proofErr w:type="spellStart"/>
      <w:r w:rsidRPr="32F7F25D">
        <w:rPr>
          <w:b/>
          <w:bCs/>
          <w:sz w:val="20"/>
          <w:szCs w:val="20"/>
        </w:rPr>
        <w:t>Xantura’s</w:t>
      </w:r>
      <w:proofErr w:type="spellEnd"/>
      <w:r w:rsidRPr="32F7F25D">
        <w:rPr>
          <w:b/>
          <w:bCs/>
          <w:sz w:val="20"/>
          <w:szCs w:val="20"/>
        </w:rPr>
        <w:t xml:space="preserve"> pseudonymisation tool enabled secure, GDPR-compliant data-sharing between 15 agencies, so that vulnerability could be properly defined using housing, debt, domestic abuse</w:t>
      </w:r>
      <w:r w:rsidR="48B27C83" w:rsidRPr="740CDBE4">
        <w:rPr>
          <w:b/>
          <w:bCs/>
          <w:sz w:val="20"/>
          <w:szCs w:val="20"/>
        </w:rPr>
        <w:t>,</w:t>
      </w:r>
      <w:r w:rsidRPr="32F7F25D">
        <w:rPr>
          <w:b/>
          <w:bCs/>
          <w:sz w:val="20"/>
          <w:szCs w:val="20"/>
        </w:rPr>
        <w:t xml:space="preserve"> and Housing Association data. Maidstone Council used the resultant dashboards and case summaries, only accessible to staff with the correct data-sharing protocols, to better understand the risks and trends faced by residents and to improve the targeting of support. As a result, homelessness in Maidstone was prevented by 40% and broader societal savings of £2.5 million were generated, as well as a return on investment of over 600%. Administrative task time fell by 61 days, with the potential for it to fall by a further 100 with a broader roll-out. This time was reinvested into working directly with vulnerable people.</w:t>
      </w:r>
    </w:p>
    <w:p w14:paraId="16443111" w14:textId="77777777" w:rsidR="003A10A0" w:rsidRPr="00953560" w:rsidRDefault="003A10A0" w:rsidP="003A10A0">
      <w:pPr>
        <w:pBdr>
          <w:top w:val="single" w:sz="4" w:space="1" w:color="auto"/>
          <w:left w:val="single" w:sz="4" w:space="4" w:color="auto"/>
          <w:bottom w:val="single" w:sz="4" w:space="1" w:color="auto"/>
          <w:right w:val="single" w:sz="4" w:space="4" w:color="auto"/>
        </w:pBdr>
        <w:rPr>
          <w:b/>
          <w:bCs/>
          <w:sz w:val="20"/>
          <w:szCs w:val="20"/>
        </w:rPr>
      </w:pPr>
      <w:r w:rsidRPr="32F7F25D">
        <w:rPr>
          <w:b/>
          <w:bCs/>
          <w:sz w:val="20"/>
          <w:szCs w:val="20"/>
        </w:rPr>
        <w:t xml:space="preserve">Expansion to Kent County Council </w:t>
      </w:r>
    </w:p>
    <w:p w14:paraId="511B1352" w14:textId="77777777" w:rsidR="003A10A0" w:rsidRPr="00953560" w:rsidRDefault="003A10A0" w:rsidP="00A86E2D">
      <w:pPr>
        <w:pBdr>
          <w:top w:val="single" w:sz="4" w:space="1" w:color="auto"/>
          <w:left w:val="single" w:sz="4" w:space="4" w:color="auto"/>
          <w:bottom w:val="single" w:sz="4" w:space="1" w:color="auto"/>
          <w:right w:val="single" w:sz="4" w:space="4" w:color="auto"/>
        </w:pBdr>
        <w:rPr>
          <w:b/>
          <w:bCs/>
          <w:sz w:val="20"/>
          <w:szCs w:val="20"/>
        </w:rPr>
      </w:pPr>
      <w:r w:rsidRPr="32F7F25D">
        <w:rPr>
          <w:b/>
          <w:bCs/>
          <w:sz w:val="20"/>
          <w:szCs w:val="20"/>
        </w:rPr>
        <w:t>The success in Maidstone sparked plans for the expansion to the rest of Kent, led by Kent County Council. The roll-out will involve unprecedented levels of district-county partnership. Data from Adult’s and Children’s Social Care, which fall under the County Council’s remit, will be added to the predictive model, further enhancing the Kent’s overall ability to prevent homelessness, target support, and help vulnerable citizens.</w:t>
      </w:r>
    </w:p>
    <w:p w14:paraId="16C108D5" w14:textId="77777777" w:rsidR="003A10A0" w:rsidRPr="00953560" w:rsidRDefault="003A10A0" w:rsidP="003A10A0">
      <w:pPr>
        <w:pBdr>
          <w:top w:val="single" w:sz="4" w:space="1" w:color="auto"/>
          <w:left w:val="single" w:sz="4" w:space="4" w:color="auto"/>
          <w:bottom w:val="single" w:sz="4" w:space="1" w:color="auto"/>
          <w:right w:val="single" w:sz="4" w:space="4" w:color="auto"/>
        </w:pBdr>
        <w:rPr>
          <w:b/>
          <w:bCs/>
          <w:sz w:val="20"/>
          <w:szCs w:val="20"/>
        </w:rPr>
      </w:pPr>
      <w:r w:rsidRPr="32F7F25D">
        <w:rPr>
          <w:b/>
          <w:bCs/>
          <w:sz w:val="20"/>
          <w:szCs w:val="20"/>
        </w:rPr>
        <w:t>Ambitions for the Future</w:t>
      </w:r>
    </w:p>
    <w:p w14:paraId="067C9745" w14:textId="4575D2A7" w:rsidR="003A10A0" w:rsidRPr="00953560" w:rsidRDefault="003A10A0" w:rsidP="00A86E2D">
      <w:pPr>
        <w:pBdr>
          <w:top w:val="single" w:sz="4" w:space="1" w:color="auto"/>
          <w:left w:val="single" w:sz="4" w:space="4" w:color="auto"/>
          <w:bottom w:val="single" w:sz="4" w:space="1" w:color="auto"/>
          <w:right w:val="single" w:sz="4" w:space="4" w:color="auto"/>
        </w:pBdr>
        <w:rPr>
          <w:b/>
          <w:bCs/>
          <w:sz w:val="20"/>
          <w:szCs w:val="20"/>
        </w:rPr>
      </w:pPr>
      <w:r w:rsidRPr="32F7F25D">
        <w:rPr>
          <w:b/>
          <w:bCs/>
          <w:sz w:val="20"/>
          <w:szCs w:val="20"/>
        </w:rPr>
        <w:t xml:space="preserve">After the roll-out in Kent, there are ambitions to explore some </w:t>
      </w:r>
      <w:bookmarkStart w:id="166" w:name="_Int_FYRlySJQ"/>
      <w:r w:rsidRPr="32F7F25D">
        <w:rPr>
          <w:b/>
          <w:bCs/>
          <w:sz w:val="20"/>
          <w:szCs w:val="20"/>
        </w:rPr>
        <w:t>as yet</w:t>
      </w:r>
      <w:bookmarkEnd w:id="166"/>
      <w:r w:rsidRPr="32F7F25D">
        <w:rPr>
          <w:b/>
          <w:bCs/>
          <w:sz w:val="20"/>
          <w:szCs w:val="20"/>
        </w:rPr>
        <w:t xml:space="preserve"> untapped potential within the realm of homelessness prevention. There is consensus that homelessness is a public health problem, yet health data and services are completely siloed from their social care &amp; housing counterparts. This gives rise to uncoordinated and suboptimal decision-making, within both health services and the Councils. As such, Kent County Council aspires to run a pilot with West Kent </w:t>
      </w:r>
      <w:bookmarkStart w:id="167" w:name="_Int_96RH50Ca"/>
      <w:r w:rsidRPr="32F7F25D">
        <w:rPr>
          <w:b/>
          <w:bCs/>
          <w:sz w:val="20"/>
          <w:szCs w:val="20"/>
        </w:rPr>
        <w:t>MTW</w:t>
      </w:r>
      <w:bookmarkEnd w:id="167"/>
      <w:r w:rsidRPr="32F7F25D">
        <w:rPr>
          <w:b/>
          <w:bCs/>
          <w:sz w:val="20"/>
          <w:szCs w:val="20"/>
        </w:rPr>
        <w:t xml:space="preserve"> NHS Trust and Maidstone and Sevenoaks District Councils. </w:t>
      </w:r>
      <w:bookmarkStart w:id="168" w:name="_Int_l7VgyIla"/>
      <w:r w:rsidRPr="32F7F25D">
        <w:rPr>
          <w:b/>
          <w:bCs/>
          <w:sz w:val="20"/>
          <w:szCs w:val="20"/>
        </w:rPr>
        <w:t>In due course</w:t>
      </w:r>
      <w:bookmarkEnd w:id="168"/>
      <w:r w:rsidRPr="32F7F25D">
        <w:rPr>
          <w:b/>
          <w:bCs/>
          <w:sz w:val="20"/>
          <w:szCs w:val="20"/>
        </w:rPr>
        <w:t xml:space="preserve">, it is hoped this would expand to other Trusts. </w:t>
      </w:r>
    </w:p>
    <w:p w14:paraId="74C3D4E8" w14:textId="77777777" w:rsidR="003A10A0" w:rsidRPr="00953560" w:rsidRDefault="003A10A0" w:rsidP="00A86E2D">
      <w:pPr>
        <w:pBdr>
          <w:top w:val="single" w:sz="4" w:space="1" w:color="auto"/>
          <w:left w:val="single" w:sz="4" w:space="4" w:color="auto"/>
          <w:bottom w:val="single" w:sz="4" w:space="1" w:color="auto"/>
          <w:right w:val="single" w:sz="4" w:space="4" w:color="auto"/>
        </w:pBdr>
        <w:rPr>
          <w:b/>
          <w:bCs/>
          <w:sz w:val="20"/>
          <w:szCs w:val="20"/>
        </w:rPr>
      </w:pPr>
      <w:r w:rsidRPr="32F7F25D">
        <w:rPr>
          <w:b/>
          <w:bCs/>
          <w:sz w:val="20"/>
          <w:szCs w:val="20"/>
        </w:rPr>
        <w:t xml:space="preserve">This pilot would serve several functions, the first of which is the inclusion of relevant health data in the homelessness models. Information on respiratory and cardiovascular conditions, substance misuse, mental health, and interactions with health services are all pertinent to homelessness. These Councils will send the NHS Trust the list of citizens that their model has identified as at risk of homelessness, and, against their names, the Trust will flag the presence of these health conditions. Not only would this ensure compliance with information governance laws, but it would also transform the support that Kent could provide to its vulnerable residents and thus pioneer the UK’s venture into Population Health Management. </w:t>
      </w:r>
    </w:p>
    <w:p w14:paraId="17CBB3E2" w14:textId="77777777" w:rsidR="003A10A0" w:rsidRPr="00953560" w:rsidRDefault="003A10A0" w:rsidP="00A86E2D">
      <w:pPr>
        <w:pBdr>
          <w:top w:val="single" w:sz="4" w:space="1" w:color="auto"/>
          <w:left w:val="single" w:sz="4" w:space="4" w:color="auto"/>
          <w:bottom w:val="single" w:sz="4" w:space="1" w:color="auto"/>
          <w:right w:val="single" w:sz="4" w:space="4" w:color="auto"/>
        </w:pBdr>
        <w:rPr>
          <w:b/>
          <w:bCs/>
          <w:sz w:val="20"/>
          <w:szCs w:val="20"/>
        </w:rPr>
      </w:pPr>
      <w:r w:rsidRPr="32F7F25D">
        <w:rPr>
          <w:b/>
          <w:bCs/>
          <w:sz w:val="20"/>
          <w:szCs w:val="20"/>
        </w:rPr>
        <w:t xml:space="preserve">The second function of the pilot supports the long-term aim of pushing homelessness data back into GP surgeries, to create a two-way stream of information. Given the extensive health complications that arise from experiencing homelessness, it is important that healthcare staff know if their patient is at risk so they can modify clinical decisions accordingly. </w:t>
      </w:r>
    </w:p>
    <w:p w14:paraId="7CC09248" w14:textId="77777777" w:rsidR="003A10A0" w:rsidRPr="00953560" w:rsidRDefault="003A10A0" w:rsidP="00A86E2D">
      <w:pPr>
        <w:pBdr>
          <w:top w:val="single" w:sz="4" w:space="1" w:color="auto"/>
          <w:left w:val="single" w:sz="4" w:space="4" w:color="auto"/>
          <w:bottom w:val="single" w:sz="4" w:space="1" w:color="auto"/>
          <w:right w:val="single" w:sz="4" w:space="4" w:color="auto"/>
        </w:pBdr>
        <w:rPr>
          <w:b/>
          <w:bCs/>
          <w:sz w:val="20"/>
          <w:szCs w:val="20"/>
        </w:rPr>
      </w:pPr>
      <w:r w:rsidRPr="32F7F25D">
        <w:rPr>
          <w:b/>
          <w:bCs/>
          <w:sz w:val="20"/>
          <w:szCs w:val="20"/>
        </w:rPr>
        <w:t>The final function of the pilot is the establishment of Integrated Neighbourhood Teams. Here, specialist staff would work together in a cross-service partnership approach to implement homelessness-prevention strategies at the intersection of needs. Since risk factors for homelessness are rarely present in isolation, interventions must also be multi-faceted. Teams would have ‘care navigators’ with ready access to data concerning individuals’ risk factors, and the most effective available interventions. Support would be in one place to make it more accessible for those experiencing homelessness, and to pool workers’ collective intelligence in areas such as debt, mental health, social care, and housing.</w:t>
      </w:r>
    </w:p>
    <w:p w14:paraId="02B8C24E" w14:textId="77777777" w:rsidR="003A10A0" w:rsidRPr="00953560" w:rsidRDefault="003A10A0" w:rsidP="00A86E2D">
      <w:pPr>
        <w:pBdr>
          <w:top w:val="single" w:sz="4" w:space="1" w:color="auto"/>
          <w:left w:val="single" w:sz="4" w:space="4" w:color="auto"/>
          <w:bottom w:val="single" w:sz="4" w:space="1" w:color="auto"/>
          <w:right w:val="single" w:sz="4" w:space="4" w:color="auto"/>
        </w:pBdr>
        <w:rPr>
          <w:b/>
          <w:bCs/>
          <w:sz w:val="20"/>
          <w:szCs w:val="20"/>
          <w:highlight w:val="white"/>
        </w:rPr>
      </w:pPr>
      <w:r w:rsidRPr="32F7F25D">
        <w:rPr>
          <w:b/>
          <w:bCs/>
          <w:sz w:val="20"/>
          <w:szCs w:val="20"/>
          <w:highlight w:val="white"/>
        </w:rPr>
        <w:lastRenderedPageBreak/>
        <w:t>Of course, while this is incredibly innovative work it is also not without challenge in design and delivery and as such requires careful consideration at each step to ensure positive outcomes for people, as well as compliance to data protection and privacy.</w:t>
      </w:r>
    </w:p>
    <w:p w14:paraId="0D575FBF" w14:textId="6C00D077" w:rsidR="003A10A0" w:rsidRDefault="003A10A0" w:rsidP="00B8042E">
      <w:pPr>
        <w:pStyle w:val="paragraph"/>
        <w:spacing w:before="0" w:beforeAutospacing="0" w:after="0" w:afterAutospacing="0" w:line="276" w:lineRule="auto"/>
        <w:textAlignment w:val="baseline"/>
        <w:rPr>
          <w:rFonts w:asciiTheme="minorHAnsi" w:hAnsiTheme="minorHAnsi" w:cstheme="minorHAnsi"/>
          <w:b/>
          <w:bCs/>
        </w:rPr>
      </w:pPr>
    </w:p>
    <w:p w14:paraId="0583F399" w14:textId="77777777" w:rsidR="00291758" w:rsidRPr="00D46DE9" w:rsidRDefault="00291758" w:rsidP="009D38FF">
      <w:pPr>
        <w:pStyle w:val="Heading1"/>
      </w:pPr>
      <w:bookmarkStart w:id="169" w:name="_Toc128133859"/>
      <w:bookmarkStart w:id="170" w:name="_Toc118725286"/>
      <w:bookmarkStart w:id="171" w:name="_Toc118725503"/>
      <w:bookmarkStart w:id="172" w:name="_Toc120691365"/>
      <w:r w:rsidRPr="00D46DE9">
        <w:t>Childhood Immunisation Coverage</w:t>
      </w:r>
      <w:bookmarkEnd w:id="169"/>
    </w:p>
    <w:bookmarkEnd w:id="170"/>
    <w:bookmarkEnd w:id="171"/>
    <w:bookmarkEnd w:id="172"/>
    <w:p w14:paraId="4BDC0526" w14:textId="77777777" w:rsidR="00291758" w:rsidRDefault="00291758" w:rsidP="00291758">
      <w:r>
        <w:t>These are the initial findings of an analysis of the COVER programme data on childhood immunisations.</w:t>
      </w:r>
    </w:p>
    <w:p w14:paraId="52BE5BD2" w14:textId="77777777" w:rsidR="00291758" w:rsidRDefault="009C6DE5" w:rsidP="00291758">
      <w:hyperlink r:id="rId155" w:history="1">
        <w:r w:rsidR="00291758">
          <w:rPr>
            <w:rStyle w:val="Hyperlink"/>
          </w:rPr>
          <w:t>Cover of vaccination evaluated rapidly (COVER) programme 2021 to 2022: quarterly data - GOV.UK (www.gov.uk)</w:t>
        </w:r>
      </w:hyperlink>
    </w:p>
    <w:p w14:paraId="6BD55909" w14:textId="77777777" w:rsidR="00291758" w:rsidRDefault="00291758" w:rsidP="00291758">
      <w:r>
        <w:t>The data is available quarterly at GP level. Data from April 2021 to March 2022 has been included in this initial analysis.</w:t>
      </w:r>
    </w:p>
    <w:p w14:paraId="72C58EA0" w14:textId="77777777" w:rsidR="00291758" w:rsidRDefault="00291758" w:rsidP="00291758">
      <w:r>
        <w:t>The following indicator immunisations have been included in the analysis:</w:t>
      </w:r>
    </w:p>
    <w:p w14:paraId="1FFD80BF" w14:textId="77777777" w:rsidR="00291758" w:rsidRPr="001A242A" w:rsidRDefault="00291758" w:rsidP="007A44C5">
      <w:pPr>
        <w:pStyle w:val="ListParagraph"/>
        <w:numPr>
          <w:ilvl w:val="0"/>
          <w:numId w:val="16"/>
        </w:numPr>
        <w:spacing w:before="120" w:after="120"/>
        <w:rPr>
          <w:sz w:val="24"/>
          <w:szCs w:val="24"/>
        </w:rPr>
      </w:pPr>
      <w:r w:rsidRPr="001A242A">
        <w:rPr>
          <w:sz w:val="24"/>
          <w:szCs w:val="24"/>
        </w:rPr>
        <w:t xml:space="preserve">5 Years of Age </w:t>
      </w:r>
      <w:bookmarkStart w:id="173" w:name="_Int_m9Ot5wd8"/>
      <w:r w:rsidRPr="001A242A">
        <w:rPr>
          <w:sz w:val="24"/>
          <w:szCs w:val="24"/>
        </w:rPr>
        <w:t>MMR</w:t>
      </w:r>
      <w:bookmarkEnd w:id="173"/>
      <w:r w:rsidRPr="001A242A">
        <w:rPr>
          <w:sz w:val="24"/>
          <w:szCs w:val="24"/>
        </w:rPr>
        <w:t xml:space="preserve"> Immunisation</w:t>
      </w:r>
    </w:p>
    <w:p w14:paraId="5B40D329" w14:textId="77777777" w:rsidR="00291758" w:rsidRPr="001A242A" w:rsidRDefault="00291758" w:rsidP="007A44C5">
      <w:pPr>
        <w:pStyle w:val="ListParagraph"/>
        <w:numPr>
          <w:ilvl w:val="0"/>
          <w:numId w:val="16"/>
        </w:numPr>
        <w:spacing w:before="120" w:after="120"/>
        <w:rPr>
          <w:sz w:val="24"/>
          <w:szCs w:val="24"/>
        </w:rPr>
      </w:pPr>
      <w:r w:rsidRPr="001A242A">
        <w:rPr>
          <w:sz w:val="24"/>
          <w:szCs w:val="24"/>
        </w:rPr>
        <w:t>5 Years of Age DTaP/IPC/Hib</w:t>
      </w:r>
    </w:p>
    <w:p w14:paraId="60F1B970" w14:textId="77777777" w:rsidR="00291758" w:rsidRPr="001A242A" w:rsidRDefault="00291758" w:rsidP="007A44C5">
      <w:pPr>
        <w:pStyle w:val="ListParagraph"/>
        <w:numPr>
          <w:ilvl w:val="0"/>
          <w:numId w:val="16"/>
        </w:numPr>
        <w:spacing w:before="120" w:after="120"/>
        <w:rPr>
          <w:sz w:val="24"/>
          <w:szCs w:val="24"/>
        </w:rPr>
      </w:pPr>
      <w:r w:rsidRPr="001A242A">
        <w:rPr>
          <w:sz w:val="24"/>
          <w:szCs w:val="24"/>
        </w:rPr>
        <w:t>24 Months of Age DTaP/IPC/Hib</w:t>
      </w:r>
    </w:p>
    <w:p w14:paraId="3463ECF5" w14:textId="77777777" w:rsidR="00291758" w:rsidRPr="001A242A" w:rsidRDefault="00291758" w:rsidP="007A44C5">
      <w:pPr>
        <w:pStyle w:val="ListParagraph"/>
        <w:numPr>
          <w:ilvl w:val="0"/>
          <w:numId w:val="16"/>
        </w:numPr>
        <w:spacing w:before="120" w:after="120"/>
        <w:rPr>
          <w:sz w:val="24"/>
          <w:szCs w:val="24"/>
        </w:rPr>
      </w:pPr>
      <w:r w:rsidRPr="001A242A">
        <w:rPr>
          <w:sz w:val="24"/>
          <w:szCs w:val="24"/>
        </w:rPr>
        <w:t>12 Months of Age DTaP/IPC/Hib</w:t>
      </w:r>
    </w:p>
    <w:p w14:paraId="51BABD99" w14:textId="3C104C41" w:rsidR="00291758" w:rsidRDefault="00EC1C73">
      <w:pPr>
        <w:pStyle w:val="Heading2"/>
      </w:pPr>
      <w:bookmarkStart w:id="174" w:name="_Toc120691389"/>
      <w:bookmarkStart w:id="175" w:name="_Toc128133860"/>
      <w:r>
        <w:t>Measles, mumps &amp; rubella (</w:t>
      </w:r>
      <w:r w:rsidR="00291758">
        <w:t>MMR</w:t>
      </w:r>
      <w:r>
        <w:t>)</w:t>
      </w:r>
      <w:r w:rsidR="00291758">
        <w:t xml:space="preserve"> – </w:t>
      </w:r>
      <w:r w:rsidR="00DF69AA">
        <w:t xml:space="preserve">at age </w:t>
      </w:r>
      <w:r w:rsidR="00291758">
        <w:t>5 years</w:t>
      </w:r>
      <w:bookmarkEnd w:id="174"/>
      <w:bookmarkEnd w:id="175"/>
    </w:p>
    <w:p w14:paraId="0408834F" w14:textId="5F6A7A2B" w:rsidR="00291758" w:rsidRPr="001A242A" w:rsidRDefault="00291758" w:rsidP="00291758">
      <w:pPr>
        <w:pStyle w:val="Caption"/>
        <w:keepNext/>
        <w:rPr>
          <w:szCs w:val="24"/>
        </w:rPr>
      </w:pPr>
      <w:r w:rsidRPr="000241B7">
        <w:rPr>
          <w:bCs/>
          <w:iCs w:val="0"/>
          <w:szCs w:val="24"/>
        </w:rPr>
        <w:t xml:space="preserve">Figure </w:t>
      </w:r>
      <w:r w:rsidRPr="00957B11">
        <w:rPr>
          <w:szCs w:val="24"/>
        </w:rPr>
        <w:fldChar w:fldCharType="begin"/>
      </w:r>
      <w:r w:rsidRPr="00957B11">
        <w:rPr>
          <w:szCs w:val="24"/>
        </w:rPr>
        <w:instrText xml:space="preserve"> SEQ Figure \* ARABIC </w:instrText>
      </w:r>
      <w:r w:rsidRPr="00957B11">
        <w:rPr>
          <w:szCs w:val="24"/>
        </w:rPr>
        <w:fldChar w:fldCharType="separate"/>
      </w:r>
      <w:r w:rsidR="00AC79E0">
        <w:rPr>
          <w:noProof/>
          <w:szCs w:val="24"/>
        </w:rPr>
        <w:t>1</w:t>
      </w:r>
      <w:r w:rsidRPr="00957B11">
        <w:rPr>
          <w:szCs w:val="24"/>
        </w:rPr>
        <w:fldChar w:fldCharType="end"/>
      </w:r>
      <w:r w:rsidR="001A242A">
        <w:rPr>
          <w:szCs w:val="24"/>
        </w:rPr>
        <w:t>0</w:t>
      </w:r>
      <w:r w:rsidR="006D7B54">
        <w:rPr>
          <w:szCs w:val="24"/>
        </w:rPr>
        <w:t>2</w:t>
      </w:r>
      <w:r w:rsidRPr="000241B7">
        <w:rPr>
          <w:bCs/>
          <w:iCs w:val="0"/>
          <w:szCs w:val="24"/>
        </w:rPr>
        <w:t xml:space="preserve"> 5 Years of Age MMR Immunisation Coverage by PCN</w:t>
      </w:r>
      <w:r w:rsidR="001A242A">
        <w:rPr>
          <w:bCs/>
          <w:iCs w:val="0"/>
          <w:szCs w:val="24"/>
        </w:rPr>
        <w:t xml:space="preserve">, </w:t>
      </w:r>
      <w:r w:rsidRPr="001A242A">
        <w:rPr>
          <w:szCs w:val="24"/>
        </w:rPr>
        <w:t>West Kent HCP 2021/22</w:t>
      </w:r>
    </w:p>
    <w:p w14:paraId="55A21051" w14:textId="77777777" w:rsidR="00291758" w:rsidRDefault="00291758" w:rsidP="00291758">
      <w:r>
        <w:rPr>
          <w:noProof/>
        </w:rPr>
        <w:drawing>
          <wp:inline distT="0" distB="0" distL="0" distR="0" wp14:anchorId="778D1B2D" wp14:editId="7B589231">
            <wp:extent cx="5995378" cy="2383155"/>
            <wp:effectExtent l="0" t="0" r="5715" b="0"/>
            <wp:docPr id="301" name="Picture 301" descr="A Column chart showing the highest immunisation coverage as 91.0% in Tonbridge PCN and 77.5% in Maidstone South P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Column chart showing the highest immunisation coverage as 91.0% in Tonbridge PCN and 77.5% in Maidstone South PCN."/>
                    <pic:cNvPicPr>
                      <a:picLocks noChangeAspect="1" noChangeArrowheads="1"/>
                    </pic:cNvPicPr>
                  </pic:nvPicPr>
                  <pic:blipFill rotWithShape="1">
                    <a:blip r:embed="rId156">
                      <a:extLst>
                        <a:ext uri="{28A0092B-C50C-407E-A947-70E740481C1C}">
                          <a14:useLocalDpi xmlns:a14="http://schemas.microsoft.com/office/drawing/2010/main" val="0"/>
                        </a:ext>
                      </a:extLst>
                    </a:blip>
                    <a:srcRect t="16656"/>
                    <a:stretch/>
                  </pic:blipFill>
                  <pic:spPr bwMode="auto">
                    <a:xfrm>
                      <a:off x="0" y="0"/>
                      <a:ext cx="6009235" cy="2388663"/>
                    </a:xfrm>
                    <a:prstGeom prst="rect">
                      <a:avLst/>
                    </a:prstGeom>
                    <a:noFill/>
                    <a:ln>
                      <a:noFill/>
                    </a:ln>
                    <a:extLst>
                      <a:ext uri="{53640926-AAD7-44D8-BBD7-CCE9431645EC}">
                        <a14:shadowObscured xmlns:a14="http://schemas.microsoft.com/office/drawing/2010/main"/>
                      </a:ext>
                    </a:extLst>
                  </pic:spPr>
                </pic:pic>
              </a:graphicData>
            </a:graphic>
          </wp:inline>
        </w:drawing>
      </w:r>
    </w:p>
    <w:p w14:paraId="4558CA1E" w14:textId="77777777" w:rsidR="00291758" w:rsidRDefault="00291758" w:rsidP="00291758">
      <w:r>
        <w:t xml:space="preserve">Maidstone South PCN had significantly lower 5yr MMR2 immunisation coverage in 2021/22 when compared to Kent &amp; Medway. </w:t>
      </w:r>
    </w:p>
    <w:p w14:paraId="7A4EC0CE" w14:textId="78B65272" w:rsidR="00291758" w:rsidRPr="00823D60" w:rsidRDefault="00291758" w:rsidP="00291758">
      <w:pPr>
        <w:pStyle w:val="Caption"/>
        <w:keepNext/>
        <w:rPr>
          <w:sz w:val="22"/>
          <w:szCs w:val="22"/>
        </w:rPr>
      </w:pPr>
      <w:r>
        <w:lastRenderedPageBreak/>
        <w:t xml:space="preserve">Figure </w:t>
      </w:r>
      <w:r w:rsidR="00B60D61">
        <w:t>10</w:t>
      </w:r>
      <w:r w:rsidR="006D7B54">
        <w:t>3</w:t>
      </w:r>
      <w:r w:rsidRPr="00B826AB">
        <w:t xml:space="preserve"> 5 Years of Age MMR Immunisation Coverage by GP</w:t>
      </w:r>
      <w:r w:rsidR="00B60D61">
        <w:t xml:space="preserve">, </w:t>
      </w:r>
      <w:r w:rsidRPr="00B60D61">
        <w:rPr>
          <w:szCs w:val="24"/>
        </w:rPr>
        <w:t>Lower Coverage PCNs in West Kent HCP, 2021/22</w:t>
      </w:r>
    </w:p>
    <w:p w14:paraId="3A478BDB" w14:textId="77777777" w:rsidR="00291758" w:rsidRDefault="00291758" w:rsidP="00291758">
      <w:r>
        <w:rPr>
          <w:noProof/>
        </w:rPr>
        <w:drawing>
          <wp:inline distT="0" distB="0" distL="0" distR="0" wp14:anchorId="0FED63F4" wp14:editId="21204EC0">
            <wp:extent cx="5761355" cy="3260090"/>
            <wp:effectExtent l="0" t="0" r="0" b="0"/>
            <wp:docPr id="309" name="Picture 309" descr="A bar chart showing the highest immunisation coverage as 87.8% in Greensands and the lowest as 58.1% in the Albion Place Medical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A bar chart showing the highest immunisation coverage as 87.8% in Greensands and the lowest as 58.1% in the Albion Place Medical Practice."/>
                    <pic:cNvPicPr>
                      <a:picLocks noChangeAspect="1" noChangeArrowheads="1"/>
                    </pic:cNvPicPr>
                  </pic:nvPicPr>
                  <pic:blipFill rotWithShape="1">
                    <a:blip r:embed="rId157">
                      <a:extLst>
                        <a:ext uri="{28A0092B-C50C-407E-A947-70E740481C1C}">
                          <a14:useLocalDpi xmlns:a14="http://schemas.microsoft.com/office/drawing/2010/main" val="0"/>
                        </a:ext>
                      </a:extLst>
                    </a:blip>
                    <a:srcRect t="9517"/>
                    <a:stretch/>
                  </pic:blipFill>
                  <pic:spPr bwMode="auto">
                    <a:xfrm>
                      <a:off x="0" y="0"/>
                      <a:ext cx="5761355" cy="3260090"/>
                    </a:xfrm>
                    <a:prstGeom prst="rect">
                      <a:avLst/>
                    </a:prstGeom>
                    <a:noFill/>
                    <a:ln>
                      <a:noFill/>
                    </a:ln>
                    <a:extLst>
                      <a:ext uri="{53640926-AAD7-44D8-BBD7-CCE9431645EC}">
                        <a14:shadowObscured xmlns:a14="http://schemas.microsoft.com/office/drawing/2010/main"/>
                      </a:ext>
                    </a:extLst>
                  </pic:spPr>
                </pic:pic>
              </a:graphicData>
            </a:graphic>
          </wp:inline>
        </w:drawing>
      </w:r>
    </w:p>
    <w:p w14:paraId="20355737" w14:textId="6F21AC70" w:rsidR="0067550B" w:rsidRDefault="00291758" w:rsidP="0067550B">
      <w:r>
        <w:t xml:space="preserve">The Albion Place Medical Practice and Mote GP both have lower MMR2 immunisation coverage in 2021/22 when compared to the rest of Kent &amp; Medway. </w:t>
      </w:r>
      <w:bookmarkStart w:id="176" w:name="_Toc120691390"/>
    </w:p>
    <w:p w14:paraId="1D075CC8" w14:textId="29B7CE9B" w:rsidR="00291758" w:rsidRDefault="00291758" w:rsidP="00816603">
      <w:pPr>
        <w:pStyle w:val="Heading2"/>
      </w:pPr>
      <w:bookmarkStart w:id="177" w:name="_Toc128133861"/>
      <w:r>
        <w:t xml:space="preserve">DTaP/IPV/Hib – </w:t>
      </w:r>
      <w:r w:rsidR="005C45B8">
        <w:t>at age</w:t>
      </w:r>
      <w:r>
        <w:t xml:space="preserve"> 5 years</w:t>
      </w:r>
      <w:bookmarkEnd w:id="176"/>
      <w:bookmarkEnd w:id="177"/>
    </w:p>
    <w:p w14:paraId="3E7F1D9A" w14:textId="7ABE2F47" w:rsidR="00291758" w:rsidRPr="000241B7" w:rsidRDefault="00291758" w:rsidP="00291758">
      <w:pPr>
        <w:pStyle w:val="Caption"/>
        <w:keepNext/>
        <w:rPr>
          <w:b w:val="0"/>
          <w:bCs/>
          <w:i/>
          <w:iCs w:val="0"/>
          <w:sz w:val="22"/>
          <w:szCs w:val="22"/>
        </w:rPr>
      </w:pPr>
      <w:r w:rsidRPr="000241B7">
        <w:rPr>
          <w:bCs/>
          <w:iCs w:val="0"/>
          <w:szCs w:val="24"/>
        </w:rPr>
        <w:t>Figure</w:t>
      </w:r>
      <w:r w:rsidR="00CC26E2">
        <w:rPr>
          <w:bCs/>
          <w:iCs w:val="0"/>
          <w:szCs w:val="24"/>
        </w:rPr>
        <w:t xml:space="preserve"> </w:t>
      </w:r>
      <w:r>
        <w:rPr>
          <w:bCs/>
          <w:iCs w:val="0"/>
          <w:szCs w:val="24"/>
        </w:rPr>
        <w:t>10</w:t>
      </w:r>
      <w:r w:rsidR="006D7B54">
        <w:rPr>
          <w:bCs/>
          <w:iCs w:val="0"/>
          <w:szCs w:val="24"/>
        </w:rPr>
        <w:t>4</w:t>
      </w:r>
      <w:r w:rsidRPr="000241B7">
        <w:rPr>
          <w:bCs/>
          <w:iCs w:val="0"/>
          <w:szCs w:val="24"/>
        </w:rPr>
        <w:t xml:space="preserve"> 5 Years of Age DTaP/IPV/Hib Immunisation Coverage by PCN </w:t>
      </w:r>
      <w:r>
        <w:rPr>
          <w:bCs/>
          <w:iCs w:val="0"/>
          <w:szCs w:val="24"/>
        </w:rPr>
        <w:br/>
      </w:r>
      <w:r w:rsidRPr="000241B7">
        <w:rPr>
          <w:bCs/>
          <w:iCs w:val="0"/>
          <w:sz w:val="22"/>
          <w:szCs w:val="22"/>
        </w:rPr>
        <w:t>West Kent HCP, 2021/22</w:t>
      </w:r>
    </w:p>
    <w:p w14:paraId="2D9F7896" w14:textId="77777777" w:rsidR="00291758" w:rsidRDefault="00291758" w:rsidP="00291758">
      <w:r>
        <w:rPr>
          <w:noProof/>
        </w:rPr>
        <w:drawing>
          <wp:inline distT="0" distB="0" distL="0" distR="0" wp14:anchorId="6F79DDAF" wp14:editId="313A7CC9">
            <wp:extent cx="6079488" cy="2400300"/>
            <wp:effectExtent l="0" t="0" r="0" b="0"/>
            <wp:docPr id="296" name="Picture 296" descr="A Column chart showing the highest immunisation coverage as 97.6% in ABC PCN and 94.0% in Maidstone South P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Column chart showing the highest immunisation coverage as 97.6% in ABC PCN and 94.0% in Maidstone South PCN."/>
                    <pic:cNvPicPr>
                      <a:picLocks noChangeAspect="1" noChangeArrowheads="1"/>
                    </pic:cNvPicPr>
                  </pic:nvPicPr>
                  <pic:blipFill rotWithShape="1">
                    <a:blip r:embed="rId158">
                      <a:extLst>
                        <a:ext uri="{28A0092B-C50C-407E-A947-70E740481C1C}">
                          <a14:useLocalDpi xmlns:a14="http://schemas.microsoft.com/office/drawing/2010/main" val="0"/>
                        </a:ext>
                      </a:extLst>
                    </a:blip>
                    <a:srcRect t="17105"/>
                    <a:stretch/>
                  </pic:blipFill>
                  <pic:spPr bwMode="auto">
                    <a:xfrm>
                      <a:off x="0" y="0"/>
                      <a:ext cx="6093461" cy="2405817"/>
                    </a:xfrm>
                    <a:prstGeom prst="rect">
                      <a:avLst/>
                    </a:prstGeom>
                    <a:noFill/>
                    <a:ln>
                      <a:noFill/>
                    </a:ln>
                    <a:extLst>
                      <a:ext uri="{53640926-AAD7-44D8-BBD7-CCE9431645EC}">
                        <a14:shadowObscured xmlns:a14="http://schemas.microsoft.com/office/drawing/2010/main"/>
                      </a:ext>
                    </a:extLst>
                  </pic:spPr>
                </pic:pic>
              </a:graphicData>
            </a:graphic>
          </wp:inline>
        </w:drawing>
      </w:r>
    </w:p>
    <w:p w14:paraId="59E1CB96" w14:textId="77777777" w:rsidR="00291758" w:rsidRDefault="00291758" w:rsidP="00291758">
      <w:r>
        <w:t>The 5-year DTaP/IPV/Hib immunisation coverage in the ABC PCN was higher than Kent &amp; Medway in 2021/22 while the rest of the PCNs in West Kent HCP were similar.</w:t>
      </w:r>
    </w:p>
    <w:p w14:paraId="464C2311" w14:textId="4F293923" w:rsidR="00291758" w:rsidRPr="006F0D84" w:rsidRDefault="00291758" w:rsidP="00291758">
      <w:pPr>
        <w:pStyle w:val="Caption"/>
        <w:keepNext/>
        <w:rPr>
          <w:sz w:val="22"/>
          <w:szCs w:val="22"/>
        </w:rPr>
      </w:pPr>
      <w:r>
        <w:lastRenderedPageBreak/>
        <w:t>Figure</w:t>
      </w:r>
      <w:r w:rsidR="00CC26E2">
        <w:t xml:space="preserve"> </w:t>
      </w:r>
      <w:r>
        <w:t>10</w:t>
      </w:r>
      <w:r w:rsidR="006D7B54">
        <w:t>5</w:t>
      </w:r>
      <w:r w:rsidRPr="00B55573">
        <w:t xml:space="preserve"> 5 Years of Age DTaP/IPC/Hib Immunisation Coverage by GP </w:t>
      </w:r>
      <w:r>
        <w:br/>
      </w:r>
      <w:r w:rsidRPr="006F0D84">
        <w:rPr>
          <w:sz w:val="22"/>
          <w:szCs w:val="22"/>
        </w:rPr>
        <w:t>Lower Cover PCNs in West Kent HCP, 2021/22</w:t>
      </w:r>
    </w:p>
    <w:p w14:paraId="71EA1A64" w14:textId="77777777" w:rsidR="00291758" w:rsidRDefault="00291758" w:rsidP="00291758">
      <w:r>
        <w:rPr>
          <w:noProof/>
        </w:rPr>
        <w:drawing>
          <wp:inline distT="0" distB="0" distL="0" distR="0" wp14:anchorId="2BD1E863" wp14:editId="2ECCEEBD">
            <wp:extent cx="5761355" cy="3307715"/>
            <wp:effectExtent l="0" t="0" r="0" b="6985"/>
            <wp:docPr id="312" name="Picture 312" descr="A bar chart showing the highest immunisation coverage as 97.4% at the  Greensands and the lowest as 86% at the Albion Place Medical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bar chart showing the highest immunisation coverage as 97.4% at the  Greensands and the lowest as 86% at the Albion Place Medical Practice."/>
                    <pic:cNvPicPr>
                      <a:picLocks noChangeAspect="1" noChangeArrowheads="1"/>
                    </pic:cNvPicPr>
                  </pic:nvPicPr>
                  <pic:blipFill rotWithShape="1">
                    <a:blip r:embed="rId159">
                      <a:extLst>
                        <a:ext uri="{28A0092B-C50C-407E-A947-70E740481C1C}">
                          <a14:useLocalDpi xmlns:a14="http://schemas.microsoft.com/office/drawing/2010/main" val="0"/>
                        </a:ext>
                      </a:extLst>
                    </a:blip>
                    <a:srcRect t="8195"/>
                    <a:stretch/>
                  </pic:blipFill>
                  <pic:spPr bwMode="auto">
                    <a:xfrm>
                      <a:off x="0" y="0"/>
                      <a:ext cx="5761355" cy="3307715"/>
                    </a:xfrm>
                    <a:prstGeom prst="rect">
                      <a:avLst/>
                    </a:prstGeom>
                    <a:noFill/>
                    <a:ln>
                      <a:noFill/>
                    </a:ln>
                    <a:extLst>
                      <a:ext uri="{53640926-AAD7-44D8-BBD7-CCE9431645EC}">
                        <a14:shadowObscured xmlns:a14="http://schemas.microsoft.com/office/drawing/2010/main"/>
                      </a:ext>
                    </a:extLst>
                  </pic:spPr>
                </pic:pic>
              </a:graphicData>
            </a:graphic>
          </wp:inline>
        </w:drawing>
      </w:r>
    </w:p>
    <w:p w14:paraId="3D0358A7" w14:textId="36E46C44" w:rsidR="00291758" w:rsidRDefault="00291758" w:rsidP="00291758">
      <w:r>
        <w:t>Albion Place Medical Practice has lower 5</w:t>
      </w:r>
      <w:r w:rsidR="00F57B87">
        <w:t>-</w:t>
      </w:r>
      <w:r>
        <w:t>year DTaP/IPC/Hib immunisation coverage compared to Kent &amp; Medway average in 2021/22.</w:t>
      </w:r>
    </w:p>
    <w:p w14:paraId="5AEB92F0" w14:textId="083427C6" w:rsidR="00291758" w:rsidRDefault="00291758" w:rsidP="00816603">
      <w:pPr>
        <w:pStyle w:val="Heading2"/>
      </w:pPr>
      <w:bookmarkStart w:id="178" w:name="_Toc120691391"/>
      <w:bookmarkStart w:id="179" w:name="_Toc128133862"/>
      <w:r>
        <w:t xml:space="preserve">DTaP/IPV/Hib – </w:t>
      </w:r>
      <w:r w:rsidR="00AA1649">
        <w:t xml:space="preserve">at age </w:t>
      </w:r>
      <w:r>
        <w:t>24 months</w:t>
      </w:r>
      <w:bookmarkEnd w:id="178"/>
      <w:bookmarkEnd w:id="179"/>
    </w:p>
    <w:p w14:paraId="1A70EC30" w14:textId="3F60FF1E" w:rsidR="00291758" w:rsidRPr="00CC26E2" w:rsidRDefault="00291758" w:rsidP="00291758">
      <w:pPr>
        <w:pStyle w:val="Caption"/>
        <w:keepNext/>
        <w:rPr>
          <w:szCs w:val="24"/>
        </w:rPr>
      </w:pPr>
      <w:r w:rsidRPr="00ED1DF9">
        <w:rPr>
          <w:bCs/>
          <w:iCs w:val="0"/>
          <w:szCs w:val="24"/>
        </w:rPr>
        <w:t xml:space="preserve">Figure </w:t>
      </w:r>
      <w:r w:rsidR="00CC26E2">
        <w:rPr>
          <w:szCs w:val="24"/>
        </w:rPr>
        <w:t>10</w:t>
      </w:r>
      <w:r w:rsidR="006D7B54">
        <w:rPr>
          <w:szCs w:val="24"/>
        </w:rPr>
        <w:t>6</w:t>
      </w:r>
      <w:r w:rsidR="00CC26E2">
        <w:rPr>
          <w:szCs w:val="24"/>
        </w:rPr>
        <w:t xml:space="preserve"> </w:t>
      </w:r>
      <w:r w:rsidRPr="00ED1DF9">
        <w:rPr>
          <w:bCs/>
          <w:iCs w:val="0"/>
          <w:szCs w:val="24"/>
        </w:rPr>
        <w:t>24 Months of Age DTaP/IPV/Hib Immunisation Coverage by PCN</w:t>
      </w:r>
      <w:r w:rsidR="00CC26E2">
        <w:rPr>
          <w:bCs/>
          <w:iCs w:val="0"/>
          <w:szCs w:val="24"/>
        </w:rPr>
        <w:t xml:space="preserve">, </w:t>
      </w:r>
      <w:r w:rsidRPr="00CC26E2">
        <w:rPr>
          <w:szCs w:val="24"/>
        </w:rPr>
        <w:t>West Kent HCP, 2021/22</w:t>
      </w:r>
    </w:p>
    <w:p w14:paraId="7921AF99" w14:textId="77777777" w:rsidR="00291758" w:rsidRDefault="00291758" w:rsidP="00291758">
      <w:r>
        <w:rPr>
          <w:noProof/>
        </w:rPr>
        <w:drawing>
          <wp:inline distT="0" distB="0" distL="0" distR="0" wp14:anchorId="06EF9B29" wp14:editId="312026D9">
            <wp:extent cx="6257376" cy="2489835"/>
            <wp:effectExtent l="0" t="0" r="0" b="5715"/>
            <wp:docPr id="292" name="Picture 292" descr="A Column chart showing the highest immunisation coverage as 96.5% in Sevenoaks PCN and 92.1% in ABC P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Column chart showing the highest immunisation coverage as 96.5% in Sevenoaks PCN and 92.1% in ABC PCN."/>
                    <pic:cNvPicPr>
                      <a:picLocks noChangeAspect="1" noChangeArrowheads="1"/>
                    </pic:cNvPicPr>
                  </pic:nvPicPr>
                  <pic:blipFill rotWithShape="1">
                    <a:blip r:embed="rId160">
                      <a:extLst>
                        <a:ext uri="{28A0092B-C50C-407E-A947-70E740481C1C}">
                          <a14:useLocalDpi xmlns:a14="http://schemas.microsoft.com/office/drawing/2010/main" val="0"/>
                        </a:ext>
                      </a:extLst>
                    </a:blip>
                    <a:srcRect t="16858"/>
                    <a:stretch/>
                  </pic:blipFill>
                  <pic:spPr bwMode="auto">
                    <a:xfrm>
                      <a:off x="0" y="0"/>
                      <a:ext cx="6287344" cy="2501759"/>
                    </a:xfrm>
                    <a:prstGeom prst="rect">
                      <a:avLst/>
                    </a:prstGeom>
                    <a:noFill/>
                    <a:ln>
                      <a:noFill/>
                    </a:ln>
                    <a:extLst>
                      <a:ext uri="{53640926-AAD7-44D8-BBD7-CCE9431645EC}">
                        <a14:shadowObscured xmlns:a14="http://schemas.microsoft.com/office/drawing/2010/main"/>
                      </a:ext>
                    </a:extLst>
                  </pic:spPr>
                </pic:pic>
              </a:graphicData>
            </a:graphic>
          </wp:inline>
        </w:drawing>
      </w:r>
    </w:p>
    <w:p w14:paraId="1C5A6956" w14:textId="77777777" w:rsidR="00291758" w:rsidRDefault="00291758" w:rsidP="00291758">
      <w:r>
        <w:t>The 24-month DTaP/IPV/Hib immunisation coverage in the Sevenoaks PCN was higher than Kent &amp; Medway in 2021/22 while the rest of the PCNs in West Kent HCP were similar.</w:t>
      </w:r>
    </w:p>
    <w:p w14:paraId="5387B952" w14:textId="247B4D20" w:rsidR="00291758" w:rsidRPr="005B00DE" w:rsidRDefault="00291758" w:rsidP="00291758">
      <w:pPr>
        <w:pStyle w:val="Caption"/>
        <w:keepNext/>
        <w:rPr>
          <w:sz w:val="22"/>
          <w:szCs w:val="22"/>
        </w:rPr>
      </w:pPr>
      <w:r>
        <w:lastRenderedPageBreak/>
        <w:t>Figure</w:t>
      </w:r>
      <w:r w:rsidR="004D36C8">
        <w:t xml:space="preserve"> </w:t>
      </w:r>
      <w:r>
        <w:t>10</w:t>
      </w:r>
      <w:r w:rsidR="006D7B54">
        <w:t>7</w:t>
      </w:r>
      <w:r w:rsidRPr="00686120">
        <w:t xml:space="preserve"> 24 Months of Age DTaP/IPC/Hib Immunisation Coverage by GP</w:t>
      </w:r>
      <w:r w:rsidR="00E77386">
        <w:t xml:space="preserve">, </w:t>
      </w:r>
      <w:r w:rsidRPr="00E77386">
        <w:rPr>
          <w:szCs w:val="24"/>
        </w:rPr>
        <w:t>Lower Coverage PCNs in West Kent, 2021/22</w:t>
      </w:r>
    </w:p>
    <w:p w14:paraId="18DD57A8" w14:textId="77777777" w:rsidR="00291758" w:rsidRDefault="00291758" w:rsidP="00291758">
      <w:r>
        <w:rPr>
          <w:noProof/>
        </w:rPr>
        <w:drawing>
          <wp:inline distT="0" distB="0" distL="0" distR="0" wp14:anchorId="397F1A17" wp14:editId="5C18B43A">
            <wp:extent cx="5761355" cy="3231515"/>
            <wp:effectExtent l="0" t="0" r="0" b="6985"/>
            <wp:docPr id="313" name="Picture 313" descr="A bar chart showing the highest immunisation coverage as 96.5% in Wallis Avenue and the lowest as 89.3% at the Mo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A bar chart showing the highest immunisation coverage as 96.5% in Wallis Avenue and the lowest as 89.3% at the Mote.&#10;"/>
                    <pic:cNvPicPr>
                      <a:picLocks noChangeAspect="1" noChangeArrowheads="1"/>
                    </pic:cNvPicPr>
                  </pic:nvPicPr>
                  <pic:blipFill rotWithShape="1">
                    <a:blip r:embed="rId161">
                      <a:extLst>
                        <a:ext uri="{28A0092B-C50C-407E-A947-70E740481C1C}">
                          <a14:useLocalDpi xmlns:a14="http://schemas.microsoft.com/office/drawing/2010/main" val="0"/>
                        </a:ext>
                      </a:extLst>
                    </a:blip>
                    <a:srcRect t="10310"/>
                    <a:stretch/>
                  </pic:blipFill>
                  <pic:spPr bwMode="auto">
                    <a:xfrm>
                      <a:off x="0" y="0"/>
                      <a:ext cx="5761355" cy="3231515"/>
                    </a:xfrm>
                    <a:prstGeom prst="rect">
                      <a:avLst/>
                    </a:prstGeom>
                    <a:noFill/>
                    <a:ln>
                      <a:noFill/>
                    </a:ln>
                    <a:extLst>
                      <a:ext uri="{53640926-AAD7-44D8-BBD7-CCE9431645EC}">
                        <a14:shadowObscured xmlns:a14="http://schemas.microsoft.com/office/drawing/2010/main"/>
                      </a:ext>
                    </a:extLst>
                  </pic:spPr>
                </pic:pic>
              </a:graphicData>
            </a:graphic>
          </wp:inline>
        </w:drawing>
      </w:r>
    </w:p>
    <w:p w14:paraId="7E788BD6" w14:textId="2AE3C447" w:rsidR="00291758" w:rsidRDefault="00291758" w:rsidP="00291758">
      <w:r>
        <w:t>The Mote GP had the lowest 24</w:t>
      </w:r>
      <w:r w:rsidR="00F57B87">
        <w:t>-</w:t>
      </w:r>
      <w:r>
        <w:t>month DTaP/IPV/Hib immunisation within the Maidstone South PCN in 2021/22.</w:t>
      </w:r>
    </w:p>
    <w:p w14:paraId="2227816B" w14:textId="3CCB22FB" w:rsidR="00291758" w:rsidRDefault="00291758" w:rsidP="00816603">
      <w:pPr>
        <w:pStyle w:val="Heading2"/>
      </w:pPr>
      <w:bookmarkStart w:id="180" w:name="_Toc120691392"/>
      <w:bookmarkStart w:id="181" w:name="_Toc128133863"/>
      <w:r>
        <w:t xml:space="preserve">DTaP/IPV/Hib – </w:t>
      </w:r>
      <w:r w:rsidR="00A16E15">
        <w:t xml:space="preserve">at age </w:t>
      </w:r>
      <w:r>
        <w:t>12 months</w:t>
      </w:r>
      <w:bookmarkEnd w:id="180"/>
      <w:bookmarkEnd w:id="181"/>
    </w:p>
    <w:p w14:paraId="609CB824" w14:textId="2DB6D807" w:rsidR="00291758" w:rsidRPr="00943DE7" w:rsidRDefault="00291758" w:rsidP="00291758">
      <w:pPr>
        <w:pStyle w:val="Caption"/>
        <w:keepNext/>
        <w:rPr>
          <w:b w:val="0"/>
          <w:bCs/>
          <w:i/>
          <w:iCs w:val="0"/>
          <w:sz w:val="22"/>
          <w:szCs w:val="22"/>
        </w:rPr>
      </w:pPr>
      <w:r w:rsidRPr="00943DE7">
        <w:rPr>
          <w:bCs/>
          <w:iCs w:val="0"/>
          <w:szCs w:val="24"/>
        </w:rPr>
        <w:t xml:space="preserve">Figure </w:t>
      </w:r>
      <w:r>
        <w:rPr>
          <w:szCs w:val="24"/>
        </w:rPr>
        <w:t>10</w:t>
      </w:r>
      <w:r w:rsidR="006D7B54">
        <w:rPr>
          <w:szCs w:val="24"/>
        </w:rPr>
        <w:t>8</w:t>
      </w:r>
      <w:r w:rsidRPr="00943DE7">
        <w:rPr>
          <w:bCs/>
          <w:iCs w:val="0"/>
          <w:szCs w:val="24"/>
        </w:rPr>
        <w:t xml:space="preserve"> 12 Months of Age DTaP/IPV/Hib Immunisation Coverage by PCN </w:t>
      </w:r>
      <w:r>
        <w:rPr>
          <w:bCs/>
          <w:iCs w:val="0"/>
          <w:szCs w:val="24"/>
        </w:rPr>
        <w:br/>
      </w:r>
      <w:r w:rsidRPr="00943DE7">
        <w:rPr>
          <w:bCs/>
          <w:iCs w:val="0"/>
          <w:sz w:val="22"/>
          <w:szCs w:val="22"/>
        </w:rPr>
        <w:t>West Kent HCP 2021/22</w:t>
      </w:r>
    </w:p>
    <w:p w14:paraId="775127D9" w14:textId="77777777" w:rsidR="00291758" w:rsidRDefault="00291758" w:rsidP="00291758">
      <w:r>
        <w:rPr>
          <w:noProof/>
        </w:rPr>
        <w:drawing>
          <wp:inline distT="0" distB="0" distL="0" distR="0" wp14:anchorId="3AC70709" wp14:editId="0065C8AD">
            <wp:extent cx="5596189" cy="2232025"/>
            <wp:effectExtent l="0" t="0" r="5080" b="0"/>
            <wp:docPr id="288" name="Picture 288" descr="A Column chart showing the highest immunisation coverage as 95.1% in Tunbridge Wells PCN and 90.0% in Maidstone South P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A Column chart showing the highest immunisation coverage as 95.1% in Tunbridge Wells PCN and 90.0% in Maidstone South PCN."/>
                    <pic:cNvPicPr>
                      <a:picLocks noChangeAspect="1" noChangeArrowheads="1"/>
                    </pic:cNvPicPr>
                  </pic:nvPicPr>
                  <pic:blipFill rotWithShape="1">
                    <a:blip r:embed="rId162">
                      <a:extLst>
                        <a:ext uri="{28A0092B-C50C-407E-A947-70E740481C1C}">
                          <a14:useLocalDpi xmlns:a14="http://schemas.microsoft.com/office/drawing/2010/main" val="0"/>
                        </a:ext>
                      </a:extLst>
                    </a:blip>
                    <a:srcRect t="16706"/>
                    <a:stretch/>
                  </pic:blipFill>
                  <pic:spPr bwMode="auto">
                    <a:xfrm>
                      <a:off x="0" y="0"/>
                      <a:ext cx="5606042" cy="2235955"/>
                    </a:xfrm>
                    <a:prstGeom prst="rect">
                      <a:avLst/>
                    </a:prstGeom>
                    <a:noFill/>
                    <a:ln>
                      <a:noFill/>
                    </a:ln>
                    <a:extLst>
                      <a:ext uri="{53640926-AAD7-44D8-BBD7-CCE9431645EC}">
                        <a14:shadowObscured xmlns:a14="http://schemas.microsoft.com/office/drawing/2010/main"/>
                      </a:ext>
                    </a:extLst>
                  </pic:spPr>
                </pic:pic>
              </a:graphicData>
            </a:graphic>
          </wp:inline>
        </w:drawing>
      </w:r>
    </w:p>
    <w:p w14:paraId="7F72A9D0" w14:textId="77777777" w:rsidR="00291758" w:rsidRDefault="00291758" w:rsidP="00291758">
      <w:r>
        <w:t>The 12-month DTaP/IPV/Hib immunisation coverage in Tunbridge Wells, Malling and Tonbridge PCNs were higher than Kent &amp; Medway in 2021/22 while the rest of the PCNs in West Kent HCP were similar.</w:t>
      </w:r>
    </w:p>
    <w:p w14:paraId="6CE985AC" w14:textId="5459351E" w:rsidR="00291758" w:rsidRPr="00B82DEC" w:rsidRDefault="00291758" w:rsidP="00291758">
      <w:pPr>
        <w:pStyle w:val="Caption"/>
        <w:keepNext/>
        <w:rPr>
          <w:sz w:val="22"/>
          <w:szCs w:val="22"/>
        </w:rPr>
      </w:pPr>
      <w:r>
        <w:lastRenderedPageBreak/>
        <w:t xml:space="preserve">Figure </w:t>
      </w:r>
      <w:r w:rsidR="00B4561B">
        <w:t>1</w:t>
      </w:r>
      <w:r w:rsidR="006D7B54">
        <w:t>09</w:t>
      </w:r>
      <w:r w:rsidRPr="004C6549">
        <w:t xml:space="preserve"> 12 Months of Age DTaP/IPC/Hib Immunisation Coverage by GP </w:t>
      </w:r>
      <w:r>
        <w:br/>
      </w:r>
      <w:r w:rsidRPr="00B82DEC">
        <w:rPr>
          <w:sz w:val="22"/>
          <w:szCs w:val="22"/>
        </w:rPr>
        <w:t>Lower Coverage PCN's in West Kent HCP, 2021/22</w:t>
      </w:r>
    </w:p>
    <w:p w14:paraId="55BA1417" w14:textId="77777777" w:rsidR="00291758" w:rsidRDefault="00291758" w:rsidP="00291758">
      <w:r>
        <w:rPr>
          <w:noProof/>
        </w:rPr>
        <w:drawing>
          <wp:inline distT="0" distB="0" distL="0" distR="0" wp14:anchorId="5BD0579B" wp14:editId="62BDCF71">
            <wp:extent cx="5761355" cy="3272790"/>
            <wp:effectExtent l="0" t="0" r="0" b="3810"/>
            <wp:docPr id="315" name="Picture 315" descr="A bar chart showing the highest immunisation coverage as 92.2% at the Mote and the lowest as 86.9% in the Albion Place Medical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A bar chart showing the highest immunisation coverage as 92.2% at the Mote and the lowest as 86.9% in the Albion Place Medical Practice."/>
                    <pic:cNvPicPr>
                      <a:picLocks noChangeAspect="1" noChangeArrowheads="1"/>
                    </pic:cNvPicPr>
                  </pic:nvPicPr>
                  <pic:blipFill rotWithShape="1">
                    <a:blip r:embed="rId163">
                      <a:extLst>
                        <a:ext uri="{28A0092B-C50C-407E-A947-70E740481C1C}">
                          <a14:useLocalDpi xmlns:a14="http://schemas.microsoft.com/office/drawing/2010/main" val="0"/>
                        </a:ext>
                      </a:extLst>
                    </a:blip>
                    <a:srcRect t="9005"/>
                    <a:stretch/>
                  </pic:blipFill>
                  <pic:spPr bwMode="auto">
                    <a:xfrm>
                      <a:off x="0" y="0"/>
                      <a:ext cx="5761355" cy="3272790"/>
                    </a:xfrm>
                    <a:prstGeom prst="rect">
                      <a:avLst/>
                    </a:prstGeom>
                    <a:noFill/>
                    <a:ln>
                      <a:noFill/>
                    </a:ln>
                    <a:extLst>
                      <a:ext uri="{53640926-AAD7-44D8-BBD7-CCE9431645EC}">
                        <a14:shadowObscured xmlns:a14="http://schemas.microsoft.com/office/drawing/2010/main"/>
                      </a:ext>
                    </a:extLst>
                  </pic:spPr>
                </pic:pic>
              </a:graphicData>
            </a:graphic>
          </wp:inline>
        </w:drawing>
      </w:r>
    </w:p>
    <w:p w14:paraId="55D99A02" w14:textId="7F7F68A0" w:rsidR="00942DD4" w:rsidRDefault="00291758" w:rsidP="00291758">
      <w:r>
        <w:t>The Albion Place Medical Practice had the lowest 12</w:t>
      </w:r>
      <w:r w:rsidR="00F57B87">
        <w:t>-</w:t>
      </w:r>
      <w:r>
        <w:t>month DTaP/IPV/Hib immunisation within the Maidstone South PCN in 2021/22.</w:t>
      </w:r>
    </w:p>
    <w:p w14:paraId="501DD5BE" w14:textId="77777777" w:rsidR="0055234A" w:rsidRPr="00B84AC9" w:rsidRDefault="0055234A" w:rsidP="009D38FF">
      <w:pPr>
        <w:pStyle w:val="Heading1"/>
      </w:pPr>
      <w:bookmarkStart w:id="182" w:name="_Toc128133864"/>
      <w:r w:rsidRPr="00B84AC9">
        <w:t>Hypertension in West Kent</w:t>
      </w:r>
      <w:bookmarkEnd w:id="182"/>
    </w:p>
    <w:p w14:paraId="239DC852" w14:textId="2CFA4D93" w:rsidR="0055234A" w:rsidRPr="00B84AC9" w:rsidRDefault="0055234A" w:rsidP="0055234A">
      <w:r w:rsidRPr="00B84AC9">
        <w:t xml:space="preserve">In a study produced by the Kent Public Health Observatory (January 2023) into hypertension in Kent which looked at the data produced by the Cardiovascular Disease Prevention Audit (CVDPREVENT) which is a national primary care audit that automatically extracts routinely held GP data examined. The report focuses on two of the </w:t>
      </w:r>
      <w:r w:rsidR="00AB1194">
        <w:t>h</w:t>
      </w:r>
      <w:r w:rsidRPr="00B84AC9">
        <w:t>ypertension indicators:</w:t>
      </w:r>
    </w:p>
    <w:p w14:paraId="771AB3A6" w14:textId="77777777" w:rsidR="0055234A" w:rsidRPr="00B84AC9" w:rsidRDefault="0055234A" w:rsidP="0055234A">
      <w:pPr>
        <w:spacing w:after="0"/>
      </w:pPr>
      <w:r w:rsidRPr="00B84AC9">
        <w:rPr>
          <w:b/>
          <w:bCs/>
        </w:rPr>
        <w:t>CVDP002HYP</w:t>
      </w:r>
      <w:r w:rsidRPr="00B84AC9">
        <w:t>: Treatment to recommended age specific (79 and under) threshold.</w:t>
      </w:r>
    </w:p>
    <w:p w14:paraId="566ADA8B" w14:textId="77777777" w:rsidR="0055234A" w:rsidRPr="00B84AC9" w:rsidRDefault="0055234A" w:rsidP="0055234A">
      <w:pPr>
        <w:spacing w:after="0"/>
      </w:pPr>
      <w:r w:rsidRPr="00B84AC9">
        <w:rPr>
          <w:b/>
          <w:bCs/>
        </w:rPr>
        <w:t>CVDP004HYP</w:t>
      </w:r>
      <w:r w:rsidRPr="00B84AC9">
        <w:t>: BP monitoring</w:t>
      </w:r>
    </w:p>
    <w:p w14:paraId="5B1D7C99" w14:textId="2D482265" w:rsidR="0055234A" w:rsidRPr="00B84AC9" w:rsidRDefault="0055234A" w:rsidP="0055234A">
      <w:pPr>
        <w:spacing w:after="0"/>
      </w:pPr>
      <w:r w:rsidRPr="00B84AC9">
        <w:t xml:space="preserve">Although some </w:t>
      </w:r>
      <w:r w:rsidR="00AB1194">
        <w:t>e</w:t>
      </w:r>
      <w:r w:rsidRPr="00B84AC9">
        <w:t>thnicity data is recorded it is currently not comprehensive enough to allow analysis.</w:t>
      </w:r>
    </w:p>
    <w:p w14:paraId="1541F1D8" w14:textId="77777777" w:rsidR="0055234A" w:rsidRPr="00B84AC9" w:rsidRDefault="0055234A" w:rsidP="0055234A">
      <w:r w:rsidRPr="00B84AC9">
        <w:t>The study reported that the management of hypertension within Kent and Medway falls below that of the England average and in the West Kent HCP, the percentage of hypertensive patients with controlled blood pressure ranges from 40.3% at Sevenoaks PCN to 62.6% at ABC PCN.</w:t>
      </w:r>
    </w:p>
    <w:p w14:paraId="610ED2E4" w14:textId="77777777" w:rsidR="00B67EFF" w:rsidRDefault="00B67EFF">
      <w:pPr>
        <w:spacing w:before="0" w:after="200"/>
      </w:pPr>
      <w:r>
        <w:br w:type="page"/>
      </w:r>
    </w:p>
    <w:p w14:paraId="1DE7B367" w14:textId="7C17CFC9" w:rsidR="0055234A" w:rsidRDefault="0055234A" w:rsidP="009D38FF">
      <w:pPr>
        <w:pStyle w:val="Heading2"/>
      </w:pPr>
      <w:bookmarkStart w:id="183" w:name="_Toc128133865"/>
      <w:r w:rsidRPr="00DB364C">
        <w:lastRenderedPageBreak/>
        <w:t>PCNs in West Kent</w:t>
      </w:r>
      <w:bookmarkEnd w:id="183"/>
    </w:p>
    <w:p w14:paraId="388B415D" w14:textId="23B7A496" w:rsidR="00B4561B" w:rsidRPr="00DB364C" w:rsidRDefault="00B4561B" w:rsidP="0055234A">
      <w:pPr>
        <w:spacing w:after="0"/>
        <w:rPr>
          <w:b/>
          <w:bCs/>
        </w:rPr>
      </w:pPr>
      <w:r>
        <w:rPr>
          <w:b/>
          <w:bCs/>
        </w:rPr>
        <w:t>Fig</w:t>
      </w:r>
      <w:r w:rsidR="009B62E2">
        <w:rPr>
          <w:b/>
          <w:bCs/>
        </w:rPr>
        <w:t>ure 11</w:t>
      </w:r>
      <w:r w:rsidR="006D7B54">
        <w:rPr>
          <w:b/>
          <w:bCs/>
        </w:rPr>
        <w:t>0</w:t>
      </w:r>
      <w:r w:rsidR="008503DC">
        <w:rPr>
          <w:b/>
          <w:bCs/>
        </w:rPr>
        <w:t xml:space="preserve"> Hypertension patients with last blood pressure reading &lt;= 140/90 mmHg</w:t>
      </w:r>
      <w:r w:rsidR="0075312D">
        <w:rPr>
          <w:b/>
          <w:bCs/>
        </w:rPr>
        <w:t xml:space="preserve">, PCNs in West Kent HCP </w:t>
      </w:r>
    </w:p>
    <w:p w14:paraId="5CDA3847" w14:textId="77777777" w:rsidR="0055234A" w:rsidRDefault="0055234A" w:rsidP="0055234A">
      <w:pPr>
        <w:spacing w:after="0"/>
      </w:pPr>
      <w:r>
        <w:rPr>
          <w:noProof/>
        </w:rPr>
        <w:drawing>
          <wp:inline distT="0" distB="0" distL="0" distR="0" wp14:anchorId="1C11149B" wp14:editId="7FEACC27">
            <wp:extent cx="4305300" cy="4223934"/>
            <wp:effectExtent l="0" t="0" r="0" b="5715"/>
            <wp:docPr id="5" name="Picture 5" descr="Bar chart showing Hypertension patients with last blood pressure reading &lt;= 140/90 mmHg in West Kent PCNs. ABC is highest with 62.6% followed by Tonbridge, The Ridge, Maidstone Central, Weald, Malling, South Maidstone, Tunbridge Wells and Sevenoaks at 40.3%. The England estimate is about 57% and the Kent and Medway estimated is abou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ar chart showing Hypertension patients with last blood pressure reading &lt;= 140/90 mmHg in West Kent PCNs. ABC is highest with 62.6% followed by Tonbridge, The Ridge, Maidstone Central, Weald, Malling, South Maidstone, Tunbridge Wells and Sevenoaks at 40.3%. The England estimate is about 57% and the Kent and Medway estimated is about 52%."/>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319726" cy="4238088"/>
                    </a:xfrm>
                    <a:prstGeom prst="rect">
                      <a:avLst/>
                    </a:prstGeom>
                  </pic:spPr>
                </pic:pic>
              </a:graphicData>
            </a:graphic>
          </wp:inline>
        </w:drawing>
      </w:r>
    </w:p>
    <w:p w14:paraId="3AADEF09" w14:textId="664E5E69" w:rsidR="0055234A" w:rsidRPr="00DB364C" w:rsidRDefault="0055234A" w:rsidP="0055234A">
      <w:r w:rsidRPr="00DB364C">
        <w:t xml:space="preserve">ABC PCN and Tonbridge PCN had significantly better blood pressure control compared to the England average for the twelve months preceding June 2022. While </w:t>
      </w:r>
      <w:r w:rsidR="009867CB">
        <w:t>T</w:t>
      </w:r>
      <w:r w:rsidRPr="00DB364C">
        <w:t xml:space="preserve">he Ridge </w:t>
      </w:r>
      <w:r w:rsidR="009867CB">
        <w:t>PCN</w:t>
      </w:r>
      <w:r w:rsidRPr="00DB364C">
        <w:t xml:space="preserve"> had a similar performance to England</w:t>
      </w:r>
      <w:r w:rsidR="00624C58">
        <w:t>,</w:t>
      </w:r>
      <w:r w:rsidRPr="00DB364C">
        <w:t xml:space="preserve"> the other PCNs in the West Kent HCP had lower performance. Also, Sevenoaks, Tunbridge Wells, South Maidstone</w:t>
      </w:r>
      <w:r w:rsidR="2FED38F4">
        <w:t>,</w:t>
      </w:r>
      <w:r w:rsidRPr="00DB364C">
        <w:t xml:space="preserve"> and Malling PCNs all had worse performance than the Kent and Medway average.</w:t>
      </w:r>
    </w:p>
    <w:p w14:paraId="3DB7EDAF" w14:textId="57E60098" w:rsidR="0055234A" w:rsidRDefault="0055234A" w:rsidP="009D38FF">
      <w:pPr>
        <w:pStyle w:val="Heading2"/>
      </w:pPr>
      <w:bookmarkStart w:id="184" w:name="_Toc128133866"/>
      <w:r w:rsidRPr="00DB364C">
        <w:t>BP Monitoring</w:t>
      </w:r>
      <w:bookmarkEnd w:id="184"/>
    </w:p>
    <w:p w14:paraId="71ED3FA1" w14:textId="77777777" w:rsidR="00911126" w:rsidRDefault="00911126">
      <w:pPr>
        <w:spacing w:before="0" w:after="200"/>
        <w:rPr>
          <w:b/>
          <w:bCs/>
        </w:rPr>
      </w:pPr>
      <w:r>
        <w:rPr>
          <w:b/>
          <w:bCs/>
        </w:rPr>
        <w:br w:type="page"/>
      </w:r>
    </w:p>
    <w:p w14:paraId="54261C01" w14:textId="2CD98286" w:rsidR="0055234A" w:rsidRPr="00D57E1A" w:rsidRDefault="009B62E2" w:rsidP="00D57E1A">
      <w:pPr>
        <w:rPr>
          <w:b/>
          <w:bCs/>
        </w:rPr>
      </w:pPr>
      <w:r w:rsidRPr="00D57E1A">
        <w:rPr>
          <w:b/>
          <w:bCs/>
        </w:rPr>
        <w:lastRenderedPageBreak/>
        <w:t>Figure 11</w:t>
      </w:r>
      <w:bookmarkStart w:id="185" w:name="_Toc124846716"/>
      <w:bookmarkStart w:id="186" w:name="_Toc125986425"/>
      <w:r w:rsidR="006D7B54">
        <w:rPr>
          <w:b/>
          <w:bCs/>
        </w:rPr>
        <w:t>1</w:t>
      </w:r>
      <w:r w:rsidR="00D57E1A" w:rsidRPr="00D57E1A">
        <w:rPr>
          <w:b/>
          <w:bCs/>
        </w:rPr>
        <w:t xml:space="preserve"> </w:t>
      </w:r>
      <w:r w:rsidR="0055234A" w:rsidRPr="00D57E1A">
        <w:rPr>
          <w:rFonts w:cstheme="minorHAnsi"/>
          <w:b/>
          <w:bCs/>
        </w:rPr>
        <w:t xml:space="preserve">Percentage of patients aged 18 and over with GP recorded hypertension, who have had a blood pressure reading within the preceding 12 </w:t>
      </w:r>
      <w:bookmarkEnd w:id="185"/>
      <w:bookmarkEnd w:id="186"/>
      <w:r w:rsidR="0055234A" w:rsidRPr="00D57E1A">
        <w:rPr>
          <w:rFonts w:cstheme="minorHAnsi"/>
          <w:b/>
          <w:bCs/>
        </w:rPr>
        <w:t>months.</w:t>
      </w:r>
    </w:p>
    <w:p w14:paraId="550D2C80" w14:textId="77777777" w:rsidR="0055234A" w:rsidRPr="00FB6AA5" w:rsidRDefault="0055234A" w:rsidP="0055234A">
      <w:pPr>
        <w:rPr>
          <w:b/>
          <w:bCs/>
          <w:sz w:val="28"/>
          <w:szCs w:val="28"/>
        </w:rPr>
      </w:pPr>
      <w:r>
        <w:rPr>
          <w:noProof/>
        </w:rPr>
        <w:drawing>
          <wp:inline distT="0" distB="0" distL="0" distR="0" wp14:anchorId="617B10AF" wp14:editId="5D457A3C">
            <wp:extent cx="5448300" cy="2748295"/>
            <wp:effectExtent l="0" t="0" r="0" b="0"/>
            <wp:docPr id="9" name="Picture 9" descr="Bar chart showing Percentage of patients aged 18 and over with GP recorded hypertension, who have had a blood pressure reading within the preceding 12 months. ABC is highest at about 86% and Sevenoaks is lowest at about 6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ar chart showing Percentage of patients aged 18 and over with GP recorded hypertension, who have had a blood pressure reading within the preceding 12 months. ABC is highest at about 86% and Sevenoaks is lowest at about 66%. "/>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82872" cy="2765734"/>
                    </a:xfrm>
                    <a:prstGeom prst="rect">
                      <a:avLst/>
                    </a:prstGeom>
                    <a:noFill/>
                    <a:ln>
                      <a:noFill/>
                    </a:ln>
                  </pic:spPr>
                </pic:pic>
              </a:graphicData>
            </a:graphic>
          </wp:inline>
        </w:drawing>
      </w:r>
    </w:p>
    <w:p w14:paraId="7571180B" w14:textId="77777777" w:rsidR="0055234A" w:rsidRPr="00DB364C" w:rsidRDefault="0055234A" w:rsidP="009D38FF">
      <w:pPr>
        <w:pStyle w:val="Heading2"/>
      </w:pPr>
      <w:bookmarkStart w:id="187" w:name="_Toc128133867"/>
      <w:r w:rsidRPr="00DB364C">
        <w:t>Hypertension Prevalence</w:t>
      </w:r>
      <w:bookmarkEnd w:id="187"/>
    </w:p>
    <w:p w14:paraId="0EB44D45" w14:textId="77777777" w:rsidR="0055234A" w:rsidRPr="00651671" w:rsidRDefault="0055234A" w:rsidP="009D38FF">
      <w:pPr>
        <w:pStyle w:val="Heading3"/>
      </w:pPr>
      <w:bookmarkStart w:id="188" w:name="_Toc125986430"/>
      <w:bookmarkStart w:id="189" w:name="_Toc128133868"/>
      <w:r w:rsidRPr="00651671">
        <w:t>The percentage of patients with established hypertension, as recorded on practice disease registers (proportion of total list size).</w:t>
      </w:r>
      <w:bookmarkEnd w:id="188"/>
      <w:bookmarkEnd w:id="189"/>
    </w:p>
    <w:p w14:paraId="50B1482F" w14:textId="757BDCCC" w:rsidR="00D05D4D" w:rsidRPr="00651671" w:rsidRDefault="0055234A" w:rsidP="0055234A">
      <w:r w:rsidRPr="00651671">
        <w:t>There appears to be a wide disparity in the hypertension prevalence rate between PCNs. This could however be partly due to the different age structures of patients within the different PCNs as the risk of hypertension increases naturally with age.</w:t>
      </w:r>
    </w:p>
    <w:p w14:paraId="00EC5000" w14:textId="205DA852" w:rsidR="0055234A" w:rsidRDefault="003B37DD" w:rsidP="0055234A">
      <w:pPr>
        <w:rPr>
          <w:b/>
          <w:bCs/>
        </w:rPr>
      </w:pPr>
      <w:r>
        <w:rPr>
          <w:b/>
          <w:bCs/>
        </w:rPr>
        <w:t>Figure 11</w:t>
      </w:r>
      <w:r w:rsidR="006D7B54">
        <w:rPr>
          <w:b/>
          <w:bCs/>
        </w:rPr>
        <w:t>2</w:t>
      </w:r>
      <w:r w:rsidR="00681E8D">
        <w:rPr>
          <w:b/>
          <w:bCs/>
        </w:rPr>
        <w:t xml:space="preserve"> Percentage of registered patients with hypertension in </w:t>
      </w:r>
      <w:r w:rsidR="00C75EAB">
        <w:rPr>
          <w:b/>
          <w:bCs/>
        </w:rPr>
        <w:t>West Kent PCNs</w:t>
      </w:r>
    </w:p>
    <w:p w14:paraId="04C5C5F4" w14:textId="35FBBD19" w:rsidR="0055234A" w:rsidRDefault="5A6F4916" w:rsidP="0055234A">
      <w:pPr>
        <w:rPr>
          <w:b/>
          <w:bCs/>
        </w:rPr>
      </w:pPr>
      <w:r>
        <w:rPr>
          <w:noProof/>
        </w:rPr>
        <w:drawing>
          <wp:inline distT="0" distB="0" distL="0" distR="0" wp14:anchorId="1D0B4317" wp14:editId="1E1723F9">
            <wp:extent cx="4362450" cy="3272079"/>
            <wp:effectExtent l="0" t="0" r="0" b="0"/>
            <wp:docPr id="299" name="Graphic 299" descr="A bar chart showing registered patients with hypertension in West Kent PCNs in 2021-22. The Ridge had the highest percentage of patients (15.9%) and Tunbridge Wells the lowest (12.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Graphic 299" descr="A bar chart showing registered patients with hypertension in West Kent PCNs in 2021-22. The Ridge had the highest percentage of patients (15.9%) and Tunbridge Wells the lowest (12.9%). "/>
                    <pic:cNvPicPr/>
                  </pic:nvPicPr>
                  <pic:blipFill>
                    <a:blip r:embed="rId166">
                      <a:extLst>
                        <a:ext uri="{C183D7F6-B498-43B3-948B-1728B52AA6E4}">
                          <adec:decorative xmlns:arto="http://schemas.microsoft.com/office/word/2006/arto" xmlns:adec="http://schemas.microsoft.com/office/drawing/2017/decorative" xmlns:c="http://schemas.openxmlformats.org/drawingml/2006/chart" xmlns:a16="http://schemas.microsoft.com/office/drawing/2014/main"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a:xfrm>
                      <a:off x="0" y="0"/>
                      <a:ext cx="4362450" cy="3272079"/>
                    </a:xfrm>
                    <a:prstGeom prst="rect">
                      <a:avLst/>
                    </a:prstGeom>
                  </pic:spPr>
                </pic:pic>
              </a:graphicData>
            </a:graphic>
          </wp:inline>
        </w:drawing>
      </w:r>
    </w:p>
    <w:p w14:paraId="706A8782" w14:textId="7A847409" w:rsidR="00F12F21" w:rsidRDefault="0055234A" w:rsidP="0055234A">
      <w:r w:rsidRPr="00651671">
        <w:lastRenderedPageBreak/>
        <w:t>The range of hypertension prevalence within PCNs in West Kent is smaller than that of the other Kent and Medway HCPs. Only The Ridge PCN has hypertension prevalence greater than both the England average and the Kent and Medway average and while Weald and ABC PCNs have similar levels of hypertension as the rest of Kent and Medway</w:t>
      </w:r>
      <w:r w:rsidR="003E4D4E">
        <w:t>,</w:t>
      </w:r>
      <w:r w:rsidRPr="00651671">
        <w:t xml:space="preserve"> all other PCNs have lower prevalence in comparison. Malling, Maidstone Central and Tunbridge Wells PCNs also have lower hypertension prevalence than the England average.</w:t>
      </w:r>
    </w:p>
    <w:p w14:paraId="32DEC1D1" w14:textId="325978B3" w:rsidR="0055234A" w:rsidRPr="00FB07A3" w:rsidRDefault="00B00A94" w:rsidP="0055234A">
      <w:pPr>
        <w:rPr>
          <w:b/>
          <w:bCs/>
        </w:rPr>
      </w:pPr>
      <w:bookmarkStart w:id="190" w:name="_Toc125986418"/>
      <w:r>
        <w:rPr>
          <w:b/>
          <w:bCs/>
        </w:rPr>
        <w:t>Table 2</w:t>
      </w:r>
      <w:r w:rsidR="00FA57C8">
        <w:rPr>
          <w:b/>
          <w:bCs/>
        </w:rPr>
        <w:t>1</w:t>
      </w:r>
      <w:r w:rsidR="00FE55FB">
        <w:rPr>
          <w:b/>
          <w:bCs/>
        </w:rPr>
        <w:t xml:space="preserve"> Percentage of patients who</w:t>
      </w:r>
      <w:r w:rsidR="00B47393">
        <w:rPr>
          <w:b/>
          <w:bCs/>
        </w:rPr>
        <w:t xml:space="preserve">se last BP reading was &lt;= </w:t>
      </w:r>
      <w:r w:rsidR="00005704">
        <w:rPr>
          <w:b/>
          <w:bCs/>
        </w:rPr>
        <w:t>140/90mmHg</w:t>
      </w:r>
      <w:r w:rsidR="002E6C09">
        <w:rPr>
          <w:b/>
          <w:bCs/>
        </w:rPr>
        <w:t xml:space="preserve"> by</w:t>
      </w:r>
      <w:r>
        <w:rPr>
          <w:b/>
          <w:bCs/>
        </w:rPr>
        <w:t xml:space="preserve"> </w:t>
      </w:r>
      <w:r w:rsidR="0055234A" w:rsidRPr="001F1177">
        <w:rPr>
          <w:b/>
          <w:bCs/>
        </w:rPr>
        <w:t>Kent and Medway Deprivation Quintiles</w:t>
      </w:r>
      <w:bookmarkEnd w:id="190"/>
      <w:r w:rsidR="002E6C09">
        <w:rPr>
          <w:b/>
          <w:bCs/>
        </w:rPr>
        <w:t xml:space="preserve">, </w:t>
      </w:r>
      <w:r w:rsidR="0055234A" w:rsidRPr="00FB07A3">
        <w:rPr>
          <w:b/>
          <w:bCs/>
        </w:rPr>
        <w:t>1</w:t>
      </w:r>
      <w:r w:rsidR="0055234A" w:rsidRPr="00FB07A3">
        <w:rPr>
          <w:b/>
          <w:bCs/>
          <w:vertAlign w:val="superscript"/>
        </w:rPr>
        <w:t>st</w:t>
      </w:r>
      <w:r w:rsidR="0055234A" w:rsidRPr="00FB07A3">
        <w:rPr>
          <w:b/>
          <w:bCs/>
        </w:rPr>
        <w:t xml:space="preserve"> July 2021 to 30</w:t>
      </w:r>
      <w:r w:rsidR="0055234A" w:rsidRPr="00FB07A3">
        <w:rPr>
          <w:b/>
          <w:bCs/>
          <w:vertAlign w:val="superscript"/>
        </w:rPr>
        <w:t>th</w:t>
      </w:r>
      <w:r w:rsidR="0055234A" w:rsidRPr="00FB07A3">
        <w:rPr>
          <w:b/>
          <w:bCs/>
        </w:rPr>
        <w:t xml:space="preserve"> June 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5306"/>
      </w:tblGrid>
      <w:tr w:rsidR="0055234A" w14:paraId="066DCAE7" w14:textId="77777777" w:rsidTr="005531C0">
        <w:trPr>
          <w:trHeight w:val="170"/>
        </w:trPr>
        <w:tc>
          <w:tcPr>
            <w:tcW w:w="3936" w:type="dxa"/>
            <w:shd w:val="clear" w:color="auto" w:fill="2D7D82"/>
          </w:tcPr>
          <w:p w14:paraId="26BE4C1A" w14:textId="77777777" w:rsidR="0055234A" w:rsidRPr="00D05D4D" w:rsidRDefault="0055234A">
            <w:pPr>
              <w:jc w:val="center"/>
              <w:rPr>
                <w:b/>
                <w:color w:val="FFFFFF" w:themeColor="background1"/>
              </w:rPr>
            </w:pPr>
            <w:r w:rsidRPr="00D05D4D">
              <w:rPr>
                <w:b/>
                <w:color w:val="FFFFFF" w:themeColor="background1"/>
              </w:rPr>
              <w:t>Deprivation Quintile</w:t>
            </w:r>
          </w:p>
        </w:tc>
        <w:tc>
          <w:tcPr>
            <w:tcW w:w="5306" w:type="dxa"/>
            <w:shd w:val="clear" w:color="auto" w:fill="2D7D82"/>
          </w:tcPr>
          <w:p w14:paraId="6D7A431E" w14:textId="66CC284C" w:rsidR="0055234A" w:rsidRPr="00D05D4D" w:rsidRDefault="0055234A">
            <w:pPr>
              <w:jc w:val="center"/>
              <w:rPr>
                <w:b/>
                <w:color w:val="FFFFFF" w:themeColor="background1"/>
              </w:rPr>
            </w:pPr>
            <w:r w:rsidRPr="00D05D4D">
              <w:rPr>
                <w:b/>
                <w:color w:val="FFFFFF" w:themeColor="background1"/>
              </w:rPr>
              <w:t>Percentage of Patients who</w:t>
            </w:r>
            <w:r w:rsidR="002E6C09" w:rsidRPr="00D05D4D">
              <w:rPr>
                <w:b/>
                <w:color w:val="FFFFFF" w:themeColor="background1"/>
              </w:rPr>
              <w:t>se</w:t>
            </w:r>
            <w:r w:rsidRPr="00D05D4D">
              <w:rPr>
                <w:b/>
                <w:color w:val="FFFFFF" w:themeColor="background1"/>
              </w:rPr>
              <w:t xml:space="preserve"> last BP reading was &lt;= to 140/90mmHg</w:t>
            </w:r>
          </w:p>
        </w:tc>
      </w:tr>
      <w:tr w:rsidR="0055234A" w14:paraId="7F1718BC" w14:textId="77777777" w:rsidTr="005531C0">
        <w:trPr>
          <w:trHeight w:val="142"/>
        </w:trPr>
        <w:tc>
          <w:tcPr>
            <w:tcW w:w="3936" w:type="dxa"/>
            <w:shd w:val="clear" w:color="auto" w:fill="DDF1F3"/>
          </w:tcPr>
          <w:p w14:paraId="3D0DB87D" w14:textId="77777777" w:rsidR="0055234A" w:rsidRPr="00FB07A3" w:rsidRDefault="0055234A">
            <w:r w:rsidRPr="00FB07A3">
              <w:t>1 – Most Deprived</w:t>
            </w:r>
          </w:p>
        </w:tc>
        <w:tc>
          <w:tcPr>
            <w:tcW w:w="5306" w:type="dxa"/>
            <w:shd w:val="clear" w:color="auto" w:fill="DDF1F3"/>
          </w:tcPr>
          <w:p w14:paraId="526B7291" w14:textId="77777777" w:rsidR="0055234A" w:rsidRPr="00FB07A3" w:rsidRDefault="0055234A" w:rsidP="00D05D4D">
            <w:pPr>
              <w:jc w:val="center"/>
            </w:pPr>
            <w:r w:rsidRPr="00FB07A3">
              <w:t>49.2%</w:t>
            </w:r>
          </w:p>
        </w:tc>
      </w:tr>
      <w:tr w:rsidR="0055234A" w14:paraId="4198FB26" w14:textId="77777777" w:rsidTr="005531C0">
        <w:trPr>
          <w:trHeight w:val="142"/>
        </w:trPr>
        <w:tc>
          <w:tcPr>
            <w:tcW w:w="3936" w:type="dxa"/>
            <w:shd w:val="clear" w:color="auto" w:fill="DDF1F3"/>
          </w:tcPr>
          <w:p w14:paraId="341CF25D" w14:textId="77777777" w:rsidR="0055234A" w:rsidRPr="00FB07A3" w:rsidRDefault="0055234A">
            <w:r w:rsidRPr="00FB07A3">
              <w:t>2</w:t>
            </w:r>
          </w:p>
        </w:tc>
        <w:tc>
          <w:tcPr>
            <w:tcW w:w="5306" w:type="dxa"/>
            <w:shd w:val="clear" w:color="auto" w:fill="DDF1F3"/>
          </w:tcPr>
          <w:p w14:paraId="558A9C3F" w14:textId="77777777" w:rsidR="0055234A" w:rsidRPr="00FB07A3" w:rsidRDefault="0055234A" w:rsidP="00D05D4D">
            <w:pPr>
              <w:jc w:val="center"/>
            </w:pPr>
            <w:r w:rsidRPr="00FB07A3">
              <w:t>50.4%</w:t>
            </w:r>
          </w:p>
        </w:tc>
      </w:tr>
      <w:tr w:rsidR="0055234A" w14:paraId="74CFD931" w14:textId="77777777" w:rsidTr="005531C0">
        <w:trPr>
          <w:trHeight w:val="142"/>
        </w:trPr>
        <w:tc>
          <w:tcPr>
            <w:tcW w:w="3936" w:type="dxa"/>
            <w:shd w:val="clear" w:color="auto" w:fill="DDF1F3"/>
          </w:tcPr>
          <w:p w14:paraId="24E7A79D" w14:textId="77777777" w:rsidR="0055234A" w:rsidRPr="00FB07A3" w:rsidRDefault="0055234A">
            <w:r w:rsidRPr="00FB07A3">
              <w:t>3</w:t>
            </w:r>
          </w:p>
        </w:tc>
        <w:tc>
          <w:tcPr>
            <w:tcW w:w="5306" w:type="dxa"/>
            <w:shd w:val="clear" w:color="auto" w:fill="DDF1F3"/>
          </w:tcPr>
          <w:p w14:paraId="6615FE76" w14:textId="77777777" w:rsidR="0055234A" w:rsidRPr="00FB07A3" w:rsidRDefault="0055234A" w:rsidP="00D05D4D">
            <w:pPr>
              <w:jc w:val="center"/>
            </w:pPr>
            <w:r w:rsidRPr="00FB07A3">
              <w:t>54.9%</w:t>
            </w:r>
          </w:p>
        </w:tc>
      </w:tr>
      <w:tr w:rsidR="0055234A" w14:paraId="20AA4944" w14:textId="77777777" w:rsidTr="005531C0">
        <w:trPr>
          <w:trHeight w:val="525"/>
        </w:trPr>
        <w:tc>
          <w:tcPr>
            <w:tcW w:w="3936" w:type="dxa"/>
            <w:shd w:val="clear" w:color="auto" w:fill="DDF1F3"/>
          </w:tcPr>
          <w:p w14:paraId="64CC3551" w14:textId="77777777" w:rsidR="0055234A" w:rsidRPr="00FB07A3" w:rsidRDefault="0055234A">
            <w:r w:rsidRPr="00FB07A3">
              <w:t>4</w:t>
            </w:r>
          </w:p>
        </w:tc>
        <w:tc>
          <w:tcPr>
            <w:tcW w:w="5306" w:type="dxa"/>
            <w:shd w:val="clear" w:color="auto" w:fill="DDF1F3"/>
          </w:tcPr>
          <w:p w14:paraId="092662D5" w14:textId="77777777" w:rsidR="0055234A" w:rsidRPr="00FB07A3" w:rsidRDefault="0055234A" w:rsidP="00D05D4D">
            <w:pPr>
              <w:jc w:val="center"/>
            </w:pPr>
            <w:r w:rsidRPr="00FB07A3">
              <w:t>51.4%</w:t>
            </w:r>
          </w:p>
        </w:tc>
      </w:tr>
      <w:tr w:rsidR="0055234A" w14:paraId="68B50C48" w14:textId="77777777" w:rsidTr="005531C0">
        <w:trPr>
          <w:trHeight w:val="44"/>
        </w:trPr>
        <w:tc>
          <w:tcPr>
            <w:tcW w:w="3936" w:type="dxa"/>
            <w:shd w:val="clear" w:color="auto" w:fill="DDF1F3"/>
          </w:tcPr>
          <w:p w14:paraId="3FC97EE9" w14:textId="77777777" w:rsidR="0055234A" w:rsidRPr="00FB07A3" w:rsidRDefault="0055234A">
            <w:r w:rsidRPr="00FB07A3">
              <w:t>5 – Least Deprived</w:t>
            </w:r>
          </w:p>
        </w:tc>
        <w:tc>
          <w:tcPr>
            <w:tcW w:w="5306" w:type="dxa"/>
            <w:shd w:val="clear" w:color="auto" w:fill="DDF1F3"/>
          </w:tcPr>
          <w:p w14:paraId="301675E1" w14:textId="77777777" w:rsidR="0055234A" w:rsidRPr="00FB07A3" w:rsidRDefault="0055234A" w:rsidP="00D05D4D">
            <w:pPr>
              <w:jc w:val="center"/>
            </w:pPr>
            <w:r w:rsidRPr="00FB07A3">
              <w:t>49.5%</w:t>
            </w:r>
          </w:p>
        </w:tc>
      </w:tr>
    </w:tbl>
    <w:p w14:paraId="0E792A60" w14:textId="14239B82" w:rsidR="003E4D4E" w:rsidRDefault="002E6C09" w:rsidP="0055234A">
      <w:pPr>
        <w:rPr>
          <w:noProof/>
        </w:rPr>
      </w:pPr>
      <w:bookmarkStart w:id="191" w:name="_Toc125986419"/>
      <w:r>
        <w:rPr>
          <w:b/>
          <w:bCs/>
        </w:rPr>
        <w:t>Figure 11</w:t>
      </w:r>
      <w:r w:rsidR="006D7B54">
        <w:rPr>
          <w:b/>
          <w:bCs/>
        </w:rPr>
        <w:t>3</w:t>
      </w:r>
      <w:r>
        <w:rPr>
          <w:b/>
          <w:bCs/>
        </w:rPr>
        <w:t xml:space="preserve"> </w:t>
      </w:r>
      <w:bookmarkEnd w:id="191"/>
      <w:r w:rsidR="0069524B">
        <w:rPr>
          <w:b/>
          <w:bCs/>
        </w:rPr>
        <w:t xml:space="preserve">Percentage of patients whose last BP reading was &lt;= 140/90mmHg </w:t>
      </w:r>
      <w:r w:rsidR="00336EA9">
        <w:rPr>
          <w:b/>
          <w:bCs/>
        </w:rPr>
        <w:t>in</w:t>
      </w:r>
      <w:r w:rsidR="0069524B">
        <w:rPr>
          <w:b/>
          <w:bCs/>
        </w:rPr>
        <w:t xml:space="preserve"> </w:t>
      </w:r>
      <w:r w:rsidR="0069524B" w:rsidRPr="001F1177">
        <w:rPr>
          <w:b/>
          <w:bCs/>
        </w:rPr>
        <w:t>Kent and Medway</w:t>
      </w:r>
      <w:r w:rsidR="00336EA9">
        <w:rPr>
          <w:b/>
          <w:bCs/>
        </w:rPr>
        <w:t xml:space="preserve"> by</w:t>
      </w:r>
      <w:r w:rsidR="0069524B" w:rsidRPr="001F1177">
        <w:rPr>
          <w:b/>
          <w:bCs/>
        </w:rPr>
        <w:t xml:space="preserve"> Deprivation Quintiles</w:t>
      </w:r>
      <w:r w:rsidR="0069524B">
        <w:rPr>
          <w:noProof/>
        </w:rPr>
        <w:t xml:space="preserve"> </w:t>
      </w:r>
    </w:p>
    <w:p w14:paraId="31D41A4E" w14:textId="655BD14C" w:rsidR="0055234A" w:rsidRPr="00DC0B63" w:rsidRDefault="0055234A" w:rsidP="0055234A">
      <w:r>
        <w:rPr>
          <w:noProof/>
        </w:rPr>
        <w:drawing>
          <wp:inline distT="0" distB="0" distL="0" distR="0" wp14:anchorId="74CA9B86" wp14:editId="4A15C4EC">
            <wp:extent cx="4865914" cy="3745400"/>
            <wp:effectExtent l="0" t="0" r="0" b="7620"/>
            <wp:docPr id="503079872" name="Graphic 503079872" descr="Line graph showing Percentage of patients whose last BP reading was &lt;= 140/90mmHg in Kent and Medway by Deprivation Quintile at March 2020, March 2021, March 2022 and June 2022. It was highest in all quintiles in March 2020, and lowest in all in Marc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79872" name="Graphic 503079872" descr="Line graph showing Percentage of patients whose last BP reading was &lt;= 140/90mmHg in Kent and Medway by Deprivation Quintile at March 2020, March 2021, March 2022 and June 2022. It was highest in all quintiles in March 2020, and lowest in all in March 2021."/>
                    <pic:cNvPicPr/>
                  </pic:nvPicPr>
                  <pic:blipFill>
                    <a:blip r:embed="rId167">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4879375" cy="3755761"/>
                    </a:xfrm>
                    <a:prstGeom prst="rect">
                      <a:avLst/>
                    </a:prstGeom>
                  </pic:spPr>
                </pic:pic>
              </a:graphicData>
            </a:graphic>
          </wp:inline>
        </w:drawing>
      </w:r>
    </w:p>
    <w:p w14:paraId="3101E8EB" w14:textId="4D60077A" w:rsidR="0055234A" w:rsidRPr="00AB4964" w:rsidRDefault="0055234A" w:rsidP="0055234A">
      <w:r w:rsidRPr="00AB4964">
        <w:lastRenderedPageBreak/>
        <w:t xml:space="preserve">Blood pressure management </w:t>
      </w:r>
      <w:bookmarkStart w:id="192" w:name="_Int_zVOWkkf2"/>
      <w:r w:rsidRPr="00AB4964">
        <w:t>appears to be consistently better</w:t>
      </w:r>
      <w:bookmarkEnd w:id="192"/>
      <w:r w:rsidRPr="00AB4964">
        <w:t xml:space="preserve"> for patients within Deprivation Quintile 3. Blood pressure control was similar for the most and least deprived in Kent and Medway in the twelve</w:t>
      </w:r>
      <w:r w:rsidR="00D10238" w:rsidRPr="00AB4964">
        <w:t>-</w:t>
      </w:r>
      <w:r w:rsidRPr="00AB4964">
        <w:t>month period leading up to both March and June 2022.</w:t>
      </w:r>
    </w:p>
    <w:p w14:paraId="31515D42" w14:textId="77777777" w:rsidR="0055234A" w:rsidRPr="00651671" w:rsidRDefault="0055234A" w:rsidP="0055234A">
      <w:r w:rsidRPr="045A98DE">
        <w:rPr>
          <w:rFonts w:cstheme="minorBidi"/>
        </w:rPr>
        <w:t>Cardiovascular disease is the leading cause of death worldwide, causing 1 in 4 deaths in England and disproportionately affects those from the areas of highest deprivation. Hypertension is the leading risk factor for cardiovascular disease in the UK and those from the most deprived areas are 30% more likely to be hypertensive than those from the least deprived. Kent and Medway ICB is the second lowest performing ICB in England with regards to treatment to target (51%, aim 80%) and there are areas in West Kent with high deprivation who have lower than national average prevalence recordings of hypertension (14% nationally, 12-13% within some areas of West Kent).</w:t>
      </w:r>
    </w:p>
    <w:p w14:paraId="1973774F" w14:textId="77777777" w:rsidR="0055234A" w:rsidRPr="00651671" w:rsidRDefault="0055234A" w:rsidP="009D38FF">
      <w:pPr>
        <w:pStyle w:val="Heading2"/>
      </w:pPr>
      <w:bookmarkStart w:id="193" w:name="_Toc128133869"/>
      <w:r w:rsidRPr="00651671">
        <w:t>Recommendation</w:t>
      </w:r>
      <w:bookmarkEnd w:id="193"/>
    </w:p>
    <w:p w14:paraId="51CB2F34" w14:textId="38B61C69" w:rsidR="003B37DD" w:rsidRDefault="0055234A" w:rsidP="00607336">
      <w:pPr>
        <w:rPr>
          <w:rStyle w:val="normaltextrun"/>
          <w:rFonts w:ascii="Calibri" w:hAnsi="Calibri" w:cs="Calibri"/>
          <w:b/>
          <w:bCs/>
          <w:sz w:val="28"/>
          <w:szCs w:val="28"/>
        </w:rPr>
      </w:pPr>
      <w:r w:rsidRPr="00651671">
        <w:rPr>
          <w:rFonts w:cstheme="minorHAnsi"/>
        </w:rPr>
        <w:t xml:space="preserve">To commission </w:t>
      </w:r>
      <w:r w:rsidRPr="00651671">
        <w:t>an initiative to target improved screening for hypertension in several areas of highest deprivation within West Kent</w:t>
      </w:r>
      <w:r w:rsidR="005860EA">
        <w:t>,</w:t>
      </w:r>
      <w:r w:rsidRPr="00651671">
        <w:t xml:space="preserve"> focused upon relevant PCNs. </w:t>
      </w:r>
    </w:p>
    <w:p w14:paraId="33108E4C" w14:textId="2D55DB4F" w:rsidR="006007A9" w:rsidRPr="00D57E1A" w:rsidRDefault="006007A9" w:rsidP="00D57E1A">
      <w:pPr>
        <w:pStyle w:val="Heading1"/>
      </w:pPr>
      <w:bookmarkStart w:id="194" w:name="_Toc128133870"/>
      <w:r w:rsidRPr="00D57E1A">
        <w:rPr>
          <w:rStyle w:val="normaltextrun"/>
        </w:rPr>
        <w:t>OBH Segmentation</w:t>
      </w:r>
      <w:bookmarkEnd w:id="194"/>
      <w:r w:rsidRPr="00D57E1A">
        <w:rPr>
          <w:rStyle w:val="eop"/>
        </w:rPr>
        <w:t> </w:t>
      </w:r>
    </w:p>
    <w:p w14:paraId="4DA1E207" w14:textId="647CDAE9" w:rsidR="006007A9" w:rsidRPr="00AF195A" w:rsidRDefault="006007A9" w:rsidP="00685E39">
      <w:pPr>
        <w:rPr>
          <w:rFonts w:ascii="Segoe UI" w:hAnsi="Segoe UI" w:cs="Segoe UI"/>
        </w:rPr>
      </w:pPr>
      <w:r w:rsidRPr="5E4DB3C2">
        <w:rPr>
          <w:rStyle w:val="normaltextrun"/>
          <w:rFonts w:ascii="Calibri" w:hAnsi="Calibri" w:cs="Calibri"/>
        </w:rPr>
        <w:t xml:space="preserve">The segmentation analysis provided by using this methodology delivers detailed person-centred insights into the population and is based on the foundations of the </w:t>
      </w:r>
      <w:hyperlink r:id="rId169">
        <w:r w:rsidRPr="5E4DB3C2">
          <w:rPr>
            <w:rStyle w:val="Hyperlink"/>
            <w:rFonts w:ascii="Calibri" w:eastAsiaTheme="majorEastAsia" w:hAnsi="Calibri" w:cs="Calibri"/>
          </w:rPr>
          <w:t>‘Bridges to Health’ segmentation model</w:t>
        </w:r>
      </w:hyperlink>
      <w:r w:rsidRPr="5E4DB3C2">
        <w:rPr>
          <w:rStyle w:val="normaltextrun"/>
          <w:rFonts w:ascii="Calibri" w:hAnsi="Calibri" w:cs="Calibri"/>
        </w:rPr>
        <w:t>. </w:t>
      </w:r>
      <w:r w:rsidRPr="5E4DB3C2">
        <w:rPr>
          <w:rStyle w:val="eop"/>
          <w:rFonts w:ascii="Calibri" w:hAnsi="Calibri" w:cs="Calibri"/>
        </w:rPr>
        <w:t> </w:t>
      </w:r>
    </w:p>
    <w:p w14:paraId="16CA4F8F" w14:textId="35FBBD19" w:rsidR="006007A9" w:rsidRPr="00685E39" w:rsidRDefault="006007A9" w:rsidP="00685E39">
      <w:pPr>
        <w:rPr>
          <w:rStyle w:val="eop"/>
          <w:rFonts w:ascii="Segoe UI" w:hAnsi="Segoe UI" w:cs="Segoe UI"/>
        </w:rPr>
      </w:pPr>
      <w:r w:rsidRPr="045A98DE">
        <w:rPr>
          <w:rStyle w:val="normaltextrun"/>
          <w:rFonts w:ascii="Calibri" w:hAnsi="Calibri" w:cs="Calibri"/>
        </w:rPr>
        <w:t xml:space="preserve">Outcome </w:t>
      </w:r>
      <w:r w:rsidR="00950F21" w:rsidRPr="045A98DE">
        <w:rPr>
          <w:rStyle w:val="normaltextrun"/>
          <w:rFonts w:ascii="Calibri" w:hAnsi="Calibri" w:cs="Calibri"/>
        </w:rPr>
        <w:t>B</w:t>
      </w:r>
      <w:r w:rsidRPr="045A98DE">
        <w:rPr>
          <w:rStyle w:val="normaltextrun"/>
          <w:rFonts w:ascii="Calibri" w:hAnsi="Calibri" w:cs="Calibri"/>
        </w:rPr>
        <w:t xml:space="preserve">ased </w:t>
      </w:r>
      <w:r w:rsidR="00950F21" w:rsidRPr="045A98DE">
        <w:rPr>
          <w:rStyle w:val="normaltextrun"/>
          <w:rFonts w:ascii="Calibri" w:hAnsi="Calibri" w:cs="Calibri"/>
        </w:rPr>
        <w:t>H</w:t>
      </w:r>
      <w:r w:rsidRPr="045A98DE">
        <w:rPr>
          <w:rStyle w:val="normaltextrun"/>
          <w:rFonts w:ascii="Calibri" w:hAnsi="Calibri" w:cs="Calibri"/>
        </w:rPr>
        <w:t>ealthcare (OBH) are an organisation that defines and measures health outcomes. They offer specialist advice, tools, and technology to help commissioners and providers make a reality of value based healthcare, strategies and outcome based contracts tailored to specific populations and pathways. OBH have adapted and extended the ‘Bridges to Health’ model, to create a data-driven model that can be applied to UK datasets across different care settings. Using national and international definitions, and existing standards, each segment has been defined from both clinical and health and care perspectives, and further translated into ‘data definitions’ (using existing UK datasets and clinical coding).</w:t>
      </w:r>
      <w:r w:rsidRPr="045A98DE">
        <w:rPr>
          <w:rStyle w:val="eop"/>
          <w:rFonts w:ascii="Calibri" w:hAnsi="Calibri" w:cs="Calibri"/>
        </w:rPr>
        <w:t> </w:t>
      </w:r>
    </w:p>
    <w:p w14:paraId="180360F9" w14:textId="35FBBD19" w:rsidR="005518C9" w:rsidRDefault="005518C9">
      <w:pPr>
        <w:spacing w:before="0" w:after="200"/>
        <w:rPr>
          <w:rStyle w:val="eop"/>
          <w:rFonts w:ascii="Calibri" w:eastAsia="Times New Roman" w:hAnsi="Calibri" w:cs="Calibri"/>
          <w:b/>
          <w:bCs/>
        </w:rPr>
      </w:pPr>
      <w:r>
        <w:rPr>
          <w:rStyle w:val="eop"/>
          <w:rFonts w:ascii="Calibri" w:hAnsi="Calibri" w:cs="Calibri"/>
          <w:b/>
          <w:bCs/>
        </w:rPr>
        <w:br w:type="page"/>
      </w:r>
    </w:p>
    <w:p w14:paraId="45B3DE23" w14:textId="7E68CD85" w:rsidR="00607336" w:rsidRDefault="00607336" w:rsidP="00607336">
      <w:pPr>
        <w:pStyle w:val="paragraph"/>
        <w:spacing w:before="0" w:beforeAutospacing="0" w:after="0" w:afterAutospacing="0"/>
        <w:textAlignment w:val="baseline"/>
        <w:rPr>
          <w:rFonts w:ascii="Segoe UI" w:hAnsi="Segoe UI" w:cs="Segoe UI"/>
          <w:sz w:val="18"/>
          <w:szCs w:val="18"/>
        </w:rPr>
      </w:pPr>
      <w:r w:rsidRPr="32F7F25D">
        <w:rPr>
          <w:rStyle w:val="eop"/>
          <w:rFonts w:ascii="Calibri" w:hAnsi="Calibri" w:cs="Calibri"/>
          <w:b/>
          <w:bCs/>
        </w:rPr>
        <w:lastRenderedPageBreak/>
        <w:t> Figure 1</w:t>
      </w:r>
      <w:r>
        <w:rPr>
          <w:rStyle w:val="eop"/>
          <w:rFonts w:ascii="Calibri" w:hAnsi="Calibri" w:cs="Calibri"/>
          <w:b/>
          <w:bCs/>
        </w:rPr>
        <w:t>1</w:t>
      </w:r>
      <w:r w:rsidR="006D7B54">
        <w:rPr>
          <w:rStyle w:val="eop"/>
          <w:rFonts w:ascii="Calibri" w:hAnsi="Calibri" w:cs="Calibri"/>
          <w:b/>
          <w:bCs/>
        </w:rPr>
        <w:t>4</w:t>
      </w:r>
      <w:r w:rsidRPr="32F7F25D">
        <w:rPr>
          <w:rStyle w:val="eop"/>
          <w:rFonts w:ascii="Calibri" w:hAnsi="Calibri" w:cs="Calibri"/>
          <w:b/>
          <w:bCs/>
        </w:rPr>
        <w:t>: Segmentation profile for OBH analysis.</w:t>
      </w:r>
      <w:r>
        <w:rPr>
          <w:rStyle w:val="eop"/>
          <w:rFonts w:ascii="Calibri" w:hAnsi="Calibri" w:cs="Calibri"/>
          <w:b/>
          <w:bCs/>
        </w:rPr>
        <w:t xml:space="preserve"> </w:t>
      </w:r>
      <w:r w:rsidRPr="00607336">
        <w:rPr>
          <w:rStyle w:val="normaltextrun"/>
          <w:rFonts w:ascii="Arial" w:hAnsi="Arial" w:cs="Arial"/>
          <w:sz w:val="16"/>
          <w:szCs w:val="16"/>
        </w:rPr>
        <w:t>Source: OBH, adapted from the Bridges to Health model. Lynn J, Straube BM, Bell KM, Jencks SF, Kambic, RT. (2007). Using population segmentation to provide better health for all: the ‘bridges to health’ model. The Milbank Quarterly: 85(2): 185-208.</w:t>
      </w:r>
      <w:r w:rsidRPr="00607336">
        <w:rPr>
          <w:rStyle w:val="eop"/>
          <w:rFonts w:ascii="Arial" w:hAnsi="Arial" w:cs="Arial"/>
        </w:rPr>
        <w:t> </w:t>
      </w:r>
    </w:p>
    <w:p w14:paraId="6BAE6B20" w14:textId="77777777" w:rsidR="00607336" w:rsidRDefault="00607336" w:rsidP="006007A9">
      <w:pPr>
        <w:pStyle w:val="paragraph"/>
        <w:spacing w:before="0" w:beforeAutospacing="0" w:after="0" w:afterAutospacing="0"/>
        <w:textAlignment w:val="baseline"/>
        <w:rPr>
          <w:rFonts w:ascii="Segoe UI" w:hAnsi="Segoe UI" w:cs="Segoe UI"/>
          <w:sz w:val="18"/>
          <w:szCs w:val="18"/>
        </w:rPr>
      </w:pPr>
    </w:p>
    <w:p w14:paraId="64884E42" w14:textId="0B636078" w:rsidR="006007A9" w:rsidRDefault="006007A9" w:rsidP="006007A9">
      <w:pPr>
        <w:pStyle w:val="paragraph"/>
        <w:spacing w:before="0" w:beforeAutospacing="0" w:after="0" w:afterAutospacing="0"/>
        <w:textAlignment w:val="baseline"/>
        <w:rPr>
          <w:rFonts w:ascii="Segoe UI" w:hAnsi="Segoe UI" w:cs="Segoe UI"/>
          <w:sz w:val="18"/>
          <w:szCs w:val="18"/>
        </w:rPr>
      </w:pPr>
      <w:r>
        <w:rPr>
          <w:noProof/>
        </w:rPr>
        <w:drawing>
          <wp:inline distT="0" distB="0" distL="0" distR="0" wp14:anchorId="500127EF" wp14:editId="367DAE1B">
            <wp:extent cx="5731510" cy="3421380"/>
            <wp:effectExtent l="0" t="0" r="2540" b="7620"/>
            <wp:docPr id="41" name="Picture 41" descr="Picture describing the OBH segmentation cohorts. Patients typically move from the 'Healthy' cohort into 'Long Term Condition' then into 'end phases of lif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icture describing the OBH segmentation cohorts. Patients typically move from the 'Healthy' cohort into 'Long Term Condition' then into 'end phases of life'. ">
                      <a:extLst>
                        <a:ext uri="{C183D7F6-B498-43B3-948B-1728B52AA6E4}">
                          <adec:decorative xmlns:adec="http://schemas.microsoft.com/office/drawing/2017/decorative" val="0"/>
                        </a:ext>
                      </a:extLst>
                    </pic:cNvPr>
                    <pic:cNvPicPr/>
                  </pic:nvPicPr>
                  <pic:blipFill>
                    <a:blip r:embed="rId170">
                      <a:extLst>
                        <a:ext uri="{28A0092B-C50C-407E-A947-70E740481C1C}">
                          <a14:useLocalDpi xmlns:a14="http://schemas.microsoft.com/office/drawing/2010/main" val="0"/>
                        </a:ext>
                      </a:extLst>
                    </a:blip>
                    <a:stretch>
                      <a:fillRect/>
                    </a:stretch>
                  </pic:blipFill>
                  <pic:spPr>
                    <a:xfrm>
                      <a:off x="0" y="0"/>
                      <a:ext cx="5731510" cy="3421380"/>
                    </a:xfrm>
                    <a:prstGeom prst="rect">
                      <a:avLst/>
                    </a:prstGeom>
                  </pic:spPr>
                </pic:pic>
              </a:graphicData>
            </a:graphic>
          </wp:inline>
        </w:drawing>
      </w:r>
    </w:p>
    <w:p w14:paraId="5C2F15EA"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305250"/>
        </w:rPr>
        <w:t> </w:t>
      </w:r>
    </w:p>
    <w:p w14:paraId="660EFDE8" w14:textId="3491B9E3" w:rsidR="006007A9" w:rsidRPr="00AF195A" w:rsidRDefault="006007A9" w:rsidP="00541183">
      <w:pPr>
        <w:rPr>
          <w:rFonts w:ascii="Segoe UI" w:hAnsi="Segoe UI" w:cs="Segoe UI"/>
        </w:rPr>
      </w:pPr>
      <w:r w:rsidRPr="5E4DB3C2">
        <w:rPr>
          <w:rStyle w:val="normaltextrun"/>
          <w:rFonts w:ascii="Calibri" w:hAnsi="Calibri" w:cs="Calibri"/>
        </w:rPr>
        <w:t>People typically progress through different segments/health states over a life course, but not all people progress in the same way. Progression, and the rate at which people ‘move’ between segments (</w:t>
      </w:r>
      <w:r w:rsidR="00A45F7F" w:rsidRPr="5E4DB3C2">
        <w:rPr>
          <w:rStyle w:val="normaltextrun"/>
          <w:rFonts w:ascii="Calibri" w:hAnsi="Calibri" w:cs="Calibri"/>
        </w:rPr>
        <w:t>e.g.,</w:t>
      </w:r>
      <w:r w:rsidRPr="5E4DB3C2">
        <w:rPr>
          <w:rStyle w:val="normaltextrun"/>
          <w:rFonts w:ascii="Calibri" w:hAnsi="Calibri" w:cs="Calibri"/>
        </w:rPr>
        <w:t xml:space="preserve"> from being </w:t>
      </w:r>
      <w:bookmarkStart w:id="195" w:name="_Int_6HvBQMin"/>
      <w:r w:rsidRPr="5E4DB3C2">
        <w:rPr>
          <w:rStyle w:val="normaltextrun"/>
          <w:rFonts w:ascii="Calibri" w:hAnsi="Calibri" w:cs="Calibri"/>
        </w:rPr>
        <w:t>generally Healthy/Well</w:t>
      </w:r>
      <w:bookmarkEnd w:id="195"/>
      <w:r w:rsidRPr="5E4DB3C2">
        <w:rPr>
          <w:rStyle w:val="normaltextrun"/>
          <w:rFonts w:ascii="Calibri" w:hAnsi="Calibri" w:cs="Calibri"/>
        </w:rPr>
        <w:t xml:space="preserve"> to having a significant long term health problem), are considered important health outcomes. Sometimes people can meet the criteria of more than one segment. For example, a 70-year-old person with arthritis would be included in the LTC segment, and if they are diagnosed with dementia, they would also be included in the Frailty/Dementia segment.</w:t>
      </w:r>
      <w:r w:rsidRPr="5E4DB3C2">
        <w:rPr>
          <w:rStyle w:val="eop"/>
          <w:rFonts w:ascii="Calibri" w:hAnsi="Calibri" w:cs="Calibri"/>
        </w:rPr>
        <w:t> </w:t>
      </w:r>
    </w:p>
    <w:p w14:paraId="682FAC5C" w14:textId="77777777" w:rsidR="006007A9" w:rsidRPr="00AF195A" w:rsidRDefault="006007A9" w:rsidP="045A98DE">
      <w:pPr>
        <w:pStyle w:val="paragraph"/>
        <w:spacing w:before="0" w:beforeAutospacing="0" w:after="0" w:afterAutospacing="0" w:line="276" w:lineRule="auto"/>
        <w:textAlignment w:val="baseline"/>
        <w:rPr>
          <w:rFonts w:ascii="Segoe UI" w:hAnsi="Segoe UI" w:cs="Segoe UI"/>
        </w:rPr>
      </w:pPr>
      <w:r w:rsidRPr="045A98DE">
        <w:rPr>
          <w:rStyle w:val="normaltextrun"/>
          <w:rFonts w:ascii="Calibri" w:hAnsi="Calibri" w:cs="Calibri"/>
        </w:rPr>
        <w:t>Future reports provides analysis with the population in two different ‘states’ of the</w:t>
      </w:r>
      <w:r w:rsidRPr="045A98DE">
        <w:rPr>
          <w:rStyle w:val="eop"/>
          <w:rFonts w:ascii="Calibri" w:hAnsi="Calibri" w:cs="Calibri"/>
        </w:rPr>
        <w:t> </w:t>
      </w:r>
    </w:p>
    <w:p w14:paraId="07F421AA" w14:textId="77777777" w:rsidR="006007A9" w:rsidRPr="00AF195A" w:rsidRDefault="006007A9" w:rsidP="006007A9">
      <w:pPr>
        <w:pStyle w:val="paragraph"/>
        <w:spacing w:before="0" w:beforeAutospacing="0" w:after="0" w:afterAutospacing="0" w:line="276" w:lineRule="auto"/>
        <w:textAlignment w:val="baseline"/>
        <w:rPr>
          <w:rFonts w:ascii="Calibri" w:hAnsi="Calibri" w:cs="Calibri"/>
        </w:rPr>
      </w:pPr>
      <w:r w:rsidRPr="5E4DB3C2">
        <w:rPr>
          <w:rStyle w:val="normaltextrun"/>
          <w:rFonts w:ascii="Calibri" w:hAnsi="Calibri" w:cs="Calibri"/>
        </w:rPr>
        <w:t>model:</w:t>
      </w:r>
      <w:r w:rsidRPr="5E4DB3C2">
        <w:rPr>
          <w:rStyle w:val="eop"/>
          <w:rFonts w:ascii="Calibri" w:hAnsi="Calibri" w:cs="Calibri"/>
        </w:rPr>
        <w:t> </w:t>
      </w:r>
    </w:p>
    <w:p w14:paraId="3BBC1AE0" w14:textId="77777777" w:rsidR="006007A9" w:rsidRPr="00AF195A" w:rsidRDefault="006007A9" w:rsidP="007A44C5">
      <w:pPr>
        <w:pStyle w:val="paragraph"/>
        <w:numPr>
          <w:ilvl w:val="0"/>
          <w:numId w:val="17"/>
        </w:numPr>
        <w:spacing w:before="0" w:beforeAutospacing="0" w:after="0" w:afterAutospacing="0" w:line="276" w:lineRule="auto"/>
        <w:textAlignment w:val="baseline"/>
        <w:rPr>
          <w:rFonts w:ascii="Calibri" w:hAnsi="Calibri" w:cs="Calibri"/>
        </w:rPr>
      </w:pPr>
      <w:r w:rsidRPr="5E4DB3C2">
        <w:rPr>
          <w:rStyle w:val="normaltextrun"/>
          <w:rFonts w:ascii="Calibri" w:hAnsi="Calibri" w:cs="Calibri"/>
        </w:rPr>
        <w:t>Each person can be included in as many segments that they meet the criteria of (i.e., allowing overlaps between segments).</w:t>
      </w:r>
      <w:r w:rsidRPr="5E4DB3C2">
        <w:rPr>
          <w:rStyle w:val="eop"/>
          <w:rFonts w:ascii="Calibri" w:hAnsi="Calibri" w:cs="Calibri"/>
        </w:rPr>
        <w:t> </w:t>
      </w:r>
    </w:p>
    <w:p w14:paraId="3A5FCBFB" w14:textId="77777777" w:rsidR="006007A9" w:rsidRPr="00AF195A" w:rsidRDefault="006007A9" w:rsidP="007A44C5">
      <w:pPr>
        <w:pStyle w:val="paragraph"/>
        <w:numPr>
          <w:ilvl w:val="0"/>
          <w:numId w:val="17"/>
        </w:numPr>
        <w:spacing w:before="0" w:beforeAutospacing="0" w:after="0" w:afterAutospacing="0" w:line="276" w:lineRule="auto"/>
        <w:textAlignment w:val="baseline"/>
        <w:rPr>
          <w:rFonts w:ascii="Segoe UI" w:hAnsi="Segoe UI" w:cs="Segoe UI"/>
        </w:rPr>
      </w:pPr>
      <w:r w:rsidRPr="5E4DB3C2">
        <w:rPr>
          <w:rStyle w:val="normaltextrun"/>
          <w:rFonts w:ascii="Calibri" w:hAnsi="Calibri" w:cs="Calibri"/>
        </w:rPr>
        <w:t>Each person can only be included in one segment only. In this case, they are included in the ‘highest acuity’ segment only.</w:t>
      </w:r>
      <w:r w:rsidRPr="5E4DB3C2">
        <w:rPr>
          <w:rStyle w:val="eop"/>
          <w:rFonts w:ascii="Calibri" w:hAnsi="Calibri" w:cs="Calibri"/>
        </w:rPr>
        <w:t> </w:t>
      </w:r>
    </w:p>
    <w:p w14:paraId="7D30B534" w14:textId="30773A41" w:rsidR="006007A9" w:rsidRPr="00AF195A" w:rsidRDefault="006007A9" w:rsidP="003E629A">
      <w:pPr>
        <w:rPr>
          <w:rFonts w:ascii="Segoe UI" w:hAnsi="Segoe UI" w:cs="Segoe UI"/>
        </w:rPr>
      </w:pPr>
      <w:r w:rsidRPr="5E4DB3C2">
        <w:rPr>
          <w:rStyle w:val="normaltextrun"/>
          <w:rFonts w:ascii="Calibri" w:hAnsi="Calibri" w:cs="Calibri"/>
        </w:rPr>
        <w:t>This proposed report will provide population analysis for Kent and Medway’s GP registered population in West Kent. This segmentation analysis uses a person-centred (as opposed to an exclusively provider- or service-based) approach. Therefore, to accurately define population segments, data from different care providers providing care (locally, regionally, and nationally) to the population of West Kent is required.</w:t>
      </w:r>
      <w:r w:rsidRPr="5E4DB3C2">
        <w:rPr>
          <w:rStyle w:val="eop"/>
          <w:rFonts w:ascii="Calibri" w:hAnsi="Calibri" w:cs="Calibri"/>
        </w:rPr>
        <w:t> </w:t>
      </w:r>
    </w:p>
    <w:p w14:paraId="50778AE1" w14:textId="47F17184" w:rsidR="006007A9" w:rsidRDefault="006007A9" w:rsidP="003E629A">
      <w:pPr>
        <w:rPr>
          <w:rFonts w:ascii="Segoe UI" w:hAnsi="Segoe UI" w:cs="Segoe UI"/>
          <w:sz w:val="18"/>
          <w:szCs w:val="18"/>
        </w:rPr>
      </w:pPr>
      <w:r w:rsidRPr="5E4DB3C2">
        <w:rPr>
          <w:rStyle w:val="normaltextrun"/>
          <w:rFonts w:ascii="Calibri" w:hAnsi="Calibri" w:cs="Calibri"/>
        </w:rPr>
        <w:lastRenderedPageBreak/>
        <w:t>The Segmentation Dataset is derived from ‘cradle to grave’ historic data on the GP registered populations of the majority of GP Practices in West Kent. It also uses national Secondary Uses Services (SUS) data for the same population from NHS Digital. Data governance and privacy requirements were established such that the minimum pseudonymised</w:t>
      </w:r>
      <w:r w:rsidRPr="003E629A">
        <w:rPr>
          <w:rStyle w:val="normaltextrun"/>
          <w:rFonts w:ascii="Calibri" w:hAnsi="Calibri" w:cs="Calibri"/>
        </w:rPr>
        <w:t xml:space="preserve"> patient-level data required to perform the analysis could be processed, using OBH’s data-driven segmentation model, configured for Kent and Medway’s local requirements</w:t>
      </w:r>
      <w:r w:rsidR="003E629A">
        <w:rPr>
          <w:rStyle w:val="normaltextrun"/>
        </w:rPr>
        <w:t xml:space="preserve">. </w:t>
      </w:r>
      <w:r>
        <w:rPr>
          <w:rStyle w:val="eop"/>
          <w:rFonts w:ascii="Calibri" w:hAnsi="Calibri" w:cs="Calibri"/>
          <w:sz w:val="22"/>
          <w:szCs w:val="22"/>
        </w:rPr>
        <w:t> </w:t>
      </w:r>
    </w:p>
    <w:p w14:paraId="1517C82F" w14:textId="6BEAAC9D" w:rsidR="006007A9" w:rsidRPr="009D38FF" w:rsidRDefault="006007A9" w:rsidP="009D38FF">
      <w:pPr>
        <w:pStyle w:val="paragraph"/>
        <w:spacing w:before="0" w:beforeAutospacing="0" w:after="0" w:afterAutospacing="0"/>
        <w:textAlignment w:val="baseline"/>
        <w:rPr>
          <w:rStyle w:val="eop"/>
          <w:rFonts w:ascii="Calibri" w:hAnsi="Calibri" w:cs="Calibri"/>
          <w:b/>
          <w:bCs/>
        </w:rPr>
      </w:pPr>
      <w:r w:rsidRPr="009D38FF">
        <w:rPr>
          <w:rStyle w:val="eop"/>
          <w:rFonts w:ascii="Calibri" w:hAnsi="Calibri" w:cs="Calibri"/>
          <w:b/>
          <w:bCs/>
        </w:rPr>
        <w:t>Figure 1</w:t>
      </w:r>
      <w:r w:rsidR="004D36C8" w:rsidRPr="009D38FF">
        <w:rPr>
          <w:rStyle w:val="eop"/>
          <w:rFonts w:ascii="Calibri" w:hAnsi="Calibri" w:cs="Calibri"/>
          <w:b/>
          <w:bCs/>
        </w:rPr>
        <w:t>1</w:t>
      </w:r>
      <w:r w:rsidR="006D7B54">
        <w:rPr>
          <w:rStyle w:val="eop"/>
          <w:rFonts w:ascii="Calibri" w:hAnsi="Calibri" w:cs="Calibri"/>
          <w:b/>
          <w:bCs/>
        </w:rPr>
        <w:t>5</w:t>
      </w:r>
      <w:r w:rsidRPr="009D38FF">
        <w:rPr>
          <w:rStyle w:val="eop"/>
          <w:rFonts w:ascii="Calibri" w:hAnsi="Calibri" w:cs="Calibri"/>
          <w:b/>
          <w:bCs/>
        </w:rPr>
        <w:t xml:space="preserve">: </w:t>
      </w:r>
      <w:r w:rsidR="009D38FF" w:rsidRPr="009D38FF">
        <w:rPr>
          <w:rStyle w:val="eop"/>
          <w:rFonts w:ascii="Calibri" w:hAnsi="Calibri" w:cs="Calibri"/>
          <w:b/>
          <w:bCs/>
        </w:rPr>
        <w:t>Illustrative examples of population segmentation analytics</w:t>
      </w:r>
      <w:r w:rsidRPr="009D38FF">
        <w:rPr>
          <w:rStyle w:val="eop"/>
          <w:rFonts w:ascii="Calibri" w:hAnsi="Calibri" w:cs="Calibri"/>
          <w:b/>
          <w:bCs/>
        </w:rPr>
        <w:t> </w:t>
      </w:r>
    </w:p>
    <w:p w14:paraId="4C6782DF" w14:textId="77777777" w:rsidR="006007A9" w:rsidRPr="009D38FF" w:rsidRDefault="006007A9" w:rsidP="006007A9">
      <w:pPr>
        <w:pStyle w:val="paragraph"/>
        <w:spacing w:before="0" w:beforeAutospacing="0" w:after="0" w:afterAutospacing="0"/>
        <w:textAlignment w:val="baseline"/>
        <w:rPr>
          <w:rStyle w:val="eop"/>
          <w:rFonts w:ascii="Calibri" w:hAnsi="Calibri" w:cs="Calibri"/>
          <w:b/>
          <w:bCs/>
        </w:rPr>
      </w:pPr>
      <w:r w:rsidRPr="009D38FF">
        <w:rPr>
          <w:rStyle w:val="eop"/>
          <w:rFonts w:ascii="Calibri" w:hAnsi="Calibri" w:cs="Calibri"/>
          <w:b/>
          <w:bCs/>
        </w:rPr>
        <w:t> </w:t>
      </w:r>
    </w:p>
    <w:p w14:paraId="3A149003"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Fonts w:ascii="Segoe UI" w:hAnsi="Segoe UI" w:cs="Segoe UI"/>
          <w:noProof/>
          <w:color w:val="2B579A"/>
          <w:sz w:val="18"/>
          <w:szCs w:val="18"/>
          <w:shd w:val="clear" w:color="auto" w:fill="E6E6E6"/>
        </w:rPr>
        <w:drawing>
          <wp:inline distT="0" distB="0" distL="0" distR="0" wp14:anchorId="79C560CA" wp14:editId="6E4743E9">
            <wp:extent cx="5731510" cy="2907030"/>
            <wp:effectExtent l="0" t="0" r="2540" b="7620"/>
            <wp:docPr id="40" name="Picture 40" descr="Infographic showing the approximate sizes of each life segment in the OBH model, based on an illustrative population of 500,000. In the healthy segment there are 260,000 people. In long term condition there are 170,000. 5000 in disability, 5000 in end of life, 10000 in organ failure, and 50,000 in frailty and/or dement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nfographic showing the approximate sizes of each life segment in the OBH model, based on an illustrative population of 500,000. In the healthy segment there are 260,000 people. In long term condition there are 170,000. 5000 in disability, 5000 in end of life, 10000 in organ failure, and 50,000 in frailty and/or dementia. "/>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1510" cy="2907030"/>
                    </a:xfrm>
                    <a:prstGeom prst="rect">
                      <a:avLst/>
                    </a:prstGeom>
                    <a:noFill/>
                    <a:ln>
                      <a:noFill/>
                    </a:ln>
                  </pic:spPr>
                </pic:pic>
              </a:graphicData>
            </a:graphic>
          </wp:inline>
        </w:drawing>
      </w:r>
      <w:r>
        <w:rPr>
          <w:rStyle w:val="eop"/>
          <w:rFonts w:ascii="Calibri" w:hAnsi="Calibri" w:cs="Calibri"/>
          <w:sz w:val="22"/>
          <w:szCs w:val="22"/>
        </w:rPr>
        <w:t> </w:t>
      </w:r>
    </w:p>
    <w:p w14:paraId="41E58540"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D35D101"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Fonts w:ascii="Segoe UI" w:hAnsi="Segoe UI" w:cs="Segoe UI"/>
          <w:noProof/>
          <w:color w:val="2B579A"/>
          <w:sz w:val="18"/>
          <w:szCs w:val="18"/>
          <w:shd w:val="clear" w:color="auto" w:fill="E6E6E6"/>
        </w:rPr>
        <w:drawing>
          <wp:inline distT="0" distB="0" distL="0" distR="0" wp14:anchorId="56096A3E" wp14:editId="2504908A">
            <wp:extent cx="5727700" cy="2533650"/>
            <wp:effectExtent l="0" t="0" r="6350" b="0"/>
            <wp:docPr id="39" name="Picture 39" descr="Box and whisker chart showing the average age and distributions of ages for the main health cohorts. the average age for 'healthy' cohort is 40, but over 70 for the 'Frailty / dementia' coh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Box and whisker chart showing the average age and distributions of ages for the main health cohorts. the average age for 'healthy' cohort is 40, but over 70 for the 'Frailty / dementia' cohort. "/>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27700" cy="2533650"/>
                    </a:xfrm>
                    <a:prstGeom prst="rect">
                      <a:avLst/>
                    </a:prstGeom>
                    <a:noFill/>
                    <a:ln>
                      <a:noFill/>
                    </a:ln>
                  </pic:spPr>
                </pic:pic>
              </a:graphicData>
            </a:graphic>
          </wp:inline>
        </w:drawing>
      </w:r>
      <w:r>
        <w:rPr>
          <w:rStyle w:val="eop"/>
          <w:rFonts w:ascii="Calibri" w:hAnsi="Calibri" w:cs="Calibri"/>
          <w:sz w:val="22"/>
          <w:szCs w:val="22"/>
        </w:rPr>
        <w:t> </w:t>
      </w:r>
    </w:p>
    <w:p w14:paraId="349FC44B"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03A3C2C"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Fonts w:ascii="Segoe UI" w:hAnsi="Segoe UI" w:cs="Segoe UI"/>
          <w:noProof/>
          <w:color w:val="2B579A"/>
          <w:sz w:val="18"/>
          <w:szCs w:val="18"/>
          <w:shd w:val="clear" w:color="auto" w:fill="E6E6E6"/>
        </w:rPr>
        <w:lastRenderedPageBreak/>
        <w:drawing>
          <wp:inline distT="0" distB="0" distL="0" distR="0" wp14:anchorId="55518ADB" wp14:editId="33432610">
            <wp:extent cx="5731510" cy="2402840"/>
            <wp:effectExtent l="0" t="0" r="2540" b="0"/>
            <wp:docPr id="38" name="Picture 38" descr="Diagram showing typical changes in cohorts throughout the life course, starting with 'healthy', and ending in 'end of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 showing typical changes in cohorts throughout the life course, starting with 'healthy', and ending in 'end of lif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1510" cy="2402840"/>
                    </a:xfrm>
                    <a:prstGeom prst="rect">
                      <a:avLst/>
                    </a:prstGeom>
                    <a:noFill/>
                    <a:ln>
                      <a:noFill/>
                    </a:ln>
                  </pic:spPr>
                </pic:pic>
              </a:graphicData>
            </a:graphic>
          </wp:inline>
        </w:drawing>
      </w:r>
      <w:r>
        <w:rPr>
          <w:rStyle w:val="eop"/>
          <w:rFonts w:ascii="Calibri" w:hAnsi="Calibri" w:cs="Calibri"/>
          <w:sz w:val="22"/>
          <w:szCs w:val="22"/>
        </w:rPr>
        <w:t> </w:t>
      </w:r>
    </w:p>
    <w:p w14:paraId="05235667"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7B66EFB"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Fonts w:ascii="Segoe UI" w:hAnsi="Segoe UI" w:cs="Segoe UI"/>
          <w:noProof/>
          <w:color w:val="2B579A"/>
          <w:sz w:val="18"/>
          <w:szCs w:val="18"/>
          <w:shd w:val="clear" w:color="auto" w:fill="E6E6E6"/>
        </w:rPr>
        <w:drawing>
          <wp:inline distT="0" distB="0" distL="0" distR="0" wp14:anchorId="6B5DCCCC" wp14:editId="01EE809E">
            <wp:extent cx="5731510" cy="2780030"/>
            <wp:effectExtent l="0" t="0" r="2540" b="1270"/>
            <wp:docPr id="37" name="Picture 37" descr="Venn diagram showing overlap between different health seg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Venn diagram showing overlap between different health segments. "/>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1510" cy="2780030"/>
                    </a:xfrm>
                    <a:prstGeom prst="rect">
                      <a:avLst/>
                    </a:prstGeom>
                    <a:noFill/>
                    <a:ln>
                      <a:noFill/>
                    </a:ln>
                  </pic:spPr>
                </pic:pic>
              </a:graphicData>
            </a:graphic>
          </wp:inline>
        </w:drawing>
      </w:r>
      <w:r>
        <w:rPr>
          <w:rStyle w:val="eop"/>
          <w:rFonts w:ascii="Calibri" w:hAnsi="Calibri" w:cs="Calibri"/>
          <w:sz w:val="22"/>
          <w:szCs w:val="22"/>
        </w:rPr>
        <w:t> </w:t>
      </w:r>
    </w:p>
    <w:p w14:paraId="6CCC6A8C"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920751E"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Fonts w:ascii="Segoe UI" w:hAnsi="Segoe UI" w:cs="Segoe UI"/>
          <w:noProof/>
          <w:color w:val="2B579A"/>
          <w:sz w:val="18"/>
          <w:szCs w:val="18"/>
          <w:shd w:val="clear" w:color="auto" w:fill="E6E6E6"/>
        </w:rPr>
        <w:lastRenderedPageBreak/>
        <w:drawing>
          <wp:inline distT="0" distB="0" distL="0" distR="0" wp14:anchorId="2FDD3BC7" wp14:editId="1EF1A5A5">
            <wp:extent cx="5731510" cy="2681605"/>
            <wp:effectExtent l="0" t="0" r="2540" b="4445"/>
            <wp:docPr id="36" name="Picture 36" descr="Diagram showing relative rates of hospitalisation between different health segments. Those with frailty / dementia are 5.8 times more likely to be hospitalised than those in the 'healthy' coh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 showing relative rates of hospitalisation between different health segments. Those with frailty / dementia are 5.8 times more likely to be hospitalised than those in the 'healthy' cohort. "/>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1510" cy="2681605"/>
                    </a:xfrm>
                    <a:prstGeom prst="rect">
                      <a:avLst/>
                    </a:prstGeom>
                    <a:noFill/>
                    <a:ln>
                      <a:noFill/>
                    </a:ln>
                  </pic:spPr>
                </pic:pic>
              </a:graphicData>
            </a:graphic>
          </wp:inline>
        </w:drawing>
      </w:r>
      <w:r>
        <w:rPr>
          <w:rStyle w:val="eop"/>
          <w:rFonts w:ascii="Calibri" w:hAnsi="Calibri" w:cs="Calibri"/>
          <w:sz w:val="22"/>
          <w:szCs w:val="22"/>
        </w:rPr>
        <w:t> </w:t>
      </w:r>
    </w:p>
    <w:p w14:paraId="6D39EE44"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27695F8"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Fonts w:ascii="Segoe UI" w:hAnsi="Segoe UI" w:cs="Segoe UI"/>
          <w:noProof/>
          <w:color w:val="2B579A"/>
          <w:sz w:val="18"/>
          <w:szCs w:val="18"/>
          <w:shd w:val="clear" w:color="auto" w:fill="E6E6E6"/>
        </w:rPr>
        <w:drawing>
          <wp:inline distT="0" distB="0" distL="0" distR="0" wp14:anchorId="39B6830E" wp14:editId="1E4F757D">
            <wp:extent cx="5731510" cy="2189480"/>
            <wp:effectExtent l="0" t="0" r="2540" b="1270"/>
            <wp:docPr id="35" name="Picture 35" descr="Chart showing the types of hospital activity between the different cohorts. 'Healthy' cohort is more likely to need short-term acute care in A&am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showing the types of hospital activity between the different cohorts. 'Healthy' cohort is more likely to need short-term acute care in A&amp;E. "/>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31510" cy="2189480"/>
                    </a:xfrm>
                    <a:prstGeom prst="rect">
                      <a:avLst/>
                    </a:prstGeom>
                    <a:noFill/>
                    <a:ln>
                      <a:noFill/>
                    </a:ln>
                  </pic:spPr>
                </pic:pic>
              </a:graphicData>
            </a:graphic>
          </wp:inline>
        </w:drawing>
      </w:r>
      <w:r>
        <w:rPr>
          <w:rStyle w:val="eop"/>
          <w:rFonts w:ascii="Calibri" w:hAnsi="Calibri" w:cs="Calibri"/>
          <w:sz w:val="22"/>
          <w:szCs w:val="22"/>
        </w:rPr>
        <w:t> </w:t>
      </w:r>
    </w:p>
    <w:p w14:paraId="7A644141" w14:textId="77777777" w:rsidR="006007A9" w:rsidRDefault="006007A9" w:rsidP="006007A9">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B035A32" w14:textId="7FF61615" w:rsidR="006007A9" w:rsidRDefault="006007A9" w:rsidP="006007A9">
      <w:pPr>
        <w:pStyle w:val="paragraph"/>
        <w:spacing w:before="0" w:beforeAutospacing="0" w:after="0" w:afterAutospacing="0"/>
        <w:textAlignment w:val="baseline"/>
        <w:rPr>
          <w:rFonts w:ascii="Segoe UI" w:hAnsi="Segoe UI" w:cs="Segoe UI"/>
          <w:sz w:val="18"/>
          <w:szCs w:val="18"/>
        </w:rPr>
      </w:pPr>
      <w:r>
        <w:rPr>
          <w:rFonts w:ascii="Segoe UI" w:hAnsi="Segoe UI" w:cs="Segoe UI"/>
          <w:noProof/>
          <w:color w:val="2B579A"/>
          <w:sz w:val="18"/>
          <w:szCs w:val="18"/>
          <w:shd w:val="clear" w:color="auto" w:fill="E6E6E6"/>
        </w:rPr>
        <w:drawing>
          <wp:inline distT="0" distB="0" distL="0" distR="0" wp14:anchorId="72FB815D" wp14:editId="55B78218">
            <wp:extent cx="5731510" cy="2145665"/>
            <wp:effectExtent l="0" t="0" r="2540" b="6985"/>
            <wp:docPr id="34" name="Picture 34" descr="Infographic showing the relative spend of different cohorts compared to their relative size in the who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nfographic showing the relative spend of different cohorts compared to their relative size in the whole population. "/>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r>
        <w:rPr>
          <w:rStyle w:val="eop"/>
          <w:rFonts w:ascii="Calibri" w:hAnsi="Calibri" w:cs="Calibri"/>
          <w:sz w:val="22"/>
          <w:szCs w:val="22"/>
        </w:rPr>
        <w:t> </w:t>
      </w:r>
    </w:p>
    <w:p w14:paraId="1DD3803F" w14:textId="5DF28F2F" w:rsidR="006007A9" w:rsidRPr="00736781" w:rsidRDefault="006007A9" w:rsidP="00736781">
      <w:pPr>
        <w:rPr>
          <w:rFonts w:ascii="Segoe UI" w:hAnsi="Segoe UI" w:cs="Segoe UI"/>
        </w:rPr>
      </w:pPr>
      <w:r w:rsidRPr="00736781">
        <w:rPr>
          <w:rStyle w:val="normaltextrun"/>
          <w:rFonts w:ascii="Calibri" w:hAnsi="Calibri" w:cs="Calibri"/>
          <w:shd w:val="clear" w:color="auto" w:fill="FFFFFF"/>
        </w:rPr>
        <w:t>There is an interactive tool which contains a series of views so that users can easily explore and interrogate these population segments at a national, regional, system, HCP and PCN level. Examples of this OBH dashboard can viewed at various sections in this assessment.</w:t>
      </w:r>
      <w:r w:rsidRPr="00736781">
        <w:rPr>
          <w:rStyle w:val="eop"/>
          <w:rFonts w:ascii="Calibri" w:hAnsi="Calibri" w:cs="Calibri"/>
        </w:rPr>
        <w:t> </w:t>
      </w:r>
    </w:p>
    <w:p w14:paraId="0FD08E95" w14:textId="5C751E84" w:rsidR="00653625" w:rsidRPr="00954934" w:rsidRDefault="006007A9" w:rsidP="00954934">
      <w:pPr>
        <w:pStyle w:val="paragraph"/>
        <w:spacing w:before="0" w:beforeAutospacing="0" w:after="0" w:afterAutospacing="0" w:line="276" w:lineRule="auto"/>
        <w:textAlignment w:val="baseline"/>
        <w:rPr>
          <w:rFonts w:ascii="Calibri" w:hAnsi="Calibri" w:cs="Calibri"/>
        </w:rPr>
      </w:pPr>
      <w:r w:rsidRPr="00736781">
        <w:rPr>
          <w:rStyle w:val="normaltextrun"/>
          <w:rFonts w:ascii="Calibri" w:hAnsi="Calibri" w:cs="Calibri"/>
          <w:shd w:val="clear" w:color="auto" w:fill="FFFFFF"/>
        </w:rPr>
        <w:lastRenderedPageBreak/>
        <w:t>It is anticipated that full access to integrated OBH segmentation data will soon be in place so that future iterations of Kent County Council Public Health Needs Assessments will be able to utilise this facility to better inform organisations and their commissioning of relevant services.</w:t>
      </w:r>
      <w:r w:rsidRPr="00736781">
        <w:rPr>
          <w:rStyle w:val="eop"/>
          <w:rFonts w:ascii="Calibri" w:hAnsi="Calibri" w:cs="Calibri"/>
        </w:rPr>
        <w:t> </w:t>
      </w:r>
    </w:p>
    <w:p w14:paraId="26F31B77" w14:textId="77777777" w:rsidR="007119C9" w:rsidRDefault="007119C9" w:rsidP="009D38FF">
      <w:pPr>
        <w:pStyle w:val="Heading1"/>
      </w:pPr>
      <w:bookmarkStart w:id="196" w:name="_Toc128133871"/>
      <w:r w:rsidRPr="5E4DB3C2">
        <w:t>Modelling population health needs in the West Kent Health and Care system</w:t>
      </w:r>
      <w:bookmarkEnd w:id="196"/>
    </w:p>
    <w:p w14:paraId="577170A8" w14:textId="246A5B14" w:rsidR="007119C9" w:rsidRPr="00286B78" w:rsidRDefault="007119C9" w:rsidP="00D57E1A">
      <w:pPr>
        <w:pStyle w:val="Heading2"/>
      </w:pPr>
      <w:bookmarkStart w:id="197" w:name="_Toc128133872"/>
      <w:r w:rsidRPr="5E4DB3C2">
        <w:t xml:space="preserve">A System Dynamics contribution to understanding future population health </w:t>
      </w:r>
      <w:r w:rsidR="00C56D15" w:rsidRPr="5E4DB3C2">
        <w:t>needs.</w:t>
      </w:r>
      <w:bookmarkEnd w:id="197"/>
      <w:r w:rsidRPr="5E4DB3C2">
        <w:t xml:space="preserve"> </w:t>
      </w:r>
    </w:p>
    <w:p w14:paraId="5F1D6799" w14:textId="113B4230" w:rsidR="005A1FF7" w:rsidRDefault="007119C9" w:rsidP="00736781">
      <w:pPr>
        <w:pStyle w:val="BodyText"/>
        <w:spacing w:line="276" w:lineRule="auto"/>
        <w:ind w:left="0"/>
        <w:jc w:val="left"/>
        <w:rPr>
          <w:rFonts w:asciiTheme="minorHAnsi" w:hAnsiTheme="minorHAnsi" w:cstheme="minorBidi"/>
          <w:sz w:val="24"/>
          <w:szCs w:val="24"/>
        </w:rPr>
      </w:pPr>
      <w:r w:rsidRPr="7731B436">
        <w:rPr>
          <w:rFonts w:asciiTheme="minorHAnsi" w:hAnsiTheme="minorHAnsi" w:cstheme="minorBidi"/>
          <w:sz w:val="24"/>
          <w:szCs w:val="24"/>
        </w:rPr>
        <w:t>Th</w:t>
      </w:r>
      <w:r w:rsidR="00B850F4">
        <w:rPr>
          <w:rFonts w:asciiTheme="minorHAnsi" w:hAnsiTheme="minorHAnsi" w:cstheme="minorBidi"/>
          <w:sz w:val="24"/>
          <w:szCs w:val="24"/>
        </w:rPr>
        <w:t>is</w:t>
      </w:r>
      <w:r w:rsidRPr="7731B436">
        <w:rPr>
          <w:rFonts w:asciiTheme="minorHAnsi" w:hAnsiTheme="minorHAnsi" w:cstheme="minorBidi"/>
          <w:sz w:val="24"/>
          <w:szCs w:val="24"/>
        </w:rPr>
        <w:t xml:space="preserve"> report is an update which aims to </w:t>
      </w:r>
      <w:r w:rsidR="00C56D15" w:rsidRPr="7731B436">
        <w:rPr>
          <w:rFonts w:asciiTheme="minorHAnsi" w:hAnsiTheme="minorHAnsi" w:cstheme="minorBidi"/>
          <w:sz w:val="24"/>
          <w:szCs w:val="24"/>
        </w:rPr>
        <w:t>summarise</w:t>
      </w:r>
      <w:r w:rsidRPr="7731B436">
        <w:rPr>
          <w:rFonts w:asciiTheme="minorHAnsi" w:hAnsiTheme="minorHAnsi" w:cstheme="minorBidi"/>
          <w:sz w:val="24"/>
          <w:szCs w:val="24"/>
        </w:rPr>
        <w:t xml:space="preserve"> an approach to understanding local adult health and care needs in terms of ‘population </w:t>
      </w:r>
      <w:r w:rsidRPr="740CDBE4">
        <w:rPr>
          <w:rFonts w:asciiTheme="minorHAnsi" w:hAnsiTheme="minorHAnsi" w:cstheme="minorBidi"/>
          <w:sz w:val="24"/>
          <w:szCs w:val="24"/>
        </w:rPr>
        <w:t>cohorts</w:t>
      </w:r>
      <w:r w:rsidR="09518A68" w:rsidRPr="740CDBE4">
        <w:rPr>
          <w:rFonts w:asciiTheme="minorHAnsi" w:hAnsiTheme="minorHAnsi" w:cstheme="minorBidi"/>
          <w:sz w:val="24"/>
          <w:szCs w:val="24"/>
        </w:rPr>
        <w:t>.’</w:t>
      </w:r>
      <w:r w:rsidRPr="7731B436">
        <w:rPr>
          <w:rFonts w:asciiTheme="minorHAnsi" w:hAnsiTheme="minorHAnsi" w:cstheme="minorBidi"/>
          <w:sz w:val="24"/>
          <w:szCs w:val="24"/>
        </w:rPr>
        <w:t xml:space="preserve">  In broad </w:t>
      </w:r>
      <w:r w:rsidR="0095388C">
        <w:rPr>
          <w:rFonts w:asciiTheme="minorHAnsi" w:hAnsiTheme="minorHAnsi" w:cstheme="minorBidi"/>
          <w:sz w:val="24"/>
          <w:szCs w:val="24"/>
        </w:rPr>
        <w:t>categories,</w:t>
      </w:r>
      <w:r w:rsidRPr="7731B436">
        <w:rPr>
          <w:rFonts w:asciiTheme="minorHAnsi" w:hAnsiTheme="minorHAnsi" w:cstheme="minorBidi"/>
          <w:sz w:val="24"/>
          <w:szCs w:val="24"/>
        </w:rPr>
        <w:t xml:space="preserve"> these cohorts are the healthy population; those that are at heightened risk of developing a long-term condition due to factors such as obesity or smoking; those with a single condition; people with multiple conditions or complex needs; and people who are frail. </w:t>
      </w:r>
    </w:p>
    <w:p w14:paraId="35FBC15C" w14:textId="625A3D76" w:rsidR="007119C9" w:rsidRPr="00286B78" w:rsidRDefault="007119C9" w:rsidP="045A98DE">
      <w:pPr>
        <w:pStyle w:val="BodyText"/>
        <w:spacing w:line="276" w:lineRule="auto"/>
        <w:ind w:left="0"/>
        <w:jc w:val="left"/>
        <w:rPr>
          <w:rFonts w:asciiTheme="minorHAnsi" w:hAnsiTheme="minorHAnsi" w:cstheme="minorBidi"/>
          <w:sz w:val="24"/>
          <w:szCs w:val="24"/>
        </w:rPr>
      </w:pPr>
      <w:r w:rsidRPr="045A98DE">
        <w:rPr>
          <w:rFonts w:asciiTheme="minorHAnsi" w:hAnsiTheme="minorHAnsi" w:cstheme="minorBidi"/>
          <w:sz w:val="24"/>
          <w:szCs w:val="24"/>
        </w:rPr>
        <w:t xml:space="preserve">Importantly, for exploring alternative strategies for improving overall population health, the approach identifies the rates of progression of need using </w:t>
      </w:r>
      <w:r w:rsidR="323AAD3F" w:rsidRPr="045A98DE">
        <w:rPr>
          <w:rFonts w:asciiTheme="minorHAnsi" w:hAnsiTheme="minorHAnsi" w:cstheme="minorBidi"/>
          <w:sz w:val="24"/>
          <w:szCs w:val="24"/>
        </w:rPr>
        <w:t>evidence</w:t>
      </w:r>
      <w:r w:rsidRPr="045A98DE">
        <w:rPr>
          <w:rFonts w:asciiTheme="minorHAnsi" w:hAnsiTheme="minorHAnsi" w:cstheme="minorBidi"/>
          <w:sz w:val="24"/>
          <w:szCs w:val="24"/>
        </w:rPr>
        <w:t xml:space="preserve"> base rooted in the English Longitudinal Study of Ageing (ELSA) and other sources. These translate into a dynamic modelling environment that </w:t>
      </w:r>
      <w:bookmarkStart w:id="198" w:name="_Int_6FDja6Qj"/>
      <w:r w:rsidRPr="045A98DE">
        <w:rPr>
          <w:rFonts w:asciiTheme="minorHAnsi" w:hAnsiTheme="minorHAnsi" w:cstheme="minorBidi"/>
          <w:sz w:val="24"/>
          <w:szCs w:val="24"/>
        </w:rPr>
        <w:t>is able to</w:t>
      </w:r>
      <w:bookmarkEnd w:id="198"/>
      <w:r w:rsidRPr="045A98DE">
        <w:rPr>
          <w:rFonts w:asciiTheme="minorHAnsi" w:hAnsiTheme="minorHAnsi" w:cstheme="minorBidi"/>
          <w:sz w:val="24"/>
          <w:szCs w:val="24"/>
        </w:rPr>
        <w:t xml:space="preserve"> respond to different ‘what-if’ questions regarding health and wellbeing interventions.</w:t>
      </w:r>
    </w:p>
    <w:p w14:paraId="1635C895" w14:textId="77777777" w:rsidR="007119C9" w:rsidRPr="00286B78" w:rsidRDefault="007119C9" w:rsidP="00736781">
      <w:pPr>
        <w:pStyle w:val="BodyText"/>
        <w:spacing w:line="276" w:lineRule="auto"/>
        <w:ind w:left="0"/>
        <w:jc w:val="left"/>
        <w:rPr>
          <w:rFonts w:asciiTheme="minorHAnsi" w:hAnsiTheme="minorHAnsi" w:cstheme="minorBidi"/>
          <w:sz w:val="24"/>
          <w:szCs w:val="24"/>
        </w:rPr>
      </w:pPr>
      <w:r w:rsidRPr="5E4DB3C2">
        <w:rPr>
          <w:rFonts w:asciiTheme="minorHAnsi" w:hAnsiTheme="minorHAnsi" w:cstheme="minorBidi"/>
          <w:sz w:val="24"/>
          <w:szCs w:val="24"/>
        </w:rPr>
        <w:t>Understanding local population dynamics is complex given:</w:t>
      </w:r>
    </w:p>
    <w:p w14:paraId="285CADA9" w14:textId="2F499551" w:rsidR="007119C9" w:rsidRPr="00286B78" w:rsidRDefault="007119C9" w:rsidP="00736781">
      <w:pPr>
        <w:pStyle w:val="BodyText"/>
        <w:numPr>
          <w:ilvl w:val="0"/>
          <w:numId w:val="27"/>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 xml:space="preserve">Continued growth in the total West Kent population to over </w:t>
      </w:r>
      <w:r w:rsidR="00595B41">
        <w:rPr>
          <w:rFonts w:asciiTheme="minorHAnsi" w:hAnsiTheme="minorHAnsi" w:cstheme="minorBidi"/>
          <w:sz w:val="24"/>
          <w:szCs w:val="24"/>
        </w:rPr>
        <w:t>650</w:t>
      </w:r>
      <w:r w:rsidRPr="5E4DB3C2">
        <w:rPr>
          <w:rFonts w:asciiTheme="minorHAnsi" w:hAnsiTheme="minorHAnsi" w:cstheme="minorBidi"/>
          <w:sz w:val="24"/>
          <w:szCs w:val="24"/>
        </w:rPr>
        <w:t xml:space="preserve">,000 by </w:t>
      </w:r>
      <w:r w:rsidR="00595B41" w:rsidRPr="5E4DB3C2">
        <w:rPr>
          <w:rFonts w:asciiTheme="minorHAnsi" w:hAnsiTheme="minorHAnsi" w:cstheme="minorBidi"/>
          <w:sz w:val="24"/>
          <w:szCs w:val="24"/>
        </w:rPr>
        <w:t>204</w:t>
      </w:r>
      <w:r w:rsidR="00595B41">
        <w:rPr>
          <w:rFonts w:asciiTheme="minorHAnsi" w:hAnsiTheme="minorHAnsi" w:cstheme="minorBidi"/>
          <w:sz w:val="24"/>
          <w:szCs w:val="24"/>
        </w:rPr>
        <w:t>0</w:t>
      </w:r>
      <w:r w:rsidRPr="5E4DB3C2">
        <w:rPr>
          <w:rFonts w:asciiTheme="minorHAnsi" w:hAnsiTheme="minorHAnsi" w:cstheme="minorBidi"/>
          <w:sz w:val="24"/>
          <w:szCs w:val="24"/>
        </w:rPr>
        <w:t xml:space="preserve">, from a current level of c. </w:t>
      </w:r>
      <w:r w:rsidR="00595B41">
        <w:rPr>
          <w:rFonts w:asciiTheme="minorHAnsi" w:hAnsiTheme="minorHAnsi" w:cstheme="minorBidi"/>
          <w:sz w:val="24"/>
          <w:szCs w:val="24"/>
        </w:rPr>
        <w:t>545</w:t>
      </w:r>
      <w:r w:rsidRPr="5E4DB3C2">
        <w:rPr>
          <w:rFonts w:asciiTheme="minorHAnsi" w:hAnsiTheme="minorHAnsi" w:cstheme="minorBidi"/>
          <w:sz w:val="24"/>
          <w:szCs w:val="24"/>
        </w:rPr>
        <w:t>,000</w:t>
      </w:r>
      <w:r w:rsidR="00595B41">
        <w:rPr>
          <w:rFonts w:asciiTheme="minorHAnsi" w:hAnsiTheme="minorHAnsi" w:cstheme="minorBidi"/>
          <w:sz w:val="24"/>
          <w:szCs w:val="24"/>
        </w:rPr>
        <w:t xml:space="preserve"> (</w:t>
      </w:r>
      <w:r w:rsidR="00C1182D">
        <w:rPr>
          <w:rFonts w:asciiTheme="minorHAnsi" w:hAnsiTheme="minorHAnsi" w:cstheme="minorBidi"/>
          <w:sz w:val="24"/>
          <w:szCs w:val="24"/>
        </w:rPr>
        <w:t>ONS mid-year estimate 2020)</w:t>
      </w:r>
      <w:r w:rsidRPr="5E4DB3C2">
        <w:rPr>
          <w:rFonts w:asciiTheme="minorHAnsi" w:hAnsiTheme="minorHAnsi" w:cstheme="minorBidi"/>
          <w:sz w:val="24"/>
          <w:szCs w:val="24"/>
        </w:rPr>
        <w:t>.</w:t>
      </w:r>
    </w:p>
    <w:p w14:paraId="067EE259" w14:textId="77777777" w:rsidR="007119C9" w:rsidRPr="00286B78" w:rsidRDefault="007119C9" w:rsidP="00736781">
      <w:pPr>
        <w:pStyle w:val="BodyText"/>
        <w:numPr>
          <w:ilvl w:val="0"/>
          <w:numId w:val="27"/>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The significant contribution that is made to this growth by net inward migration.</w:t>
      </w:r>
    </w:p>
    <w:p w14:paraId="4CBE1B6A" w14:textId="77777777" w:rsidR="007119C9" w:rsidRPr="00286B78" w:rsidRDefault="007119C9" w:rsidP="00736781">
      <w:pPr>
        <w:pStyle w:val="BodyText"/>
        <w:numPr>
          <w:ilvl w:val="0"/>
          <w:numId w:val="27"/>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The changing nature of underlying risk factors that have the potential to lead to, or exacerbate, health and care needs – in this study we have focussed on levels of smoking, which are falling, levels of obesity, which are rising, alcohol and adverse childhood experiences which have the potential to decline due to the current economic burden.</w:t>
      </w:r>
    </w:p>
    <w:p w14:paraId="342E9C5B" w14:textId="77777777" w:rsidR="007119C9" w:rsidRPr="00286B78" w:rsidRDefault="007119C9" w:rsidP="00736781">
      <w:pPr>
        <w:pStyle w:val="BodyText"/>
        <w:numPr>
          <w:ilvl w:val="0"/>
          <w:numId w:val="27"/>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The natural ageing process at a population level as the ‘baby boom’ generation approach old age.</w:t>
      </w:r>
    </w:p>
    <w:p w14:paraId="7B3129A5" w14:textId="4C5C2C0E" w:rsidR="007119C9" w:rsidRPr="00286B78" w:rsidRDefault="007119C9" w:rsidP="045A98DE">
      <w:pPr>
        <w:pStyle w:val="BodyText"/>
        <w:spacing w:line="276" w:lineRule="auto"/>
        <w:ind w:left="0"/>
        <w:jc w:val="left"/>
        <w:rPr>
          <w:rFonts w:asciiTheme="minorHAnsi" w:hAnsiTheme="minorHAnsi" w:cstheme="minorBidi"/>
          <w:sz w:val="24"/>
          <w:szCs w:val="24"/>
        </w:rPr>
      </w:pPr>
      <w:r w:rsidRPr="045A98DE">
        <w:rPr>
          <w:rFonts w:asciiTheme="minorHAnsi" w:hAnsiTheme="minorHAnsi" w:cstheme="minorBidi"/>
          <w:sz w:val="24"/>
          <w:szCs w:val="24"/>
        </w:rPr>
        <w:t xml:space="preserve">In this project, we have developed a ‘best case’ scenario based on continued reductions in levels of smoking, a reversal of the current trends in levels of obesity, reduced harmful and hazardous alcohol intake and reduced adverse childhood experiences (ACE). These are all proven indicators for the incidence of conditions that lead to poor health and reduced life expectancy. We compare this ‘best case’ against a hypothetical position in which levels </w:t>
      </w:r>
      <w:r w:rsidR="004F4734" w:rsidRPr="045A98DE">
        <w:rPr>
          <w:rFonts w:asciiTheme="minorHAnsi" w:hAnsiTheme="minorHAnsi" w:cstheme="minorBidi"/>
          <w:sz w:val="24"/>
          <w:szCs w:val="24"/>
        </w:rPr>
        <w:t xml:space="preserve">of </w:t>
      </w:r>
      <w:r w:rsidRPr="045A98DE">
        <w:rPr>
          <w:rFonts w:asciiTheme="minorHAnsi" w:hAnsiTheme="minorHAnsi" w:cstheme="minorBidi"/>
          <w:sz w:val="24"/>
          <w:szCs w:val="24"/>
        </w:rPr>
        <w:t xml:space="preserve">risk factors have not been decreasing and demonstrate the contribution to the overall </w:t>
      </w:r>
      <w:r w:rsidRPr="045A98DE">
        <w:rPr>
          <w:rFonts w:asciiTheme="minorHAnsi" w:hAnsiTheme="minorHAnsi" w:cstheme="minorBidi"/>
          <w:sz w:val="24"/>
          <w:szCs w:val="24"/>
        </w:rPr>
        <w:lastRenderedPageBreak/>
        <w:t xml:space="preserve">burden of health needs that improvements in risk factor prevalence </w:t>
      </w:r>
      <w:bookmarkStart w:id="199" w:name="_Int_gmjT0vrd"/>
      <w:r w:rsidRPr="045A98DE">
        <w:rPr>
          <w:rFonts w:asciiTheme="minorHAnsi" w:hAnsiTheme="minorHAnsi" w:cstheme="minorBidi"/>
          <w:sz w:val="24"/>
          <w:szCs w:val="24"/>
        </w:rPr>
        <w:t>has</w:t>
      </w:r>
      <w:bookmarkEnd w:id="199"/>
      <w:r w:rsidRPr="045A98DE">
        <w:rPr>
          <w:rFonts w:asciiTheme="minorHAnsi" w:hAnsiTheme="minorHAnsi" w:cstheme="minorBidi"/>
          <w:sz w:val="24"/>
          <w:szCs w:val="24"/>
        </w:rPr>
        <w:t xml:space="preserve"> and will continue to make.</w:t>
      </w:r>
    </w:p>
    <w:p w14:paraId="28178FEF" w14:textId="030E1D3C" w:rsidR="007119C9" w:rsidRPr="00286B78" w:rsidRDefault="007119C9" w:rsidP="00736781">
      <w:pPr>
        <w:pStyle w:val="BodyText"/>
        <w:spacing w:line="276" w:lineRule="auto"/>
        <w:ind w:left="0"/>
        <w:jc w:val="left"/>
        <w:rPr>
          <w:rFonts w:asciiTheme="minorHAnsi" w:hAnsiTheme="minorHAnsi" w:cstheme="minorBidi"/>
          <w:sz w:val="24"/>
          <w:szCs w:val="24"/>
        </w:rPr>
      </w:pPr>
      <w:r w:rsidRPr="5E4DB3C2">
        <w:rPr>
          <w:rFonts w:asciiTheme="minorHAnsi" w:hAnsiTheme="minorHAnsi" w:cstheme="minorBidi"/>
          <w:sz w:val="24"/>
          <w:szCs w:val="24"/>
        </w:rPr>
        <w:t xml:space="preserve">Due to the underlying growth in the total population and using the modelling tool to explore </w:t>
      </w:r>
      <w:bookmarkStart w:id="200" w:name="_Int_PXUAwryk"/>
      <w:r w:rsidRPr="5E4DB3C2">
        <w:rPr>
          <w:rFonts w:asciiTheme="minorHAnsi" w:hAnsiTheme="minorHAnsi" w:cstheme="minorBidi"/>
          <w:sz w:val="24"/>
          <w:szCs w:val="24"/>
        </w:rPr>
        <w:t>possible future</w:t>
      </w:r>
      <w:bookmarkEnd w:id="200"/>
      <w:r w:rsidRPr="5E4DB3C2">
        <w:rPr>
          <w:rFonts w:asciiTheme="minorHAnsi" w:hAnsiTheme="minorHAnsi" w:cstheme="minorBidi"/>
          <w:sz w:val="24"/>
          <w:szCs w:val="24"/>
        </w:rPr>
        <w:t xml:space="preserve"> scenarios, it is reasonable to expect an increase in all major cohorts of need. However, when split into four simple groups of the healthy, those with a recognised single condition, those with multiple of complex conditions and those who are frail, and considered in percentage terms, we have arrived at a scenario in which the next 25 years will see:</w:t>
      </w:r>
    </w:p>
    <w:p w14:paraId="2AF99A5E" w14:textId="77777777" w:rsidR="007119C9" w:rsidRPr="00286B78" w:rsidRDefault="007119C9" w:rsidP="00736781">
      <w:pPr>
        <w:pStyle w:val="BodyText"/>
        <w:numPr>
          <w:ilvl w:val="0"/>
          <w:numId w:val="28"/>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Continued, but slowing growth in the proportion of the population with a single health condition.</w:t>
      </w:r>
    </w:p>
    <w:p w14:paraId="44A3DA1F" w14:textId="77777777" w:rsidR="007119C9" w:rsidRPr="00286B78" w:rsidRDefault="007119C9" w:rsidP="00736781">
      <w:pPr>
        <w:pStyle w:val="BodyText"/>
        <w:numPr>
          <w:ilvl w:val="0"/>
          <w:numId w:val="28"/>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Small reductions in the proportion of the population who are healthy from the 2020’s.</w:t>
      </w:r>
    </w:p>
    <w:p w14:paraId="5CF3A629" w14:textId="77777777" w:rsidR="007119C9" w:rsidRPr="00286B78" w:rsidRDefault="007119C9" w:rsidP="00736781">
      <w:pPr>
        <w:pStyle w:val="BodyText"/>
        <w:numPr>
          <w:ilvl w:val="0"/>
          <w:numId w:val="28"/>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Flattening of the trend in the proportion of the population who have a single condition and.</w:t>
      </w:r>
    </w:p>
    <w:p w14:paraId="0A3A5701" w14:textId="77777777" w:rsidR="007119C9" w:rsidRPr="00286B78" w:rsidRDefault="007119C9" w:rsidP="00736781">
      <w:pPr>
        <w:pStyle w:val="BodyText"/>
        <w:numPr>
          <w:ilvl w:val="0"/>
          <w:numId w:val="28"/>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Continued and significant rises in the proportion of the population who have a multiple condition and are frail.</w:t>
      </w:r>
    </w:p>
    <w:p w14:paraId="7B28683F" w14:textId="57BFAB46" w:rsidR="007119C9" w:rsidRPr="00286B78" w:rsidRDefault="007119C9" w:rsidP="00736781">
      <w:pPr>
        <w:pStyle w:val="BodyText"/>
        <w:spacing w:line="276" w:lineRule="auto"/>
        <w:ind w:left="0"/>
        <w:jc w:val="left"/>
        <w:rPr>
          <w:rFonts w:asciiTheme="minorHAnsi" w:hAnsiTheme="minorHAnsi" w:cstheme="minorBidi"/>
          <w:sz w:val="24"/>
          <w:szCs w:val="24"/>
        </w:rPr>
      </w:pPr>
      <w:r w:rsidRPr="5E4DB3C2">
        <w:rPr>
          <w:rFonts w:asciiTheme="minorHAnsi" w:hAnsiTheme="minorHAnsi" w:cstheme="minorBidi"/>
          <w:sz w:val="24"/>
          <w:szCs w:val="24"/>
        </w:rPr>
        <w:t>In this picture 2032 appears to be a turning point for the moderation in growing health needs associated with diagnosed conditions, something that is attributable to the continued benefits into old age of reductions in smoking, improved diet</w:t>
      </w:r>
      <w:r w:rsidR="00ADBCC6" w:rsidRPr="740CDBE4">
        <w:rPr>
          <w:rFonts w:asciiTheme="minorHAnsi" w:hAnsiTheme="minorHAnsi" w:cstheme="minorBidi"/>
          <w:sz w:val="24"/>
          <w:szCs w:val="24"/>
        </w:rPr>
        <w:t>,</w:t>
      </w:r>
      <w:r w:rsidRPr="5E4DB3C2">
        <w:rPr>
          <w:rFonts w:asciiTheme="minorHAnsi" w:hAnsiTheme="minorHAnsi" w:cstheme="minorBidi"/>
          <w:sz w:val="24"/>
          <w:szCs w:val="24"/>
        </w:rPr>
        <w:t xml:space="preserve"> and healthcare treatments. The growth in the proportion of people who are frail, however, continues in its current trend </w:t>
      </w:r>
      <w:bookmarkStart w:id="201" w:name="_Int_hKOga2CQ"/>
      <w:r w:rsidRPr="5E4DB3C2">
        <w:rPr>
          <w:rFonts w:asciiTheme="minorHAnsi" w:hAnsiTheme="minorHAnsi" w:cstheme="minorBidi"/>
          <w:sz w:val="24"/>
          <w:szCs w:val="24"/>
        </w:rPr>
        <w:t>almost irrespective</w:t>
      </w:r>
      <w:bookmarkEnd w:id="201"/>
      <w:r w:rsidRPr="5E4DB3C2">
        <w:rPr>
          <w:rFonts w:asciiTheme="minorHAnsi" w:hAnsiTheme="minorHAnsi" w:cstheme="minorBidi"/>
          <w:sz w:val="24"/>
          <w:szCs w:val="24"/>
        </w:rPr>
        <w:t xml:space="preserve"> of the scenarios run using the model. The proportion of the population we expect to be frail, on the definition used in the report, has already grown from just below 3.8% in 2018, to </w:t>
      </w:r>
      <w:bookmarkStart w:id="202" w:name="_Int_LzWpLOgD"/>
      <w:r w:rsidRPr="5E4DB3C2">
        <w:rPr>
          <w:rFonts w:asciiTheme="minorHAnsi" w:hAnsiTheme="minorHAnsi" w:cstheme="minorBidi"/>
          <w:sz w:val="24"/>
          <w:szCs w:val="24"/>
        </w:rPr>
        <w:t>nearly 4.2%</w:t>
      </w:r>
      <w:bookmarkEnd w:id="202"/>
      <w:r w:rsidRPr="5E4DB3C2">
        <w:rPr>
          <w:rFonts w:asciiTheme="minorHAnsi" w:hAnsiTheme="minorHAnsi" w:cstheme="minorBidi"/>
          <w:sz w:val="24"/>
          <w:szCs w:val="24"/>
        </w:rPr>
        <w:t xml:space="preserve"> today, and is expected to reach </w:t>
      </w:r>
      <w:bookmarkStart w:id="203" w:name="_Int_xagGdods"/>
      <w:r w:rsidRPr="5E4DB3C2">
        <w:rPr>
          <w:rFonts w:asciiTheme="minorHAnsi" w:hAnsiTheme="minorHAnsi" w:cstheme="minorBidi"/>
          <w:sz w:val="24"/>
          <w:szCs w:val="24"/>
        </w:rPr>
        <w:t>nearly 5.1%</w:t>
      </w:r>
      <w:bookmarkEnd w:id="203"/>
      <w:r w:rsidRPr="5E4DB3C2">
        <w:rPr>
          <w:rFonts w:asciiTheme="minorHAnsi" w:hAnsiTheme="minorHAnsi" w:cstheme="minorBidi"/>
          <w:sz w:val="24"/>
          <w:szCs w:val="24"/>
        </w:rPr>
        <w:t xml:space="preserve"> by 2043.</w:t>
      </w:r>
    </w:p>
    <w:p w14:paraId="58344381" w14:textId="7B9C5551" w:rsidR="007119C9" w:rsidRPr="00286B78" w:rsidRDefault="007119C9" w:rsidP="00736781">
      <w:pPr>
        <w:pStyle w:val="BodyText"/>
        <w:spacing w:line="276" w:lineRule="auto"/>
        <w:ind w:left="0"/>
        <w:jc w:val="left"/>
        <w:rPr>
          <w:rFonts w:asciiTheme="minorHAnsi" w:hAnsiTheme="minorHAnsi" w:cstheme="minorBidi"/>
          <w:sz w:val="24"/>
          <w:szCs w:val="24"/>
        </w:rPr>
      </w:pPr>
      <w:r w:rsidRPr="5E4DB3C2">
        <w:rPr>
          <w:rFonts w:asciiTheme="minorHAnsi" w:hAnsiTheme="minorHAnsi" w:cstheme="minorBidi"/>
          <w:sz w:val="24"/>
          <w:szCs w:val="24"/>
        </w:rPr>
        <w:t>We have used the simulation model to explore one simple scenario relating to reductions in smoking, obesity, alcohol intake and adverse childhood experiences, representative of a public health intervention designed to improve over population health. This shows the individual impacts of each intervention but also the combined impact of all four together. In combination</w:t>
      </w:r>
      <w:r>
        <w:rPr>
          <w:rFonts w:asciiTheme="minorHAnsi" w:hAnsiTheme="minorHAnsi" w:cstheme="minorBidi"/>
          <w:sz w:val="24"/>
          <w:szCs w:val="24"/>
        </w:rPr>
        <w:t>,</w:t>
      </w:r>
      <w:r w:rsidRPr="5E4DB3C2">
        <w:rPr>
          <w:rFonts w:asciiTheme="minorHAnsi" w:hAnsiTheme="minorHAnsi" w:cstheme="minorBidi"/>
          <w:sz w:val="24"/>
          <w:szCs w:val="24"/>
        </w:rPr>
        <w:t xml:space="preserve"> the four interventions have a significant impact in reducing the prevalence of all health conditions but </w:t>
      </w:r>
      <w:bookmarkStart w:id="204" w:name="_Int_YE3r2OZL"/>
      <w:r w:rsidRPr="5E4DB3C2">
        <w:rPr>
          <w:rFonts w:asciiTheme="minorHAnsi" w:hAnsiTheme="minorHAnsi" w:cstheme="minorBidi"/>
          <w:sz w:val="24"/>
          <w:szCs w:val="24"/>
        </w:rPr>
        <w:t>in particular reductions</w:t>
      </w:r>
      <w:bookmarkEnd w:id="204"/>
      <w:r w:rsidRPr="5E4DB3C2">
        <w:rPr>
          <w:rFonts w:asciiTheme="minorHAnsi" w:hAnsiTheme="minorHAnsi" w:cstheme="minorBidi"/>
          <w:sz w:val="24"/>
          <w:szCs w:val="24"/>
        </w:rPr>
        <w:t xml:space="preserve"> in multiple conditions.</w:t>
      </w:r>
    </w:p>
    <w:p w14:paraId="680E8733" w14:textId="36094A17" w:rsidR="007119C9" w:rsidRPr="00286B78" w:rsidRDefault="007119C9" w:rsidP="00736781">
      <w:pPr>
        <w:pStyle w:val="BodyText"/>
        <w:spacing w:line="276" w:lineRule="auto"/>
        <w:ind w:left="0"/>
        <w:jc w:val="left"/>
        <w:rPr>
          <w:rFonts w:asciiTheme="minorHAnsi" w:hAnsiTheme="minorHAnsi" w:cstheme="minorBidi"/>
          <w:sz w:val="24"/>
          <w:szCs w:val="24"/>
        </w:rPr>
      </w:pPr>
      <w:r w:rsidRPr="5E4DB3C2">
        <w:rPr>
          <w:rFonts w:asciiTheme="minorHAnsi" w:hAnsiTheme="minorHAnsi" w:cstheme="minorBidi"/>
          <w:sz w:val="24"/>
          <w:szCs w:val="24"/>
        </w:rPr>
        <w:t xml:space="preserve">The modelling tool has provided us with an initial appreciation of the some of the medium to longer term challenges of improving population health and wellbeing. We have noted already the significantly increasing proportion of the population who we expect to be frail. </w:t>
      </w:r>
    </w:p>
    <w:p w14:paraId="1065997B" w14:textId="451E5674" w:rsidR="007119C9" w:rsidRPr="00286B78" w:rsidRDefault="007119C9" w:rsidP="00736781">
      <w:pPr>
        <w:pStyle w:val="BodyText"/>
        <w:spacing w:line="276" w:lineRule="auto"/>
        <w:ind w:left="0"/>
        <w:jc w:val="left"/>
        <w:rPr>
          <w:rFonts w:asciiTheme="minorHAnsi" w:hAnsiTheme="minorHAnsi" w:cstheme="minorBidi"/>
          <w:sz w:val="24"/>
          <w:szCs w:val="24"/>
        </w:rPr>
      </w:pPr>
      <w:r w:rsidRPr="5E4DB3C2">
        <w:rPr>
          <w:rFonts w:asciiTheme="minorHAnsi" w:hAnsiTheme="minorHAnsi" w:cstheme="minorBidi"/>
          <w:sz w:val="24"/>
          <w:szCs w:val="24"/>
        </w:rPr>
        <w:t xml:space="preserve">This report also demonstrates progress in developing an improved understanding of changing population health needs, in relation to covid, during the pandemic and the future impacts upon the population. In this regard the model combines the cohort approach with the susceptible, incidence and recovery modelling created during the pandemic. It aims to project the future impact of covid upon population dynamics in relation to any additional </w:t>
      </w:r>
      <w:r w:rsidRPr="5E4DB3C2">
        <w:rPr>
          <w:rFonts w:asciiTheme="minorHAnsi" w:hAnsiTheme="minorHAnsi" w:cstheme="minorBidi"/>
          <w:sz w:val="24"/>
          <w:szCs w:val="24"/>
        </w:rPr>
        <w:lastRenderedPageBreak/>
        <w:t>deaths and heightened incidence of certain diseases following covid. The model helps illustrate the impact that covid has on the West Kent population:</w:t>
      </w:r>
    </w:p>
    <w:p w14:paraId="24BDB104" w14:textId="77777777" w:rsidR="007119C9" w:rsidRPr="00286B78" w:rsidRDefault="007119C9" w:rsidP="00736781">
      <w:pPr>
        <w:pStyle w:val="BodyText"/>
        <w:numPr>
          <w:ilvl w:val="0"/>
          <w:numId w:val="29"/>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Increased deaths for older populations, particularly in dementia and diabetes cohorts.</w:t>
      </w:r>
    </w:p>
    <w:p w14:paraId="1C3CBC2C" w14:textId="77777777" w:rsidR="007119C9" w:rsidRPr="00286B78" w:rsidRDefault="007119C9" w:rsidP="00736781">
      <w:pPr>
        <w:pStyle w:val="BodyText"/>
        <w:numPr>
          <w:ilvl w:val="0"/>
          <w:numId w:val="29"/>
        </w:numPr>
        <w:spacing w:line="276" w:lineRule="auto"/>
        <w:jc w:val="left"/>
        <w:rPr>
          <w:rFonts w:asciiTheme="minorHAnsi" w:hAnsiTheme="minorHAnsi" w:cstheme="minorBidi"/>
          <w:sz w:val="24"/>
          <w:szCs w:val="24"/>
        </w:rPr>
      </w:pPr>
      <w:r w:rsidRPr="5E4DB3C2">
        <w:rPr>
          <w:rFonts w:asciiTheme="minorHAnsi" w:hAnsiTheme="minorHAnsi" w:cstheme="minorBidi"/>
          <w:sz w:val="24"/>
          <w:szCs w:val="24"/>
        </w:rPr>
        <w:t xml:space="preserve">A slight decrease in prevalence for coronary heart disease, stroke and diabetes during the pandemic followed by an increase in prevalence due to increased risk from cardiovascular disease and stroke. An increased prevalence of obesity during and following the pandemic adds to the increased risk for diabetes. </w:t>
      </w:r>
    </w:p>
    <w:p w14:paraId="195326C7" w14:textId="13E2C853" w:rsidR="007119C9" w:rsidRPr="00286B78" w:rsidRDefault="007119C9" w:rsidP="00736781">
      <w:pPr>
        <w:pStyle w:val="BodyText"/>
        <w:numPr>
          <w:ilvl w:val="0"/>
          <w:numId w:val="29"/>
        </w:numPr>
        <w:spacing w:line="276" w:lineRule="auto"/>
        <w:jc w:val="left"/>
        <w:rPr>
          <w:b/>
          <w:bCs/>
          <w:sz w:val="24"/>
          <w:szCs w:val="24"/>
        </w:rPr>
      </w:pPr>
      <w:r w:rsidRPr="5E4DB3C2">
        <w:rPr>
          <w:rFonts w:asciiTheme="minorHAnsi" w:hAnsiTheme="minorHAnsi" w:cstheme="minorBidi"/>
          <w:sz w:val="24"/>
          <w:szCs w:val="24"/>
        </w:rPr>
        <w:t>The prevalence of dementia continues to group but is lower than pre pandemic projections.</w:t>
      </w:r>
    </w:p>
    <w:p w14:paraId="260359EA" w14:textId="77777777" w:rsidR="007119C9" w:rsidRPr="00286B78" w:rsidRDefault="007119C9" w:rsidP="00D57E1A">
      <w:pPr>
        <w:pStyle w:val="Heading2"/>
        <w:rPr>
          <w:rFonts w:cstheme="minorHAnsi"/>
        </w:rPr>
      </w:pPr>
      <w:bookmarkStart w:id="205" w:name="_Toc128133873"/>
      <w:r w:rsidRPr="5E4DB3C2">
        <w:t>Factors contributing to changing health needs in West Kent</w:t>
      </w:r>
      <w:bookmarkEnd w:id="205"/>
    </w:p>
    <w:p w14:paraId="699D33A2" w14:textId="77777777" w:rsidR="007119C9" w:rsidRPr="00286B78" w:rsidRDefault="007119C9" w:rsidP="00736781">
      <w:pPr>
        <w:pStyle w:val="BodyText"/>
        <w:spacing w:line="276" w:lineRule="auto"/>
        <w:ind w:left="0"/>
        <w:jc w:val="left"/>
        <w:rPr>
          <w:rFonts w:asciiTheme="minorHAnsi" w:hAnsiTheme="minorHAnsi" w:cstheme="minorHAnsi"/>
          <w:sz w:val="24"/>
          <w:szCs w:val="24"/>
        </w:rPr>
      </w:pPr>
      <w:r w:rsidRPr="00286B78">
        <w:rPr>
          <w:rFonts w:asciiTheme="minorHAnsi" w:hAnsiTheme="minorHAnsi" w:cstheme="minorHAnsi"/>
          <w:sz w:val="24"/>
          <w:szCs w:val="24"/>
        </w:rPr>
        <w:t>The factors contributing to demographic change, and therefore to the shape of future health needs, include:</w:t>
      </w:r>
    </w:p>
    <w:p w14:paraId="4ED2AE95" w14:textId="77777777" w:rsidR="007119C9" w:rsidRPr="00286B78" w:rsidRDefault="007119C9" w:rsidP="00736781">
      <w:pPr>
        <w:pStyle w:val="BodyText"/>
        <w:numPr>
          <w:ilvl w:val="0"/>
          <w:numId w:val="22"/>
        </w:numPr>
        <w:spacing w:before="60" w:line="276" w:lineRule="auto"/>
        <w:ind w:left="715"/>
        <w:jc w:val="left"/>
        <w:rPr>
          <w:rFonts w:asciiTheme="minorHAnsi" w:hAnsiTheme="minorHAnsi" w:cstheme="minorBidi"/>
          <w:sz w:val="24"/>
          <w:szCs w:val="24"/>
        </w:rPr>
      </w:pPr>
      <w:r w:rsidRPr="740CDBE4">
        <w:rPr>
          <w:rFonts w:asciiTheme="minorHAnsi" w:hAnsiTheme="minorHAnsi" w:cstheme="minorBidi"/>
          <w:sz w:val="24"/>
          <w:szCs w:val="24"/>
        </w:rPr>
        <w:t xml:space="preserve">Natural demographic growth, which will contribute an ageing process reflecting the national picture and will lead to increases in the </w:t>
      </w:r>
      <w:bookmarkStart w:id="206" w:name="_Int_sXV8xOOp"/>
      <w:r w:rsidRPr="740CDBE4">
        <w:rPr>
          <w:rFonts w:asciiTheme="minorHAnsi" w:hAnsiTheme="minorHAnsi" w:cstheme="minorBidi"/>
          <w:sz w:val="24"/>
          <w:szCs w:val="24"/>
        </w:rPr>
        <w:t>very old</w:t>
      </w:r>
      <w:bookmarkEnd w:id="206"/>
      <w:r w:rsidRPr="740CDBE4">
        <w:rPr>
          <w:rFonts w:asciiTheme="minorHAnsi" w:hAnsiTheme="minorHAnsi" w:cstheme="minorBidi"/>
          <w:sz w:val="24"/>
          <w:szCs w:val="24"/>
        </w:rPr>
        <w:t xml:space="preserve"> who are likely to be frail.</w:t>
      </w:r>
    </w:p>
    <w:p w14:paraId="03807714" w14:textId="77777777" w:rsidR="007119C9" w:rsidRPr="00286B78" w:rsidRDefault="007119C9" w:rsidP="00736781">
      <w:pPr>
        <w:pStyle w:val="BodyText"/>
        <w:numPr>
          <w:ilvl w:val="0"/>
          <w:numId w:val="22"/>
        </w:numPr>
        <w:spacing w:before="60" w:line="276" w:lineRule="auto"/>
        <w:ind w:left="715"/>
        <w:jc w:val="left"/>
        <w:rPr>
          <w:rFonts w:asciiTheme="minorHAnsi" w:hAnsiTheme="minorHAnsi" w:cstheme="minorBidi"/>
          <w:sz w:val="24"/>
          <w:szCs w:val="24"/>
        </w:rPr>
      </w:pPr>
      <w:r w:rsidRPr="740CDBE4">
        <w:rPr>
          <w:rFonts w:asciiTheme="minorHAnsi" w:hAnsiTheme="minorHAnsi" w:cstheme="minorBidi"/>
          <w:sz w:val="24"/>
          <w:szCs w:val="24"/>
        </w:rPr>
        <w:t xml:space="preserve">Net-migration, which in Kent is significant, and in the short term adds </w:t>
      </w:r>
      <w:bookmarkStart w:id="207" w:name="_Int_T0oWHqkE"/>
      <w:r w:rsidRPr="740CDBE4">
        <w:rPr>
          <w:rFonts w:asciiTheme="minorHAnsi" w:hAnsiTheme="minorHAnsi" w:cstheme="minorBidi"/>
          <w:sz w:val="24"/>
          <w:szCs w:val="24"/>
        </w:rPr>
        <w:t>relatively young</w:t>
      </w:r>
      <w:bookmarkEnd w:id="207"/>
      <w:r w:rsidRPr="740CDBE4">
        <w:rPr>
          <w:rFonts w:asciiTheme="minorHAnsi" w:hAnsiTheme="minorHAnsi" w:cstheme="minorBidi"/>
          <w:sz w:val="24"/>
          <w:szCs w:val="24"/>
        </w:rPr>
        <w:t xml:space="preserve"> and therefore overall healthy people.</w:t>
      </w:r>
    </w:p>
    <w:p w14:paraId="7264F1C9" w14:textId="77777777" w:rsidR="007119C9" w:rsidRPr="00286B78" w:rsidRDefault="007119C9" w:rsidP="00736781">
      <w:pPr>
        <w:pStyle w:val="BodyText"/>
        <w:numPr>
          <w:ilvl w:val="0"/>
          <w:numId w:val="22"/>
        </w:numPr>
        <w:spacing w:before="60" w:line="276" w:lineRule="auto"/>
        <w:ind w:left="715"/>
        <w:jc w:val="left"/>
        <w:rPr>
          <w:rFonts w:asciiTheme="minorHAnsi" w:hAnsiTheme="minorHAnsi" w:cstheme="minorHAnsi"/>
          <w:sz w:val="24"/>
          <w:szCs w:val="24"/>
        </w:rPr>
      </w:pPr>
      <w:r w:rsidRPr="00286B78">
        <w:rPr>
          <w:rFonts w:asciiTheme="minorHAnsi" w:hAnsiTheme="minorHAnsi" w:cstheme="minorHAnsi"/>
          <w:sz w:val="24"/>
          <w:szCs w:val="24"/>
        </w:rPr>
        <w:t>The prevalence of risk factors that impact on the incidence of specific health conditions, leading to an increase in people with specific or multiple conditions.</w:t>
      </w:r>
    </w:p>
    <w:p w14:paraId="259C9CB7" w14:textId="0B96FF69" w:rsidR="007119C9" w:rsidRPr="00286B78" w:rsidRDefault="007119C9" w:rsidP="00736781">
      <w:pPr>
        <w:pStyle w:val="BodyText"/>
        <w:numPr>
          <w:ilvl w:val="0"/>
          <w:numId w:val="22"/>
        </w:numPr>
        <w:spacing w:before="60" w:line="276" w:lineRule="auto"/>
        <w:ind w:left="715"/>
        <w:jc w:val="left"/>
        <w:rPr>
          <w:rFonts w:asciiTheme="minorHAnsi" w:hAnsiTheme="minorHAnsi" w:cstheme="minorHAnsi"/>
          <w:sz w:val="24"/>
          <w:szCs w:val="24"/>
        </w:rPr>
      </w:pPr>
      <w:r w:rsidRPr="00286B78">
        <w:rPr>
          <w:rFonts w:asciiTheme="minorHAnsi" w:hAnsiTheme="minorHAnsi" w:cstheme="minorHAnsi"/>
          <w:sz w:val="24"/>
          <w:szCs w:val="24"/>
        </w:rPr>
        <w:t>Figure 1</w:t>
      </w:r>
      <w:r>
        <w:rPr>
          <w:rFonts w:asciiTheme="minorHAnsi" w:hAnsiTheme="minorHAnsi" w:cstheme="minorHAnsi"/>
          <w:sz w:val="24"/>
          <w:szCs w:val="24"/>
        </w:rPr>
        <w:t>1</w:t>
      </w:r>
      <w:r w:rsidR="006D7B54">
        <w:rPr>
          <w:rFonts w:asciiTheme="minorHAnsi" w:hAnsiTheme="minorHAnsi" w:cstheme="minorHAnsi"/>
          <w:sz w:val="24"/>
          <w:szCs w:val="24"/>
        </w:rPr>
        <w:t>6</w:t>
      </w:r>
      <w:r w:rsidRPr="00286B78">
        <w:rPr>
          <w:rFonts w:asciiTheme="minorHAnsi" w:hAnsiTheme="minorHAnsi" w:cstheme="minorHAnsi"/>
          <w:sz w:val="24"/>
          <w:szCs w:val="24"/>
        </w:rPr>
        <w:t xml:space="preserve"> shows the base case scenario with changes in underlying risk factors continuing to have a positive impact on health outcomes.</w:t>
      </w:r>
    </w:p>
    <w:p w14:paraId="0434D327" w14:textId="2016AD24" w:rsidR="007119C9" w:rsidRPr="00954934" w:rsidRDefault="00736781" w:rsidP="00736781">
      <w:pPr>
        <w:pStyle w:val="BodyText"/>
        <w:spacing w:before="60"/>
        <w:ind w:left="0"/>
        <w:jc w:val="left"/>
        <w:rPr>
          <w:rFonts w:asciiTheme="minorHAnsi" w:hAnsiTheme="minorHAnsi" w:cstheme="minorBidi"/>
          <w:b/>
          <w:bCs/>
          <w:sz w:val="24"/>
          <w:szCs w:val="24"/>
        </w:rPr>
      </w:pPr>
      <w:r w:rsidRPr="32F7F25D">
        <w:rPr>
          <w:rFonts w:asciiTheme="minorHAnsi" w:hAnsiTheme="minorHAnsi" w:cstheme="minorBidi"/>
          <w:b/>
          <w:bCs/>
          <w:sz w:val="24"/>
          <w:szCs w:val="24"/>
        </w:rPr>
        <w:t>Figure</w:t>
      </w:r>
      <w:r w:rsidR="0033284E">
        <w:rPr>
          <w:rFonts w:asciiTheme="minorHAnsi" w:hAnsiTheme="minorHAnsi" w:cstheme="minorBidi"/>
          <w:b/>
          <w:bCs/>
          <w:sz w:val="24"/>
          <w:szCs w:val="24"/>
        </w:rPr>
        <w:t xml:space="preserve"> </w:t>
      </w:r>
      <w:r w:rsidRPr="32F7F25D">
        <w:rPr>
          <w:rFonts w:asciiTheme="minorHAnsi" w:hAnsiTheme="minorHAnsi" w:cstheme="minorBidi"/>
          <w:b/>
          <w:bCs/>
          <w:sz w:val="24"/>
          <w:szCs w:val="24"/>
        </w:rPr>
        <w:t>1</w:t>
      </w:r>
      <w:r>
        <w:rPr>
          <w:rFonts w:asciiTheme="minorHAnsi" w:hAnsiTheme="minorHAnsi" w:cstheme="minorBidi"/>
          <w:b/>
          <w:bCs/>
          <w:sz w:val="24"/>
          <w:szCs w:val="24"/>
        </w:rPr>
        <w:t>1</w:t>
      </w:r>
      <w:r w:rsidR="006D7B54">
        <w:rPr>
          <w:rFonts w:asciiTheme="minorHAnsi" w:hAnsiTheme="minorHAnsi" w:cstheme="minorBidi"/>
          <w:b/>
          <w:bCs/>
          <w:sz w:val="24"/>
          <w:szCs w:val="24"/>
        </w:rPr>
        <w:t>6</w:t>
      </w:r>
      <w:r w:rsidRPr="32F7F25D">
        <w:rPr>
          <w:rFonts w:asciiTheme="minorHAnsi" w:hAnsiTheme="minorHAnsi" w:cstheme="minorBidi"/>
          <w:b/>
          <w:bCs/>
          <w:sz w:val="24"/>
          <w:szCs w:val="24"/>
        </w:rPr>
        <w:t xml:space="preserve">: West Kent modelled population growth – healthy, with a health condition, with multiple and complex condition and frail, base case </w:t>
      </w:r>
      <w:r w:rsidR="00C56D15" w:rsidRPr="32F7F25D">
        <w:rPr>
          <w:rFonts w:asciiTheme="minorHAnsi" w:hAnsiTheme="minorHAnsi" w:cstheme="minorBidi"/>
          <w:b/>
          <w:bCs/>
          <w:sz w:val="24"/>
          <w:szCs w:val="24"/>
        </w:rPr>
        <w:t>scenario.</w:t>
      </w:r>
    </w:p>
    <w:p w14:paraId="7E19B2EC" w14:textId="33EA5F38" w:rsidR="007119C9" w:rsidRDefault="007119C9" w:rsidP="00736781">
      <w:pPr>
        <w:pStyle w:val="BodyText"/>
        <w:spacing w:before="60"/>
        <w:jc w:val="left"/>
      </w:pPr>
      <w:r>
        <w:rPr>
          <w:noProof/>
          <w:color w:val="2B579A"/>
          <w:shd w:val="clear" w:color="auto" w:fill="E6E6E6"/>
        </w:rPr>
        <w:drawing>
          <wp:inline distT="0" distB="0" distL="0" distR="0" wp14:anchorId="3A2B62EE" wp14:editId="635DBACF">
            <wp:extent cx="5433222" cy="3129340"/>
            <wp:effectExtent l="0" t="0" r="0" b="0"/>
            <wp:docPr id="752297157" name="Picture 752297157" descr="A stacked bar chart showing West Kent modelled population growth, split by Frail, Multiple, Single and Healthy. The population growth increases consistently from 2018 to 2043, with the proportion of each health condition category remaining relatively consistent year on yea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7157" name="Picture 752297157" descr="A stacked bar chart showing West Kent modelled population growth, split by Frail, Multiple, Single and Healthy. The population growth increases consistently from 2018 to 2043, with the proportion of each health condition category remaining relatively consistent year on year.">
                      <a:extLst>
                        <a:ext uri="{C183D7F6-B498-43B3-948B-1728B52AA6E4}">
                          <adec:decorative xmlns:adec="http://schemas.microsoft.com/office/drawing/2017/decorative" val="0"/>
                        </a:ext>
                      </a:extLs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59151" cy="3144274"/>
                    </a:xfrm>
                    <a:prstGeom prst="rect">
                      <a:avLst/>
                    </a:prstGeom>
                    <a:noFill/>
                  </pic:spPr>
                </pic:pic>
              </a:graphicData>
            </a:graphic>
          </wp:inline>
        </w:drawing>
      </w:r>
    </w:p>
    <w:p w14:paraId="3AF20816" w14:textId="77777777" w:rsidR="007119C9" w:rsidRPr="00286B78" w:rsidRDefault="007119C9" w:rsidP="00736781">
      <w:pPr>
        <w:rPr>
          <w:rFonts w:cstheme="minorHAnsi"/>
        </w:rPr>
      </w:pPr>
      <w:r w:rsidRPr="00286B78">
        <w:rPr>
          <w:rFonts w:cstheme="minorHAnsi"/>
        </w:rPr>
        <w:lastRenderedPageBreak/>
        <w:t xml:space="preserve">The health needs of the population will grow significantly up to 2043, with a higher number and proportion of the population with multiple and complex needs: </w:t>
      </w:r>
    </w:p>
    <w:p w14:paraId="722D13AC" w14:textId="77777777" w:rsidR="007119C9" w:rsidRPr="00286B78" w:rsidRDefault="007119C9" w:rsidP="00736781">
      <w:pPr>
        <w:pStyle w:val="ListParagraph"/>
        <w:numPr>
          <w:ilvl w:val="0"/>
          <w:numId w:val="24"/>
        </w:numPr>
        <w:spacing w:after="160"/>
        <w:rPr>
          <w:rFonts w:cstheme="minorHAnsi"/>
          <w:sz w:val="24"/>
          <w:szCs w:val="24"/>
        </w:rPr>
      </w:pPr>
      <w:r w:rsidRPr="00286B78">
        <w:rPr>
          <w:rFonts w:cstheme="minorHAnsi"/>
          <w:sz w:val="24"/>
          <w:szCs w:val="24"/>
        </w:rPr>
        <w:t>Single long-term conditions will increase by about 20%.</w:t>
      </w:r>
    </w:p>
    <w:p w14:paraId="4658ABF7" w14:textId="77777777" w:rsidR="007119C9" w:rsidRPr="00286B78" w:rsidRDefault="007119C9" w:rsidP="00736781">
      <w:pPr>
        <w:pStyle w:val="ListParagraph"/>
        <w:numPr>
          <w:ilvl w:val="0"/>
          <w:numId w:val="24"/>
        </w:numPr>
        <w:spacing w:after="160"/>
        <w:rPr>
          <w:rFonts w:cstheme="minorHAnsi"/>
          <w:sz w:val="24"/>
          <w:szCs w:val="24"/>
        </w:rPr>
      </w:pPr>
      <w:r w:rsidRPr="00286B78">
        <w:rPr>
          <w:rFonts w:cstheme="minorHAnsi"/>
          <w:sz w:val="24"/>
          <w:szCs w:val="24"/>
        </w:rPr>
        <w:t>Multiple and complex conditions will increase by about 66% and.</w:t>
      </w:r>
    </w:p>
    <w:p w14:paraId="52C9ED95" w14:textId="77777777" w:rsidR="007119C9" w:rsidRPr="00286B78" w:rsidRDefault="007119C9" w:rsidP="00736781">
      <w:pPr>
        <w:pStyle w:val="ListParagraph"/>
        <w:numPr>
          <w:ilvl w:val="0"/>
          <w:numId w:val="24"/>
        </w:numPr>
        <w:spacing w:after="160"/>
        <w:rPr>
          <w:rFonts w:cstheme="minorHAnsi"/>
          <w:sz w:val="24"/>
          <w:szCs w:val="24"/>
        </w:rPr>
      </w:pPr>
      <w:r w:rsidRPr="00286B78">
        <w:rPr>
          <w:rFonts w:cstheme="minorHAnsi"/>
          <w:sz w:val="24"/>
          <w:szCs w:val="24"/>
        </w:rPr>
        <w:t>Frailty (severe) will increase by about 63%.</w:t>
      </w:r>
    </w:p>
    <w:p w14:paraId="27AC5894" w14:textId="74B085A1" w:rsidR="007119C9" w:rsidRDefault="007119C9" w:rsidP="00E20573">
      <w:r w:rsidRPr="32F7F25D">
        <w:t xml:space="preserve">The base case scenario estimates the future impact of underlying risk factors remaining consistent as well as benefits in behaviour changes in relation to smoking prevalence, improved diet and secondary prevention continuing to have an impact in the next 25 years. These historical and projected changes in risk profiles have impacted upon the population to change the disease profile of the population. The changing risk profile and an ageing population in a higher prevalence of diabetes, dementia, and neurological conditions (Table </w:t>
      </w:r>
      <w:r>
        <w:t>2</w:t>
      </w:r>
      <w:r w:rsidR="00FA57C8">
        <w:t>2</w:t>
      </w:r>
      <w:r w:rsidRPr="32F7F25D">
        <w:t>).</w:t>
      </w:r>
    </w:p>
    <w:p w14:paraId="19CEEB60" w14:textId="7A0DC948" w:rsidR="007119C9" w:rsidRPr="00C56D15" w:rsidRDefault="007119C9" w:rsidP="00E11A86">
      <w:pPr>
        <w:pStyle w:val="BodyText"/>
        <w:spacing w:before="60" w:after="240"/>
        <w:ind w:left="0"/>
        <w:jc w:val="left"/>
        <w:rPr>
          <w:rFonts w:ascii="Calibri" w:eastAsiaTheme="minorEastAsia" w:hAnsi="Calibri" w:cs="Calibri"/>
          <w:b/>
          <w:sz w:val="24"/>
          <w:szCs w:val="24"/>
        </w:rPr>
      </w:pPr>
      <w:r w:rsidRPr="00C56D15">
        <w:rPr>
          <w:rFonts w:ascii="Calibri" w:hAnsi="Calibri" w:cs="Calibri"/>
          <w:b/>
          <w:sz w:val="24"/>
          <w:szCs w:val="24"/>
        </w:rPr>
        <w:t>Table 2</w:t>
      </w:r>
      <w:r w:rsidR="00FA57C8">
        <w:rPr>
          <w:rFonts w:ascii="Calibri" w:hAnsi="Calibri" w:cs="Calibri"/>
          <w:b/>
          <w:sz w:val="24"/>
          <w:szCs w:val="24"/>
        </w:rPr>
        <w:t>2</w:t>
      </w:r>
      <w:r w:rsidRPr="00C56D15">
        <w:rPr>
          <w:rFonts w:ascii="Calibri" w:hAnsi="Calibri" w:cs="Calibri"/>
          <w:b/>
          <w:sz w:val="24"/>
          <w:szCs w:val="24"/>
        </w:rPr>
        <w:t xml:space="preserve">: </w:t>
      </w:r>
      <w:r w:rsidRPr="00C56D15">
        <w:rPr>
          <w:rFonts w:ascii="Calibri" w:eastAsiaTheme="minorEastAsia" w:hAnsi="Calibri" w:cs="Calibri"/>
          <w:b/>
          <w:sz w:val="24"/>
          <w:szCs w:val="24"/>
        </w:rPr>
        <w:t xml:space="preserve">West Kent modelled cohort growth – cohort number and percent, base case </w:t>
      </w:r>
      <w:r w:rsidR="00C56D15" w:rsidRPr="00C56D15">
        <w:rPr>
          <w:rFonts w:ascii="Calibri" w:eastAsiaTheme="minorEastAsia" w:hAnsi="Calibri" w:cs="Calibri"/>
          <w:b/>
          <w:sz w:val="24"/>
          <w:szCs w:val="24"/>
        </w:rPr>
        <w:t>scenario.</w:t>
      </w:r>
    </w:p>
    <w:tbl>
      <w:tblPr>
        <w:tblW w:w="9729" w:type="dxa"/>
        <w:tblInd w:w="113" w:type="dxa"/>
        <w:tblLook w:val="04A0" w:firstRow="1" w:lastRow="0" w:firstColumn="1" w:lastColumn="0" w:noHBand="0" w:noVBand="1"/>
      </w:tblPr>
      <w:tblGrid>
        <w:gridCol w:w="1262"/>
        <w:gridCol w:w="1163"/>
        <w:gridCol w:w="976"/>
        <w:gridCol w:w="976"/>
        <w:gridCol w:w="976"/>
        <w:gridCol w:w="976"/>
        <w:gridCol w:w="976"/>
        <w:gridCol w:w="976"/>
        <w:gridCol w:w="1212"/>
        <w:gridCol w:w="236"/>
      </w:tblGrid>
      <w:tr w:rsidR="00E12735" w:rsidRPr="00E12735" w14:paraId="10AE1F4F" w14:textId="77777777" w:rsidTr="001C1CE1">
        <w:trPr>
          <w:gridAfter w:val="1"/>
          <w:wAfter w:w="236" w:type="dxa"/>
          <w:trHeight w:val="537"/>
        </w:trPr>
        <w:tc>
          <w:tcPr>
            <w:tcW w:w="1262" w:type="dxa"/>
            <w:vMerge w:val="restart"/>
            <w:tcBorders>
              <w:top w:val="single" w:sz="4" w:space="0" w:color="auto"/>
              <w:left w:val="single" w:sz="4" w:space="0" w:color="auto"/>
              <w:bottom w:val="single" w:sz="4" w:space="0" w:color="auto"/>
              <w:right w:val="single" w:sz="4" w:space="0" w:color="auto"/>
            </w:tcBorders>
            <w:shd w:val="clear" w:color="auto" w:fill="2D7C82"/>
            <w:noWrap/>
            <w:vAlign w:val="center"/>
            <w:hideMark/>
          </w:tcPr>
          <w:p w14:paraId="61EE6ECD" w14:textId="77777777" w:rsidR="00E12735" w:rsidRPr="00E12735" w:rsidRDefault="00E12735" w:rsidP="00E12735">
            <w:pPr>
              <w:spacing w:before="0" w:after="0" w:line="240" w:lineRule="auto"/>
              <w:jc w:val="both"/>
              <w:rPr>
                <w:rFonts w:ascii="Arial" w:eastAsia="Times New Roman" w:hAnsi="Arial"/>
                <w:b/>
                <w:bCs/>
                <w:color w:val="FFFFFF"/>
                <w:sz w:val="22"/>
                <w:szCs w:val="22"/>
              </w:rPr>
            </w:pPr>
            <w:r w:rsidRPr="00E12735">
              <w:rPr>
                <w:rFonts w:ascii="Arial" w:eastAsia="Times New Roman" w:hAnsi="Arial"/>
                <w:b/>
                <w:bCs/>
                <w:color w:val="FFFFFF"/>
                <w:sz w:val="22"/>
                <w:szCs w:val="22"/>
              </w:rPr>
              <w:t>Condition</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2D7C82"/>
            <w:noWrap/>
            <w:vAlign w:val="center"/>
            <w:hideMark/>
          </w:tcPr>
          <w:p w14:paraId="131D8637" w14:textId="77777777" w:rsidR="00E12735" w:rsidRPr="00E12735" w:rsidRDefault="00E12735" w:rsidP="00E12735">
            <w:pPr>
              <w:spacing w:before="0" w:after="0" w:line="240" w:lineRule="auto"/>
              <w:jc w:val="both"/>
              <w:rPr>
                <w:rFonts w:ascii="Arial" w:eastAsia="Times New Roman" w:hAnsi="Arial"/>
                <w:b/>
                <w:bCs/>
                <w:color w:val="FFFFFF"/>
                <w:sz w:val="22"/>
                <w:szCs w:val="22"/>
              </w:rPr>
            </w:pPr>
            <w:r w:rsidRPr="00E12735">
              <w:rPr>
                <w:rFonts w:ascii="Arial" w:eastAsia="Times New Roman" w:hAnsi="Arial"/>
                <w:b/>
                <w:bCs/>
                <w:color w:val="FFFFFF"/>
                <w:sz w:val="22"/>
                <w:szCs w:val="22"/>
              </w:rPr>
              <w:t>Indicator</w:t>
            </w:r>
          </w:p>
        </w:tc>
        <w:tc>
          <w:tcPr>
            <w:tcW w:w="976" w:type="dxa"/>
            <w:vMerge w:val="restart"/>
            <w:tcBorders>
              <w:top w:val="single" w:sz="4" w:space="0" w:color="auto"/>
              <w:left w:val="single" w:sz="4" w:space="0" w:color="auto"/>
              <w:bottom w:val="single" w:sz="4" w:space="0" w:color="auto"/>
              <w:right w:val="single" w:sz="4" w:space="0" w:color="auto"/>
            </w:tcBorders>
            <w:shd w:val="clear" w:color="auto" w:fill="2D7C82"/>
            <w:noWrap/>
            <w:vAlign w:val="center"/>
            <w:hideMark/>
          </w:tcPr>
          <w:p w14:paraId="6EB2BA5A" w14:textId="77777777" w:rsidR="00E12735" w:rsidRPr="00E12735" w:rsidRDefault="00E12735" w:rsidP="00E12735">
            <w:pPr>
              <w:spacing w:before="0" w:after="0" w:line="240" w:lineRule="auto"/>
              <w:jc w:val="center"/>
              <w:rPr>
                <w:rFonts w:ascii="Arial" w:eastAsia="Times New Roman" w:hAnsi="Arial"/>
                <w:b/>
                <w:bCs/>
                <w:color w:val="FFFFFF"/>
                <w:sz w:val="22"/>
                <w:szCs w:val="22"/>
              </w:rPr>
            </w:pPr>
            <w:r w:rsidRPr="00E12735">
              <w:rPr>
                <w:rFonts w:ascii="Arial" w:eastAsia="Times New Roman" w:hAnsi="Arial"/>
                <w:b/>
                <w:bCs/>
                <w:color w:val="FFFFFF"/>
                <w:sz w:val="22"/>
                <w:szCs w:val="22"/>
              </w:rPr>
              <w:t>2018</w:t>
            </w:r>
          </w:p>
        </w:tc>
        <w:tc>
          <w:tcPr>
            <w:tcW w:w="976" w:type="dxa"/>
            <w:vMerge w:val="restart"/>
            <w:tcBorders>
              <w:top w:val="single" w:sz="4" w:space="0" w:color="auto"/>
              <w:left w:val="single" w:sz="4" w:space="0" w:color="auto"/>
              <w:bottom w:val="single" w:sz="4" w:space="0" w:color="auto"/>
              <w:right w:val="single" w:sz="4" w:space="0" w:color="auto"/>
            </w:tcBorders>
            <w:shd w:val="clear" w:color="auto" w:fill="2D7C82"/>
            <w:noWrap/>
            <w:vAlign w:val="center"/>
            <w:hideMark/>
          </w:tcPr>
          <w:p w14:paraId="59A40EBF" w14:textId="77777777" w:rsidR="00E12735" w:rsidRPr="00E12735" w:rsidRDefault="00E12735" w:rsidP="00E12735">
            <w:pPr>
              <w:spacing w:before="0" w:after="0" w:line="240" w:lineRule="auto"/>
              <w:jc w:val="center"/>
              <w:rPr>
                <w:rFonts w:ascii="Arial" w:eastAsia="Times New Roman" w:hAnsi="Arial"/>
                <w:b/>
                <w:bCs/>
                <w:color w:val="FFFFFF"/>
                <w:sz w:val="22"/>
                <w:szCs w:val="22"/>
              </w:rPr>
            </w:pPr>
            <w:r w:rsidRPr="00E12735">
              <w:rPr>
                <w:rFonts w:ascii="Arial" w:eastAsia="Times New Roman" w:hAnsi="Arial"/>
                <w:b/>
                <w:bCs/>
                <w:color w:val="FFFFFF"/>
                <w:sz w:val="22"/>
                <w:szCs w:val="22"/>
              </w:rPr>
              <w:t>2019</w:t>
            </w:r>
          </w:p>
        </w:tc>
        <w:tc>
          <w:tcPr>
            <w:tcW w:w="976" w:type="dxa"/>
            <w:vMerge w:val="restart"/>
            <w:tcBorders>
              <w:top w:val="single" w:sz="4" w:space="0" w:color="auto"/>
              <w:left w:val="single" w:sz="4" w:space="0" w:color="auto"/>
              <w:bottom w:val="single" w:sz="4" w:space="0" w:color="auto"/>
              <w:right w:val="single" w:sz="4" w:space="0" w:color="auto"/>
            </w:tcBorders>
            <w:shd w:val="clear" w:color="auto" w:fill="2D7C82"/>
            <w:noWrap/>
            <w:vAlign w:val="center"/>
            <w:hideMark/>
          </w:tcPr>
          <w:p w14:paraId="05D69F90" w14:textId="77777777" w:rsidR="00E12735" w:rsidRPr="00E12735" w:rsidRDefault="00E12735" w:rsidP="00E12735">
            <w:pPr>
              <w:spacing w:before="0" w:after="0" w:line="240" w:lineRule="auto"/>
              <w:jc w:val="center"/>
              <w:rPr>
                <w:rFonts w:ascii="Arial" w:eastAsia="Times New Roman" w:hAnsi="Arial"/>
                <w:b/>
                <w:bCs/>
                <w:color w:val="FFFFFF"/>
                <w:sz w:val="22"/>
                <w:szCs w:val="22"/>
              </w:rPr>
            </w:pPr>
            <w:r w:rsidRPr="00E12735">
              <w:rPr>
                <w:rFonts w:ascii="Arial" w:eastAsia="Times New Roman" w:hAnsi="Arial"/>
                <w:b/>
                <w:bCs/>
                <w:color w:val="FFFFFF"/>
                <w:sz w:val="22"/>
                <w:szCs w:val="22"/>
              </w:rPr>
              <w:t>2020</w:t>
            </w:r>
          </w:p>
        </w:tc>
        <w:tc>
          <w:tcPr>
            <w:tcW w:w="976" w:type="dxa"/>
            <w:vMerge w:val="restart"/>
            <w:tcBorders>
              <w:top w:val="single" w:sz="4" w:space="0" w:color="auto"/>
              <w:left w:val="single" w:sz="4" w:space="0" w:color="auto"/>
              <w:bottom w:val="single" w:sz="4" w:space="0" w:color="auto"/>
              <w:right w:val="single" w:sz="4" w:space="0" w:color="auto"/>
            </w:tcBorders>
            <w:shd w:val="clear" w:color="auto" w:fill="2D7C82"/>
            <w:noWrap/>
            <w:vAlign w:val="center"/>
            <w:hideMark/>
          </w:tcPr>
          <w:p w14:paraId="15B4198D" w14:textId="77777777" w:rsidR="00E12735" w:rsidRPr="00E12735" w:rsidRDefault="00E12735" w:rsidP="00E12735">
            <w:pPr>
              <w:spacing w:before="0" w:after="0" w:line="240" w:lineRule="auto"/>
              <w:jc w:val="center"/>
              <w:rPr>
                <w:rFonts w:ascii="Arial" w:eastAsia="Times New Roman" w:hAnsi="Arial"/>
                <w:b/>
                <w:bCs/>
                <w:color w:val="FFFFFF"/>
                <w:sz w:val="22"/>
                <w:szCs w:val="22"/>
              </w:rPr>
            </w:pPr>
            <w:r w:rsidRPr="00E12735">
              <w:rPr>
                <w:rFonts w:ascii="Arial" w:eastAsia="Times New Roman" w:hAnsi="Arial"/>
                <w:b/>
                <w:bCs/>
                <w:color w:val="FFFFFF"/>
                <w:sz w:val="22"/>
                <w:szCs w:val="22"/>
              </w:rPr>
              <w:t>2021</w:t>
            </w:r>
          </w:p>
        </w:tc>
        <w:tc>
          <w:tcPr>
            <w:tcW w:w="976" w:type="dxa"/>
            <w:vMerge w:val="restart"/>
            <w:tcBorders>
              <w:top w:val="single" w:sz="4" w:space="0" w:color="auto"/>
              <w:left w:val="single" w:sz="4" w:space="0" w:color="auto"/>
              <w:bottom w:val="single" w:sz="4" w:space="0" w:color="auto"/>
              <w:right w:val="single" w:sz="4" w:space="0" w:color="auto"/>
            </w:tcBorders>
            <w:shd w:val="clear" w:color="auto" w:fill="2D7C82"/>
            <w:noWrap/>
            <w:vAlign w:val="center"/>
            <w:hideMark/>
          </w:tcPr>
          <w:p w14:paraId="3944FF94" w14:textId="77777777" w:rsidR="00E12735" w:rsidRPr="00E12735" w:rsidRDefault="00E12735" w:rsidP="00E12735">
            <w:pPr>
              <w:spacing w:before="0" w:after="0" w:line="240" w:lineRule="auto"/>
              <w:jc w:val="center"/>
              <w:rPr>
                <w:rFonts w:ascii="Arial" w:eastAsia="Times New Roman" w:hAnsi="Arial"/>
                <w:b/>
                <w:bCs/>
                <w:color w:val="FFFFFF"/>
                <w:sz w:val="22"/>
                <w:szCs w:val="22"/>
              </w:rPr>
            </w:pPr>
            <w:r w:rsidRPr="00E12735">
              <w:rPr>
                <w:rFonts w:ascii="Arial" w:eastAsia="Times New Roman" w:hAnsi="Arial"/>
                <w:b/>
                <w:bCs/>
                <w:color w:val="FFFFFF"/>
                <w:sz w:val="22"/>
                <w:szCs w:val="22"/>
              </w:rPr>
              <w:t>2022</w:t>
            </w:r>
          </w:p>
        </w:tc>
        <w:tc>
          <w:tcPr>
            <w:tcW w:w="976" w:type="dxa"/>
            <w:vMerge w:val="restart"/>
            <w:tcBorders>
              <w:top w:val="single" w:sz="4" w:space="0" w:color="auto"/>
              <w:left w:val="single" w:sz="4" w:space="0" w:color="auto"/>
              <w:bottom w:val="single" w:sz="4" w:space="0" w:color="auto"/>
              <w:right w:val="single" w:sz="4" w:space="0" w:color="auto"/>
            </w:tcBorders>
            <w:shd w:val="clear" w:color="auto" w:fill="2D7C82"/>
            <w:noWrap/>
            <w:vAlign w:val="center"/>
            <w:hideMark/>
          </w:tcPr>
          <w:p w14:paraId="270DA3F0" w14:textId="77777777" w:rsidR="00E12735" w:rsidRPr="00E12735" w:rsidRDefault="00E12735" w:rsidP="00E12735">
            <w:pPr>
              <w:spacing w:before="0" w:after="0" w:line="240" w:lineRule="auto"/>
              <w:jc w:val="center"/>
              <w:rPr>
                <w:rFonts w:ascii="Arial" w:eastAsia="Times New Roman" w:hAnsi="Arial"/>
                <w:b/>
                <w:bCs/>
                <w:color w:val="FFFFFF"/>
                <w:sz w:val="22"/>
                <w:szCs w:val="22"/>
              </w:rPr>
            </w:pPr>
            <w:r w:rsidRPr="00E12735">
              <w:rPr>
                <w:rFonts w:ascii="Arial" w:eastAsia="Times New Roman" w:hAnsi="Arial"/>
                <w:b/>
                <w:bCs/>
                <w:color w:val="FFFFFF"/>
                <w:sz w:val="22"/>
                <w:szCs w:val="22"/>
              </w:rPr>
              <w:t>2023</w:t>
            </w:r>
          </w:p>
        </w:tc>
        <w:tc>
          <w:tcPr>
            <w:tcW w:w="1212" w:type="dxa"/>
            <w:vMerge w:val="restart"/>
            <w:tcBorders>
              <w:top w:val="single" w:sz="4" w:space="0" w:color="auto"/>
              <w:left w:val="single" w:sz="4" w:space="0" w:color="auto"/>
              <w:bottom w:val="single" w:sz="4" w:space="0" w:color="auto"/>
              <w:right w:val="single" w:sz="4" w:space="0" w:color="auto"/>
            </w:tcBorders>
            <w:shd w:val="clear" w:color="auto" w:fill="2D7C82"/>
            <w:vAlign w:val="center"/>
            <w:hideMark/>
          </w:tcPr>
          <w:p w14:paraId="5156F97D" w14:textId="77777777" w:rsidR="00E12735" w:rsidRPr="00E12735" w:rsidRDefault="00E12735" w:rsidP="00E12735">
            <w:pPr>
              <w:spacing w:before="0" w:after="0" w:line="240" w:lineRule="auto"/>
              <w:jc w:val="both"/>
              <w:rPr>
                <w:rFonts w:ascii="Arial" w:eastAsia="Times New Roman" w:hAnsi="Arial"/>
                <w:b/>
                <w:bCs/>
                <w:color w:val="FFFFFF"/>
                <w:sz w:val="22"/>
                <w:szCs w:val="22"/>
              </w:rPr>
            </w:pPr>
            <w:r w:rsidRPr="00E12735">
              <w:rPr>
                <w:rFonts w:ascii="Arial" w:eastAsia="Times New Roman" w:hAnsi="Arial"/>
                <w:b/>
                <w:bCs/>
                <w:color w:val="FFFFFF"/>
                <w:sz w:val="22"/>
                <w:szCs w:val="22"/>
              </w:rPr>
              <w:t>Percent change</w:t>
            </w:r>
          </w:p>
        </w:tc>
      </w:tr>
      <w:tr w:rsidR="00E12735" w:rsidRPr="00E12735" w14:paraId="170E75F6" w14:textId="77777777" w:rsidTr="001C1CE1">
        <w:trPr>
          <w:trHeight w:val="70"/>
        </w:trPr>
        <w:tc>
          <w:tcPr>
            <w:tcW w:w="1262"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02F3C696"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1163"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5D161466"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976"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331977D5"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976"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7316EAA3"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976"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51345B43"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976"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609DF07B"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976"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261F820A"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976"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21CC8DEE"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1212" w:type="dxa"/>
            <w:vMerge/>
            <w:tcBorders>
              <w:top w:val="single" w:sz="4" w:space="0" w:color="auto"/>
              <w:left w:val="single" w:sz="4" w:space="0" w:color="auto"/>
              <w:bottom w:val="single" w:sz="4" w:space="0" w:color="auto"/>
              <w:right w:val="single" w:sz="4" w:space="0" w:color="auto"/>
            </w:tcBorders>
            <w:shd w:val="clear" w:color="auto" w:fill="2D7C82"/>
            <w:vAlign w:val="center"/>
            <w:hideMark/>
          </w:tcPr>
          <w:p w14:paraId="3F6DA433" w14:textId="77777777" w:rsidR="00E12735" w:rsidRPr="00E12735" w:rsidRDefault="00E12735" w:rsidP="00E12735">
            <w:pPr>
              <w:spacing w:before="0" w:after="0" w:line="240" w:lineRule="auto"/>
              <w:rPr>
                <w:rFonts w:ascii="Arial" w:eastAsia="Times New Roman" w:hAnsi="Arial"/>
                <w:b/>
                <w:bCs/>
                <w:color w:val="FFFFFF"/>
                <w:sz w:val="22"/>
                <w:szCs w:val="22"/>
              </w:rPr>
            </w:pPr>
          </w:p>
        </w:tc>
        <w:tc>
          <w:tcPr>
            <w:tcW w:w="236" w:type="dxa"/>
            <w:tcBorders>
              <w:top w:val="nil"/>
              <w:left w:val="nil"/>
              <w:bottom w:val="nil"/>
              <w:right w:val="nil"/>
            </w:tcBorders>
            <w:shd w:val="clear" w:color="auto" w:fill="auto"/>
            <w:noWrap/>
            <w:vAlign w:val="bottom"/>
            <w:hideMark/>
          </w:tcPr>
          <w:p w14:paraId="6C410FF7" w14:textId="77777777" w:rsidR="00E12735" w:rsidRPr="00736B4D" w:rsidRDefault="00E12735" w:rsidP="00E12735">
            <w:pPr>
              <w:spacing w:before="0" w:after="0" w:line="240" w:lineRule="auto"/>
              <w:jc w:val="both"/>
              <w:rPr>
                <w:rFonts w:ascii="Arial" w:eastAsia="Times New Roman" w:hAnsi="Arial"/>
                <w:b/>
                <w:bCs/>
                <w:color w:val="FFFFFF"/>
                <w:sz w:val="22"/>
                <w:szCs w:val="22"/>
              </w:rPr>
            </w:pPr>
          </w:p>
        </w:tc>
      </w:tr>
      <w:tr w:rsidR="00E12735" w:rsidRPr="00E12735" w14:paraId="20FD0AFC"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20D02254"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Asthma</w:t>
            </w:r>
          </w:p>
        </w:tc>
        <w:tc>
          <w:tcPr>
            <w:tcW w:w="1163" w:type="dxa"/>
            <w:tcBorders>
              <w:top w:val="nil"/>
              <w:left w:val="nil"/>
              <w:bottom w:val="single" w:sz="4" w:space="0" w:color="auto"/>
              <w:right w:val="single" w:sz="4" w:space="0" w:color="auto"/>
            </w:tcBorders>
            <w:shd w:val="clear" w:color="000000" w:fill="DDF1F3"/>
            <w:noWrap/>
            <w:vAlign w:val="center"/>
            <w:hideMark/>
          </w:tcPr>
          <w:p w14:paraId="6BC1C0B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030A076B" w14:textId="587740BD"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67</w:t>
            </w:r>
            <w:r w:rsidR="002337C6">
              <w:rPr>
                <w:rFonts w:ascii="Arial" w:eastAsia="Times New Roman" w:hAnsi="Arial"/>
                <w:color w:val="000000"/>
                <w:sz w:val="22"/>
                <w:szCs w:val="22"/>
              </w:rPr>
              <w:t>,</w:t>
            </w:r>
            <w:r w:rsidRPr="00E12735">
              <w:rPr>
                <w:rFonts w:ascii="Arial" w:eastAsia="Times New Roman" w:hAnsi="Arial"/>
                <w:color w:val="000000"/>
                <w:sz w:val="22"/>
                <w:szCs w:val="22"/>
              </w:rPr>
              <w:t>521</w:t>
            </w:r>
          </w:p>
        </w:tc>
        <w:tc>
          <w:tcPr>
            <w:tcW w:w="976" w:type="dxa"/>
            <w:tcBorders>
              <w:top w:val="nil"/>
              <w:left w:val="nil"/>
              <w:bottom w:val="single" w:sz="4" w:space="0" w:color="auto"/>
              <w:right w:val="single" w:sz="4" w:space="0" w:color="auto"/>
            </w:tcBorders>
            <w:shd w:val="clear" w:color="000000" w:fill="DDF1F3"/>
            <w:noWrap/>
            <w:vAlign w:val="center"/>
            <w:hideMark/>
          </w:tcPr>
          <w:p w14:paraId="32CB4181" w14:textId="3AC151F9"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70</w:t>
            </w:r>
            <w:r w:rsidR="002337C6">
              <w:rPr>
                <w:rFonts w:ascii="Arial" w:eastAsia="Times New Roman" w:hAnsi="Arial"/>
                <w:color w:val="000000"/>
                <w:sz w:val="22"/>
                <w:szCs w:val="22"/>
              </w:rPr>
              <w:t>,</w:t>
            </w:r>
            <w:r w:rsidRPr="00E12735">
              <w:rPr>
                <w:rFonts w:ascii="Arial" w:eastAsia="Times New Roman" w:hAnsi="Arial"/>
                <w:color w:val="000000"/>
                <w:sz w:val="22"/>
                <w:szCs w:val="22"/>
              </w:rPr>
              <w:t>230</w:t>
            </w:r>
          </w:p>
        </w:tc>
        <w:tc>
          <w:tcPr>
            <w:tcW w:w="976" w:type="dxa"/>
            <w:tcBorders>
              <w:top w:val="nil"/>
              <w:left w:val="nil"/>
              <w:bottom w:val="single" w:sz="4" w:space="0" w:color="auto"/>
              <w:right w:val="single" w:sz="4" w:space="0" w:color="auto"/>
            </w:tcBorders>
            <w:shd w:val="clear" w:color="000000" w:fill="DDF1F3"/>
            <w:noWrap/>
            <w:vAlign w:val="center"/>
            <w:hideMark/>
          </w:tcPr>
          <w:p w14:paraId="3A9CBD18" w14:textId="11D98143"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72</w:t>
            </w:r>
            <w:r w:rsidR="002337C6">
              <w:rPr>
                <w:rFonts w:ascii="Arial" w:eastAsia="Times New Roman" w:hAnsi="Arial"/>
                <w:color w:val="000000"/>
                <w:sz w:val="22"/>
                <w:szCs w:val="22"/>
              </w:rPr>
              <w:t>,</w:t>
            </w:r>
            <w:r w:rsidRPr="00E12735">
              <w:rPr>
                <w:rFonts w:ascii="Arial" w:eastAsia="Times New Roman" w:hAnsi="Arial"/>
                <w:color w:val="000000"/>
                <w:sz w:val="22"/>
                <w:szCs w:val="22"/>
              </w:rPr>
              <w:t>498</w:t>
            </w:r>
          </w:p>
        </w:tc>
        <w:tc>
          <w:tcPr>
            <w:tcW w:w="976" w:type="dxa"/>
            <w:tcBorders>
              <w:top w:val="nil"/>
              <w:left w:val="nil"/>
              <w:bottom w:val="single" w:sz="4" w:space="0" w:color="auto"/>
              <w:right w:val="single" w:sz="4" w:space="0" w:color="auto"/>
            </w:tcBorders>
            <w:shd w:val="clear" w:color="000000" w:fill="DDF1F3"/>
            <w:noWrap/>
            <w:vAlign w:val="center"/>
            <w:hideMark/>
          </w:tcPr>
          <w:p w14:paraId="2A0F1A49" w14:textId="31B3A1C3"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74</w:t>
            </w:r>
            <w:r w:rsidR="002337C6">
              <w:rPr>
                <w:rFonts w:ascii="Arial" w:eastAsia="Times New Roman" w:hAnsi="Arial"/>
                <w:color w:val="000000"/>
                <w:sz w:val="22"/>
                <w:szCs w:val="22"/>
              </w:rPr>
              <w:t>,</w:t>
            </w:r>
            <w:r w:rsidRPr="00E12735">
              <w:rPr>
                <w:rFonts w:ascii="Arial" w:eastAsia="Times New Roman" w:hAnsi="Arial"/>
                <w:color w:val="000000"/>
                <w:sz w:val="22"/>
                <w:szCs w:val="22"/>
              </w:rPr>
              <w:t>502</w:t>
            </w:r>
          </w:p>
        </w:tc>
        <w:tc>
          <w:tcPr>
            <w:tcW w:w="976" w:type="dxa"/>
            <w:tcBorders>
              <w:top w:val="nil"/>
              <w:left w:val="nil"/>
              <w:bottom w:val="single" w:sz="4" w:space="0" w:color="auto"/>
              <w:right w:val="single" w:sz="4" w:space="0" w:color="auto"/>
            </w:tcBorders>
            <w:shd w:val="clear" w:color="000000" w:fill="DDF1F3"/>
            <w:noWrap/>
            <w:vAlign w:val="center"/>
            <w:hideMark/>
          </w:tcPr>
          <w:p w14:paraId="207030D2" w14:textId="13C442A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76</w:t>
            </w:r>
            <w:r w:rsidR="002337C6">
              <w:rPr>
                <w:rFonts w:ascii="Arial" w:eastAsia="Times New Roman" w:hAnsi="Arial"/>
                <w:color w:val="000000"/>
                <w:sz w:val="22"/>
                <w:szCs w:val="22"/>
              </w:rPr>
              <w:t>,</w:t>
            </w:r>
            <w:r w:rsidRPr="00E12735">
              <w:rPr>
                <w:rFonts w:ascii="Arial" w:eastAsia="Times New Roman" w:hAnsi="Arial"/>
                <w:color w:val="000000"/>
                <w:sz w:val="22"/>
                <w:szCs w:val="22"/>
              </w:rPr>
              <w:t>413</w:t>
            </w:r>
          </w:p>
        </w:tc>
        <w:tc>
          <w:tcPr>
            <w:tcW w:w="976" w:type="dxa"/>
            <w:tcBorders>
              <w:top w:val="nil"/>
              <w:left w:val="nil"/>
              <w:bottom w:val="single" w:sz="4" w:space="0" w:color="auto"/>
              <w:right w:val="single" w:sz="4" w:space="0" w:color="auto"/>
            </w:tcBorders>
            <w:shd w:val="clear" w:color="000000" w:fill="DDF1F3"/>
            <w:noWrap/>
            <w:vAlign w:val="center"/>
            <w:hideMark/>
          </w:tcPr>
          <w:p w14:paraId="0B0DBB03" w14:textId="50D5F5C3"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78</w:t>
            </w:r>
            <w:r w:rsidR="002337C6">
              <w:rPr>
                <w:rFonts w:ascii="Arial" w:eastAsia="Times New Roman" w:hAnsi="Arial"/>
                <w:color w:val="000000"/>
                <w:sz w:val="22"/>
                <w:szCs w:val="22"/>
              </w:rPr>
              <w:t>,</w:t>
            </w:r>
            <w:r w:rsidRPr="00E12735">
              <w:rPr>
                <w:rFonts w:ascii="Arial" w:eastAsia="Times New Roman" w:hAnsi="Arial"/>
                <w:color w:val="000000"/>
                <w:sz w:val="22"/>
                <w:szCs w:val="22"/>
              </w:rPr>
              <w:t>316</w:t>
            </w:r>
          </w:p>
        </w:tc>
        <w:tc>
          <w:tcPr>
            <w:tcW w:w="1212" w:type="dxa"/>
            <w:tcBorders>
              <w:top w:val="nil"/>
              <w:left w:val="nil"/>
              <w:bottom w:val="single" w:sz="4" w:space="0" w:color="auto"/>
              <w:right w:val="single" w:sz="4" w:space="0" w:color="auto"/>
            </w:tcBorders>
            <w:shd w:val="clear" w:color="000000" w:fill="DDF1F3"/>
            <w:noWrap/>
            <w:vAlign w:val="center"/>
            <w:hideMark/>
          </w:tcPr>
          <w:p w14:paraId="28CC29F3" w14:textId="127846F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16.0%</w:t>
            </w:r>
          </w:p>
        </w:tc>
        <w:tc>
          <w:tcPr>
            <w:tcW w:w="236" w:type="dxa"/>
            <w:vAlign w:val="center"/>
            <w:hideMark/>
          </w:tcPr>
          <w:p w14:paraId="3B720A2C"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4E82E5A6" w14:textId="77777777" w:rsidTr="001C1CE1">
        <w:trPr>
          <w:trHeight w:val="308"/>
        </w:trPr>
        <w:tc>
          <w:tcPr>
            <w:tcW w:w="1262" w:type="dxa"/>
            <w:tcBorders>
              <w:top w:val="nil"/>
              <w:left w:val="single" w:sz="4" w:space="0" w:color="auto"/>
              <w:bottom w:val="single" w:sz="4" w:space="0" w:color="auto"/>
              <w:right w:val="single" w:sz="4" w:space="0" w:color="auto"/>
            </w:tcBorders>
            <w:shd w:val="clear" w:color="auto" w:fill="DDF1F3"/>
            <w:noWrap/>
            <w:vAlign w:val="center"/>
            <w:hideMark/>
          </w:tcPr>
          <w:p w14:paraId="269B269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Asthma</w:t>
            </w:r>
          </w:p>
        </w:tc>
        <w:tc>
          <w:tcPr>
            <w:tcW w:w="1163" w:type="dxa"/>
            <w:tcBorders>
              <w:top w:val="nil"/>
              <w:left w:val="nil"/>
              <w:bottom w:val="single" w:sz="4" w:space="0" w:color="auto"/>
              <w:right w:val="single" w:sz="4" w:space="0" w:color="auto"/>
            </w:tcBorders>
            <w:shd w:val="clear" w:color="auto" w:fill="DDF1F3"/>
            <w:noWrap/>
            <w:vAlign w:val="center"/>
            <w:hideMark/>
          </w:tcPr>
          <w:p w14:paraId="29241572"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auto" w:fill="DDF1F3"/>
            <w:noWrap/>
            <w:vAlign w:val="center"/>
            <w:hideMark/>
          </w:tcPr>
          <w:p w14:paraId="68577ECB"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12.5</w:t>
            </w:r>
          </w:p>
        </w:tc>
        <w:tc>
          <w:tcPr>
            <w:tcW w:w="976" w:type="dxa"/>
            <w:tcBorders>
              <w:top w:val="nil"/>
              <w:left w:val="nil"/>
              <w:bottom w:val="single" w:sz="4" w:space="0" w:color="auto"/>
              <w:right w:val="single" w:sz="4" w:space="0" w:color="auto"/>
            </w:tcBorders>
            <w:shd w:val="clear" w:color="auto" w:fill="DDF1F3"/>
            <w:noWrap/>
            <w:vAlign w:val="center"/>
            <w:hideMark/>
          </w:tcPr>
          <w:p w14:paraId="7FA81D6A"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12.4</w:t>
            </w:r>
          </w:p>
        </w:tc>
        <w:tc>
          <w:tcPr>
            <w:tcW w:w="976" w:type="dxa"/>
            <w:tcBorders>
              <w:top w:val="nil"/>
              <w:left w:val="nil"/>
              <w:bottom w:val="single" w:sz="4" w:space="0" w:color="auto"/>
              <w:right w:val="single" w:sz="4" w:space="0" w:color="auto"/>
            </w:tcBorders>
            <w:shd w:val="clear" w:color="auto" w:fill="DDF1F3"/>
            <w:noWrap/>
            <w:vAlign w:val="center"/>
            <w:hideMark/>
          </w:tcPr>
          <w:p w14:paraId="6F7D6C62"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12.4</w:t>
            </w:r>
          </w:p>
        </w:tc>
        <w:tc>
          <w:tcPr>
            <w:tcW w:w="976" w:type="dxa"/>
            <w:tcBorders>
              <w:top w:val="nil"/>
              <w:left w:val="nil"/>
              <w:bottom w:val="single" w:sz="4" w:space="0" w:color="auto"/>
              <w:right w:val="single" w:sz="4" w:space="0" w:color="auto"/>
            </w:tcBorders>
            <w:shd w:val="clear" w:color="auto" w:fill="DDF1F3"/>
            <w:noWrap/>
            <w:vAlign w:val="center"/>
            <w:hideMark/>
          </w:tcPr>
          <w:p w14:paraId="39B3D5A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12.4</w:t>
            </w:r>
          </w:p>
        </w:tc>
        <w:tc>
          <w:tcPr>
            <w:tcW w:w="976" w:type="dxa"/>
            <w:tcBorders>
              <w:top w:val="nil"/>
              <w:left w:val="nil"/>
              <w:bottom w:val="single" w:sz="4" w:space="0" w:color="auto"/>
              <w:right w:val="single" w:sz="4" w:space="0" w:color="auto"/>
            </w:tcBorders>
            <w:shd w:val="clear" w:color="auto" w:fill="DDF1F3"/>
            <w:noWrap/>
            <w:vAlign w:val="center"/>
            <w:hideMark/>
          </w:tcPr>
          <w:p w14:paraId="431735D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12.5</w:t>
            </w:r>
          </w:p>
        </w:tc>
        <w:tc>
          <w:tcPr>
            <w:tcW w:w="976" w:type="dxa"/>
            <w:tcBorders>
              <w:top w:val="nil"/>
              <w:left w:val="nil"/>
              <w:bottom w:val="single" w:sz="4" w:space="0" w:color="auto"/>
              <w:right w:val="single" w:sz="4" w:space="0" w:color="auto"/>
            </w:tcBorders>
            <w:shd w:val="clear" w:color="auto" w:fill="DDF1F3"/>
            <w:noWrap/>
            <w:vAlign w:val="center"/>
            <w:hideMark/>
          </w:tcPr>
          <w:p w14:paraId="6C7A37D9"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12.5</w:t>
            </w:r>
          </w:p>
        </w:tc>
        <w:tc>
          <w:tcPr>
            <w:tcW w:w="1212" w:type="dxa"/>
            <w:tcBorders>
              <w:top w:val="nil"/>
              <w:left w:val="nil"/>
              <w:bottom w:val="single" w:sz="4" w:space="0" w:color="auto"/>
              <w:right w:val="single" w:sz="4" w:space="0" w:color="auto"/>
            </w:tcBorders>
            <w:shd w:val="clear" w:color="auto" w:fill="DDF1F3"/>
            <w:noWrap/>
            <w:vAlign w:val="center"/>
            <w:hideMark/>
          </w:tcPr>
          <w:p w14:paraId="27BD747F" w14:textId="54C48B1F"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0.0%</w:t>
            </w:r>
          </w:p>
        </w:tc>
        <w:tc>
          <w:tcPr>
            <w:tcW w:w="236" w:type="dxa"/>
            <w:vAlign w:val="center"/>
            <w:hideMark/>
          </w:tcPr>
          <w:p w14:paraId="2A2AFEEF"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68996B30"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0EB0EE72"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CHD</w:t>
            </w:r>
          </w:p>
        </w:tc>
        <w:tc>
          <w:tcPr>
            <w:tcW w:w="1163" w:type="dxa"/>
            <w:tcBorders>
              <w:top w:val="nil"/>
              <w:left w:val="nil"/>
              <w:bottom w:val="single" w:sz="4" w:space="0" w:color="auto"/>
              <w:right w:val="single" w:sz="4" w:space="0" w:color="auto"/>
            </w:tcBorders>
            <w:shd w:val="clear" w:color="000000" w:fill="DDF1F3"/>
            <w:noWrap/>
            <w:vAlign w:val="center"/>
            <w:hideMark/>
          </w:tcPr>
          <w:p w14:paraId="34B8366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1A0CB11E" w14:textId="558D6A7F"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16</w:t>
            </w:r>
            <w:r w:rsidR="002337C6">
              <w:rPr>
                <w:rFonts w:ascii="Arial" w:eastAsia="Times New Roman" w:hAnsi="Arial"/>
                <w:color w:val="000000"/>
                <w:sz w:val="22"/>
                <w:szCs w:val="22"/>
              </w:rPr>
              <w:t>,</w:t>
            </w:r>
            <w:r w:rsidRPr="00E12735">
              <w:rPr>
                <w:rFonts w:ascii="Arial" w:eastAsia="Times New Roman" w:hAnsi="Arial"/>
                <w:color w:val="000000"/>
                <w:sz w:val="22"/>
                <w:szCs w:val="22"/>
              </w:rPr>
              <w:t>407</w:t>
            </w:r>
          </w:p>
        </w:tc>
        <w:tc>
          <w:tcPr>
            <w:tcW w:w="976" w:type="dxa"/>
            <w:tcBorders>
              <w:top w:val="nil"/>
              <w:left w:val="nil"/>
              <w:bottom w:val="single" w:sz="4" w:space="0" w:color="auto"/>
              <w:right w:val="single" w:sz="4" w:space="0" w:color="auto"/>
            </w:tcBorders>
            <w:shd w:val="clear" w:color="000000" w:fill="DDF1F3"/>
            <w:noWrap/>
            <w:vAlign w:val="center"/>
            <w:hideMark/>
          </w:tcPr>
          <w:p w14:paraId="73F3843E" w14:textId="38CECB23"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17</w:t>
            </w:r>
            <w:r w:rsidR="002337C6">
              <w:rPr>
                <w:rFonts w:ascii="Arial" w:eastAsia="Times New Roman" w:hAnsi="Arial"/>
                <w:color w:val="000000"/>
                <w:sz w:val="22"/>
                <w:szCs w:val="22"/>
              </w:rPr>
              <w:t>,</w:t>
            </w:r>
            <w:r w:rsidRPr="00E12735">
              <w:rPr>
                <w:rFonts w:ascii="Arial" w:eastAsia="Times New Roman" w:hAnsi="Arial"/>
                <w:color w:val="000000"/>
                <w:sz w:val="22"/>
                <w:szCs w:val="22"/>
              </w:rPr>
              <w:t>390</w:t>
            </w:r>
          </w:p>
        </w:tc>
        <w:tc>
          <w:tcPr>
            <w:tcW w:w="976" w:type="dxa"/>
            <w:tcBorders>
              <w:top w:val="nil"/>
              <w:left w:val="nil"/>
              <w:bottom w:val="single" w:sz="4" w:space="0" w:color="auto"/>
              <w:right w:val="single" w:sz="4" w:space="0" w:color="auto"/>
            </w:tcBorders>
            <w:shd w:val="clear" w:color="000000" w:fill="DDF1F3"/>
            <w:noWrap/>
            <w:vAlign w:val="center"/>
            <w:hideMark/>
          </w:tcPr>
          <w:p w14:paraId="60252F24" w14:textId="7AC6C539"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18</w:t>
            </w:r>
            <w:r w:rsidR="002337C6">
              <w:rPr>
                <w:rFonts w:ascii="Arial" w:eastAsia="Times New Roman" w:hAnsi="Arial"/>
                <w:color w:val="000000"/>
                <w:sz w:val="22"/>
                <w:szCs w:val="22"/>
              </w:rPr>
              <w:t>,</w:t>
            </w:r>
            <w:r w:rsidRPr="00E12735">
              <w:rPr>
                <w:rFonts w:ascii="Arial" w:eastAsia="Times New Roman" w:hAnsi="Arial"/>
                <w:color w:val="000000"/>
                <w:sz w:val="22"/>
                <w:szCs w:val="22"/>
              </w:rPr>
              <w:t>228</w:t>
            </w:r>
          </w:p>
        </w:tc>
        <w:tc>
          <w:tcPr>
            <w:tcW w:w="976" w:type="dxa"/>
            <w:tcBorders>
              <w:top w:val="nil"/>
              <w:left w:val="nil"/>
              <w:bottom w:val="single" w:sz="4" w:space="0" w:color="auto"/>
              <w:right w:val="single" w:sz="4" w:space="0" w:color="auto"/>
            </w:tcBorders>
            <w:shd w:val="clear" w:color="000000" w:fill="DDF1F3"/>
            <w:noWrap/>
            <w:vAlign w:val="center"/>
            <w:hideMark/>
          </w:tcPr>
          <w:p w14:paraId="0D8E5238" w14:textId="4B852C15"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19</w:t>
            </w:r>
            <w:r w:rsidR="002337C6">
              <w:rPr>
                <w:rFonts w:ascii="Arial" w:eastAsia="Times New Roman" w:hAnsi="Arial"/>
                <w:color w:val="000000"/>
                <w:sz w:val="22"/>
                <w:szCs w:val="22"/>
              </w:rPr>
              <w:t>,</w:t>
            </w:r>
            <w:r w:rsidRPr="00E12735">
              <w:rPr>
                <w:rFonts w:ascii="Arial" w:eastAsia="Times New Roman" w:hAnsi="Arial"/>
                <w:color w:val="000000"/>
                <w:sz w:val="22"/>
                <w:szCs w:val="22"/>
              </w:rPr>
              <w:t>029</w:t>
            </w:r>
          </w:p>
        </w:tc>
        <w:tc>
          <w:tcPr>
            <w:tcW w:w="976" w:type="dxa"/>
            <w:tcBorders>
              <w:top w:val="nil"/>
              <w:left w:val="nil"/>
              <w:bottom w:val="single" w:sz="4" w:space="0" w:color="auto"/>
              <w:right w:val="single" w:sz="4" w:space="0" w:color="auto"/>
            </w:tcBorders>
            <w:shd w:val="clear" w:color="000000" w:fill="DDF1F3"/>
            <w:noWrap/>
            <w:vAlign w:val="center"/>
            <w:hideMark/>
          </w:tcPr>
          <w:p w14:paraId="27F4F587" w14:textId="178B4CCB"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19</w:t>
            </w:r>
            <w:r w:rsidR="002337C6">
              <w:rPr>
                <w:rFonts w:ascii="Arial" w:eastAsia="Times New Roman" w:hAnsi="Arial"/>
                <w:color w:val="000000"/>
                <w:sz w:val="22"/>
                <w:szCs w:val="22"/>
              </w:rPr>
              <w:t>,</w:t>
            </w:r>
            <w:r w:rsidRPr="00E12735">
              <w:rPr>
                <w:rFonts w:ascii="Arial" w:eastAsia="Times New Roman" w:hAnsi="Arial"/>
                <w:color w:val="000000"/>
                <w:sz w:val="22"/>
                <w:szCs w:val="22"/>
              </w:rPr>
              <w:t>617</w:t>
            </w:r>
          </w:p>
        </w:tc>
        <w:tc>
          <w:tcPr>
            <w:tcW w:w="976" w:type="dxa"/>
            <w:tcBorders>
              <w:top w:val="nil"/>
              <w:left w:val="nil"/>
              <w:bottom w:val="single" w:sz="4" w:space="0" w:color="auto"/>
              <w:right w:val="single" w:sz="4" w:space="0" w:color="auto"/>
            </w:tcBorders>
            <w:shd w:val="clear" w:color="000000" w:fill="DDF1F3"/>
            <w:noWrap/>
            <w:vAlign w:val="center"/>
            <w:hideMark/>
          </w:tcPr>
          <w:p w14:paraId="7B7C04F2" w14:textId="0EBC273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20</w:t>
            </w:r>
            <w:r w:rsidR="002337C6">
              <w:rPr>
                <w:rFonts w:ascii="Arial" w:eastAsia="Times New Roman" w:hAnsi="Arial"/>
                <w:color w:val="000000"/>
                <w:sz w:val="22"/>
                <w:szCs w:val="22"/>
              </w:rPr>
              <w:t>,</w:t>
            </w:r>
            <w:r w:rsidRPr="00E12735">
              <w:rPr>
                <w:rFonts w:ascii="Arial" w:eastAsia="Times New Roman" w:hAnsi="Arial"/>
                <w:color w:val="000000"/>
                <w:sz w:val="22"/>
                <w:szCs w:val="22"/>
              </w:rPr>
              <w:t>187</w:t>
            </w:r>
          </w:p>
        </w:tc>
        <w:tc>
          <w:tcPr>
            <w:tcW w:w="1212" w:type="dxa"/>
            <w:tcBorders>
              <w:top w:val="nil"/>
              <w:left w:val="nil"/>
              <w:bottom w:val="single" w:sz="4" w:space="0" w:color="auto"/>
              <w:right w:val="single" w:sz="4" w:space="0" w:color="auto"/>
            </w:tcBorders>
            <w:shd w:val="clear" w:color="000000" w:fill="DDF1F3"/>
            <w:noWrap/>
            <w:vAlign w:val="center"/>
            <w:hideMark/>
          </w:tcPr>
          <w:p w14:paraId="5FD6AE00" w14:textId="14689AAB"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23.0%</w:t>
            </w:r>
          </w:p>
        </w:tc>
        <w:tc>
          <w:tcPr>
            <w:tcW w:w="236" w:type="dxa"/>
            <w:vAlign w:val="center"/>
            <w:hideMark/>
          </w:tcPr>
          <w:p w14:paraId="49DE1A07"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770F3A25"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60B1F8D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CHD</w:t>
            </w:r>
          </w:p>
        </w:tc>
        <w:tc>
          <w:tcPr>
            <w:tcW w:w="1163" w:type="dxa"/>
            <w:tcBorders>
              <w:top w:val="nil"/>
              <w:left w:val="nil"/>
              <w:bottom w:val="single" w:sz="4" w:space="0" w:color="auto"/>
              <w:right w:val="single" w:sz="4" w:space="0" w:color="auto"/>
            </w:tcBorders>
            <w:shd w:val="clear" w:color="000000" w:fill="DDF1F3"/>
            <w:noWrap/>
            <w:vAlign w:val="center"/>
            <w:hideMark/>
          </w:tcPr>
          <w:p w14:paraId="26A31E61"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5AD1286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w:t>
            </w:r>
          </w:p>
        </w:tc>
        <w:tc>
          <w:tcPr>
            <w:tcW w:w="976" w:type="dxa"/>
            <w:tcBorders>
              <w:top w:val="nil"/>
              <w:left w:val="nil"/>
              <w:bottom w:val="single" w:sz="4" w:space="0" w:color="auto"/>
              <w:right w:val="single" w:sz="4" w:space="0" w:color="auto"/>
            </w:tcBorders>
            <w:shd w:val="clear" w:color="000000" w:fill="DDF1F3"/>
            <w:noWrap/>
            <w:vAlign w:val="center"/>
            <w:hideMark/>
          </w:tcPr>
          <w:p w14:paraId="25080E53"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3.1</w:t>
            </w:r>
          </w:p>
        </w:tc>
        <w:tc>
          <w:tcPr>
            <w:tcW w:w="976" w:type="dxa"/>
            <w:tcBorders>
              <w:top w:val="nil"/>
              <w:left w:val="nil"/>
              <w:bottom w:val="single" w:sz="4" w:space="0" w:color="auto"/>
              <w:right w:val="single" w:sz="4" w:space="0" w:color="auto"/>
            </w:tcBorders>
            <w:shd w:val="clear" w:color="000000" w:fill="DDF1F3"/>
            <w:noWrap/>
            <w:vAlign w:val="center"/>
            <w:hideMark/>
          </w:tcPr>
          <w:p w14:paraId="411A594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3.1</w:t>
            </w:r>
          </w:p>
        </w:tc>
        <w:tc>
          <w:tcPr>
            <w:tcW w:w="976" w:type="dxa"/>
            <w:tcBorders>
              <w:top w:val="nil"/>
              <w:left w:val="nil"/>
              <w:bottom w:val="single" w:sz="4" w:space="0" w:color="auto"/>
              <w:right w:val="single" w:sz="4" w:space="0" w:color="auto"/>
            </w:tcBorders>
            <w:shd w:val="clear" w:color="000000" w:fill="DDF1F3"/>
            <w:noWrap/>
            <w:vAlign w:val="center"/>
            <w:hideMark/>
          </w:tcPr>
          <w:p w14:paraId="2ADEB09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3.2</w:t>
            </w:r>
          </w:p>
        </w:tc>
        <w:tc>
          <w:tcPr>
            <w:tcW w:w="976" w:type="dxa"/>
            <w:tcBorders>
              <w:top w:val="nil"/>
              <w:left w:val="nil"/>
              <w:bottom w:val="single" w:sz="4" w:space="0" w:color="auto"/>
              <w:right w:val="single" w:sz="4" w:space="0" w:color="auto"/>
            </w:tcBorders>
            <w:shd w:val="clear" w:color="000000" w:fill="DDF1F3"/>
            <w:noWrap/>
            <w:vAlign w:val="center"/>
            <w:hideMark/>
          </w:tcPr>
          <w:p w14:paraId="3C293725"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3.2</w:t>
            </w:r>
          </w:p>
        </w:tc>
        <w:tc>
          <w:tcPr>
            <w:tcW w:w="976" w:type="dxa"/>
            <w:tcBorders>
              <w:top w:val="nil"/>
              <w:left w:val="nil"/>
              <w:bottom w:val="single" w:sz="4" w:space="0" w:color="auto"/>
              <w:right w:val="single" w:sz="4" w:space="0" w:color="auto"/>
            </w:tcBorders>
            <w:shd w:val="clear" w:color="000000" w:fill="DDF1F3"/>
            <w:noWrap/>
            <w:vAlign w:val="center"/>
            <w:hideMark/>
          </w:tcPr>
          <w:p w14:paraId="14355951"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3.2</w:t>
            </w:r>
          </w:p>
        </w:tc>
        <w:tc>
          <w:tcPr>
            <w:tcW w:w="1212" w:type="dxa"/>
            <w:tcBorders>
              <w:top w:val="nil"/>
              <w:left w:val="nil"/>
              <w:bottom w:val="single" w:sz="4" w:space="0" w:color="auto"/>
              <w:right w:val="single" w:sz="4" w:space="0" w:color="auto"/>
            </w:tcBorders>
            <w:shd w:val="clear" w:color="000000" w:fill="DDF1F3"/>
            <w:noWrap/>
            <w:vAlign w:val="center"/>
            <w:hideMark/>
          </w:tcPr>
          <w:p w14:paraId="5DB027DB" w14:textId="5ED66A69"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6.7%</w:t>
            </w:r>
          </w:p>
        </w:tc>
        <w:tc>
          <w:tcPr>
            <w:tcW w:w="236" w:type="dxa"/>
            <w:vAlign w:val="center"/>
            <w:hideMark/>
          </w:tcPr>
          <w:p w14:paraId="49F5D593"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3FD06AFF"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1E36A42A"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COPD</w:t>
            </w:r>
          </w:p>
        </w:tc>
        <w:tc>
          <w:tcPr>
            <w:tcW w:w="1163" w:type="dxa"/>
            <w:tcBorders>
              <w:top w:val="nil"/>
              <w:left w:val="nil"/>
              <w:bottom w:val="single" w:sz="4" w:space="0" w:color="auto"/>
              <w:right w:val="single" w:sz="4" w:space="0" w:color="auto"/>
            </w:tcBorders>
            <w:shd w:val="clear" w:color="000000" w:fill="DDF1F3"/>
            <w:noWrap/>
            <w:vAlign w:val="center"/>
            <w:hideMark/>
          </w:tcPr>
          <w:p w14:paraId="3144A983"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3227E0A8" w14:textId="13C64E49"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11</w:t>
            </w:r>
            <w:r w:rsidR="002337C6">
              <w:rPr>
                <w:rFonts w:ascii="Arial" w:eastAsia="Times New Roman" w:hAnsi="Arial"/>
                <w:color w:val="000000"/>
                <w:sz w:val="22"/>
                <w:szCs w:val="22"/>
              </w:rPr>
              <w:t>,</w:t>
            </w:r>
            <w:r w:rsidRPr="00E12735">
              <w:rPr>
                <w:rFonts w:ascii="Arial" w:eastAsia="Times New Roman" w:hAnsi="Arial"/>
                <w:color w:val="000000"/>
                <w:sz w:val="22"/>
                <w:szCs w:val="22"/>
              </w:rPr>
              <w:t>960</w:t>
            </w:r>
          </w:p>
        </w:tc>
        <w:tc>
          <w:tcPr>
            <w:tcW w:w="976" w:type="dxa"/>
            <w:tcBorders>
              <w:top w:val="nil"/>
              <w:left w:val="nil"/>
              <w:bottom w:val="single" w:sz="4" w:space="0" w:color="auto"/>
              <w:right w:val="single" w:sz="4" w:space="0" w:color="auto"/>
            </w:tcBorders>
            <w:shd w:val="clear" w:color="000000" w:fill="DDF1F3"/>
            <w:noWrap/>
            <w:vAlign w:val="center"/>
            <w:hideMark/>
          </w:tcPr>
          <w:p w14:paraId="3EE24D3F" w14:textId="1A6B2D8E"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w:t>
            </w:r>
            <w:r w:rsidR="002337C6">
              <w:rPr>
                <w:rFonts w:ascii="Arial" w:eastAsia="Times New Roman" w:hAnsi="Arial"/>
                <w:color w:val="000000"/>
                <w:sz w:val="22"/>
                <w:szCs w:val="22"/>
              </w:rPr>
              <w:t>,</w:t>
            </w:r>
            <w:r w:rsidRPr="00E12735">
              <w:rPr>
                <w:rFonts w:ascii="Arial" w:eastAsia="Times New Roman" w:hAnsi="Arial"/>
                <w:color w:val="000000"/>
                <w:sz w:val="22"/>
                <w:szCs w:val="22"/>
              </w:rPr>
              <w:t>918</w:t>
            </w:r>
          </w:p>
        </w:tc>
        <w:tc>
          <w:tcPr>
            <w:tcW w:w="976" w:type="dxa"/>
            <w:tcBorders>
              <w:top w:val="nil"/>
              <w:left w:val="nil"/>
              <w:bottom w:val="single" w:sz="4" w:space="0" w:color="auto"/>
              <w:right w:val="single" w:sz="4" w:space="0" w:color="auto"/>
            </w:tcBorders>
            <w:shd w:val="clear" w:color="000000" w:fill="DDF1F3"/>
            <w:noWrap/>
            <w:vAlign w:val="center"/>
            <w:hideMark/>
          </w:tcPr>
          <w:p w14:paraId="0ABA36EB" w14:textId="380F3BD0"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13</w:t>
            </w:r>
            <w:r w:rsidR="002337C6">
              <w:rPr>
                <w:rFonts w:ascii="Arial" w:eastAsia="Times New Roman" w:hAnsi="Arial"/>
                <w:color w:val="000000"/>
                <w:sz w:val="22"/>
                <w:szCs w:val="22"/>
              </w:rPr>
              <w:t>,</w:t>
            </w:r>
            <w:r w:rsidRPr="00E12735">
              <w:rPr>
                <w:rFonts w:ascii="Arial" w:eastAsia="Times New Roman" w:hAnsi="Arial"/>
                <w:color w:val="000000"/>
                <w:sz w:val="22"/>
                <w:szCs w:val="22"/>
              </w:rPr>
              <w:t>177</w:t>
            </w:r>
          </w:p>
        </w:tc>
        <w:tc>
          <w:tcPr>
            <w:tcW w:w="976" w:type="dxa"/>
            <w:tcBorders>
              <w:top w:val="nil"/>
              <w:left w:val="nil"/>
              <w:bottom w:val="single" w:sz="4" w:space="0" w:color="auto"/>
              <w:right w:val="single" w:sz="4" w:space="0" w:color="auto"/>
            </w:tcBorders>
            <w:shd w:val="clear" w:color="000000" w:fill="DDF1F3"/>
            <w:noWrap/>
            <w:vAlign w:val="center"/>
            <w:hideMark/>
          </w:tcPr>
          <w:p w14:paraId="24D97E5C" w14:textId="370D07BC"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13</w:t>
            </w:r>
            <w:r w:rsidR="002337C6">
              <w:rPr>
                <w:rFonts w:ascii="Arial" w:eastAsia="Times New Roman" w:hAnsi="Arial"/>
                <w:color w:val="000000"/>
                <w:sz w:val="22"/>
                <w:szCs w:val="22"/>
              </w:rPr>
              <w:t>,</w:t>
            </w:r>
            <w:r w:rsidRPr="00E12735">
              <w:rPr>
                <w:rFonts w:ascii="Arial" w:eastAsia="Times New Roman" w:hAnsi="Arial"/>
                <w:color w:val="000000"/>
                <w:sz w:val="22"/>
                <w:szCs w:val="22"/>
              </w:rPr>
              <w:t>054</w:t>
            </w:r>
          </w:p>
        </w:tc>
        <w:tc>
          <w:tcPr>
            <w:tcW w:w="976" w:type="dxa"/>
            <w:tcBorders>
              <w:top w:val="nil"/>
              <w:left w:val="nil"/>
              <w:bottom w:val="single" w:sz="4" w:space="0" w:color="auto"/>
              <w:right w:val="single" w:sz="4" w:space="0" w:color="auto"/>
            </w:tcBorders>
            <w:shd w:val="clear" w:color="000000" w:fill="DDF1F3"/>
            <w:noWrap/>
            <w:vAlign w:val="center"/>
            <w:hideMark/>
          </w:tcPr>
          <w:p w14:paraId="46D1509C" w14:textId="12E5C396"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w:t>
            </w:r>
            <w:r w:rsidR="002337C6">
              <w:rPr>
                <w:rFonts w:ascii="Arial" w:eastAsia="Times New Roman" w:hAnsi="Arial"/>
                <w:color w:val="000000"/>
                <w:sz w:val="22"/>
                <w:szCs w:val="22"/>
              </w:rPr>
              <w:t>,</w:t>
            </w:r>
            <w:r w:rsidRPr="00E12735">
              <w:rPr>
                <w:rFonts w:ascii="Arial" w:eastAsia="Times New Roman" w:hAnsi="Arial"/>
                <w:color w:val="000000"/>
                <w:sz w:val="22"/>
                <w:szCs w:val="22"/>
              </w:rPr>
              <w:t>654</w:t>
            </w:r>
          </w:p>
        </w:tc>
        <w:tc>
          <w:tcPr>
            <w:tcW w:w="976" w:type="dxa"/>
            <w:tcBorders>
              <w:top w:val="nil"/>
              <w:left w:val="nil"/>
              <w:bottom w:val="single" w:sz="4" w:space="0" w:color="auto"/>
              <w:right w:val="single" w:sz="4" w:space="0" w:color="auto"/>
            </w:tcBorders>
            <w:shd w:val="clear" w:color="000000" w:fill="DDF1F3"/>
            <w:noWrap/>
            <w:vAlign w:val="center"/>
            <w:hideMark/>
          </w:tcPr>
          <w:p w14:paraId="670E4B8F" w14:textId="5B1113F0"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w:t>
            </w:r>
            <w:r w:rsidR="002337C6">
              <w:rPr>
                <w:rFonts w:ascii="Arial" w:eastAsia="Times New Roman" w:hAnsi="Arial"/>
                <w:color w:val="000000"/>
                <w:sz w:val="22"/>
                <w:szCs w:val="22"/>
              </w:rPr>
              <w:t>,</w:t>
            </w:r>
            <w:r w:rsidRPr="00E12735">
              <w:rPr>
                <w:rFonts w:ascii="Arial" w:eastAsia="Times New Roman" w:hAnsi="Arial"/>
                <w:color w:val="000000"/>
                <w:sz w:val="22"/>
                <w:szCs w:val="22"/>
              </w:rPr>
              <w:t>180</w:t>
            </w:r>
          </w:p>
        </w:tc>
        <w:tc>
          <w:tcPr>
            <w:tcW w:w="1212" w:type="dxa"/>
            <w:tcBorders>
              <w:top w:val="nil"/>
              <w:left w:val="nil"/>
              <w:bottom w:val="single" w:sz="4" w:space="0" w:color="auto"/>
              <w:right w:val="single" w:sz="4" w:space="0" w:color="auto"/>
            </w:tcBorders>
            <w:shd w:val="clear" w:color="000000" w:fill="DDF1F3"/>
            <w:noWrap/>
            <w:vAlign w:val="center"/>
            <w:hideMark/>
          </w:tcPr>
          <w:p w14:paraId="2A759374" w14:textId="4CA5B09F"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1.8%</w:t>
            </w:r>
          </w:p>
        </w:tc>
        <w:tc>
          <w:tcPr>
            <w:tcW w:w="236" w:type="dxa"/>
            <w:vAlign w:val="center"/>
            <w:hideMark/>
          </w:tcPr>
          <w:p w14:paraId="7BA68F32"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776270B7"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39A59FF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COPD</w:t>
            </w:r>
          </w:p>
        </w:tc>
        <w:tc>
          <w:tcPr>
            <w:tcW w:w="1163" w:type="dxa"/>
            <w:tcBorders>
              <w:top w:val="nil"/>
              <w:left w:val="nil"/>
              <w:bottom w:val="single" w:sz="4" w:space="0" w:color="auto"/>
              <w:right w:val="single" w:sz="4" w:space="0" w:color="auto"/>
            </w:tcBorders>
            <w:shd w:val="clear" w:color="000000" w:fill="DDF1F3"/>
            <w:noWrap/>
            <w:vAlign w:val="center"/>
            <w:hideMark/>
          </w:tcPr>
          <w:p w14:paraId="21F68CB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0A8114FC"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2.2</w:t>
            </w:r>
          </w:p>
        </w:tc>
        <w:tc>
          <w:tcPr>
            <w:tcW w:w="976" w:type="dxa"/>
            <w:tcBorders>
              <w:top w:val="nil"/>
              <w:left w:val="nil"/>
              <w:bottom w:val="single" w:sz="4" w:space="0" w:color="auto"/>
              <w:right w:val="single" w:sz="4" w:space="0" w:color="auto"/>
            </w:tcBorders>
            <w:shd w:val="clear" w:color="000000" w:fill="DDF1F3"/>
            <w:noWrap/>
            <w:vAlign w:val="center"/>
            <w:hideMark/>
          </w:tcPr>
          <w:p w14:paraId="150ECC7C"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2.3</w:t>
            </w:r>
          </w:p>
        </w:tc>
        <w:tc>
          <w:tcPr>
            <w:tcW w:w="976" w:type="dxa"/>
            <w:tcBorders>
              <w:top w:val="nil"/>
              <w:left w:val="nil"/>
              <w:bottom w:val="single" w:sz="4" w:space="0" w:color="auto"/>
              <w:right w:val="single" w:sz="4" w:space="0" w:color="auto"/>
            </w:tcBorders>
            <w:shd w:val="clear" w:color="000000" w:fill="DDF1F3"/>
            <w:noWrap/>
            <w:vAlign w:val="center"/>
            <w:hideMark/>
          </w:tcPr>
          <w:p w14:paraId="73C768B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2.3</w:t>
            </w:r>
          </w:p>
        </w:tc>
        <w:tc>
          <w:tcPr>
            <w:tcW w:w="976" w:type="dxa"/>
            <w:tcBorders>
              <w:top w:val="nil"/>
              <w:left w:val="nil"/>
              <w:bottom w:val="single" w:sz="4" w:space="0" w:color="auto"/>
              <w:right w:val="single" w:sz="4" w:space="0" w:color="auto"/>
            </w:tcBorders>
            <w:shd w:val="clear" w:color="000000" w:fill="DDF1F3"/>
            <w:noWrap/>
            <w:vAlign w:val="center"/>
            <w:hideMark/>
          </w:tcPr>
          <w:p w14:paraId="4409331C"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2.2</w:t>
            </w:r>
          </w:p>
        </w:tc>
        <w:tc>
          <w:tcPr>
            <w:tcW w:w="976" w:type="dxa"/>
            <w:tcBorders>
              <w:top w:val="nil"/>
              <w:left w:val="nil"/>
              <w:bottom w:val="single" w:sz="4" w:space="0" w:color="auto"/>
              <w:right w:val="single" w:sz="4" w:space="0" w:color="auto"/>
            </w:tcBorders>
            <w:shd w:val="clear" w:color="000000" w:fill="DDF1F3"/>
            <w:noWrap/>
            <w:vAlign w:val="center"/>
            <w:hideMark/>
          </w:tcPr>
          <w:p w14:paraId="2FFA921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2.1</w:t>
            </w:r>
          </w:p>
        </w:tc>
        <w:tc>
          <w:tcPr>
            <w:tcW w:w="976" w:type="dxa"/>
            <w:tcBorders>
              <w:top w:val="nil"/>
              <w:left w:val="nil"/>
              <w:bottom w:val="single" w:sz="4" w:space="0" w:color="auto"/>
              <w:right w:val="single" w:sz="4" w:space="0" w:color="auto"/>
            </w:tcBorders>
            <w:shd w:val="clear" w:color="000000" w:fill="DDF1F3"/>
            <w:noWrap/>
            <w:vAlign w:val="center"/>
            <w:hideMark/>
          </w:tcPr>
          <w:p w14:paraId="3AC42D5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1.9</w:t>
            </w:r>
          </w:p>
        </w:tc>
        <w:tc>
          <w:tcPr>
            <w:tcW w:w="1212" w:type="dxa"/>
            <w:tcBorders>
              <w:top w:val="nil"/>
              <w:left w:val="nil"/>
              <w:bottom w:val="single" w:sz="4" w:space="0" w:color="auto"/>
              <w:right w:val="single" w:sz="4" w:space="0" w:color="auto"/>
            </w:tcBorders>
            <w:shd w:val="clear" w:color="000000" w:fill="DDF1F3"/>
            <w:noWrap/>
            <w:vAlign w:val="center"/>
            <w:hideMark/>
          </w:tcPr>
          <w:p w14:paraId="130B3A8B" w14:textId="0EC9D6DB"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-13.6%</w:t>
            </w:r>
          </w:p>
        </w:tc>
        <w:tc>
          <w:tcPr>
            <w:tcW w:w="236" w:type="dxa"/>
            <w:vAlign w:val="center"/>
            <w:hideMark/>
          </w:tcPr>
          <w:p w14:paraId="30D1B03A"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42EBE90B" w14:textId="77777777" w:rsidTr="001C1CE1">
        <w:trPr>
          <w:trHeight w:val="331"/>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168B1FE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Diabetes</w:t>
            </w:r>
          </w:p>
        </w:tc>
        <w:tc>
          <w:tcPr>
            <w:tcW w:w="1163" w:type="dxa"/>
            <w:tcBorders>
              <w:top w:val="nil"/>
              <w:left w:val="nil"/>
              <w:bottom w:val="single" w:sz="4" w:space="0" w:color="auto"/>
              <w:right w:val="single" w:sz="4" w:space="0" w:color="auto"/>
            </w:tcBorders>
            <w:shd w:val="clear" w:color="000000" w:fill="DDF1F3"/>
            <w:noWrap/>
            <w:vAlign w:val="center"/>
            <w:hideMark/>
          </w:tcPr>
          <w:p w14:paraId="7253D1D5"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14A5CE52" w14:textId="10EED40D"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25</w:t>
            </w:r>
            <w:r w:rsidR="002337C6">
              <w:rPr>
                <w:rFonts w:ascii="Arial" w:eastAsia="Times New Roman" w:hAnsi="Arial"/>
                <w:color w:val="000000"/>
                <w:sz w:val="22"/>
                <w:szCs w:val="22"/>
              </w:rPr>
              <w:t>,</w:t>
            </w:r>
            <w:r w:rsidRPr="00E12735">
              <w:rPr>
                <w:rFonts w:ascii="Arial" w:eastAsia="Times New Roman" w:hAnsi="Arial"/>
                <w:color w:val="000000"/>
                <w:sz w:val="22"/>
                <w:szCs w:val="22"/>
              </w:rPr>
              <w:t>570</w:t>
            </w:r>
          </w:p>
        </w:tc>
        <w:tc>
          <w:tcPr>
            <w:tcW w:w="976" w:type="dxa"/>
            <w:tcBorders>
              <w:top w:val="nil"/>
              <w:left w:val="nil"/>
              <w:bottom w:val="single" w:sz="4" w:space="0" w:color="auto"/>
              <w:right w:val="single" w:sz="4" w:space="0" w:color="auto"/>
            </w:tcBorders>
            <w:shd w:val="clear" w:color="000000" w:fill="DDF1F3"/>
            <w:noWrap/>
            <w:vAlign w:val="center"/>
            <w:hideMark/>
          </w:tcPr>
          <w:p w14:paraId="37E8CFAB" w14:textId="5B3D2E4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29</w:t>
            </w:r>
            <w:r w:rsidR="002337C6">
              <w:rPr>
                <w:rFonts w:ascii="Arial" w:eastAsia="Times New Roman" w:hAnsi="Arial"/>
                <w:color w:val="000000"/>
                <w:sz w:val="22"/>
                <w:szCs w:val="22"/>
              </w:rPr>
              <w:t>,</w:t>
            </w:r>
            <w:r w:rsidRPr="00E12735">
              <w:rPr>
                <w:rFonts w:ascii="Arial" w:eastAsia="Times New Roman" w:hAnsi="Arial"/>
                <w:color w:val="000000"/>
                <w:sz w:val="22"/>
                <w:szCs w:val="22"/>
              </w:rPr>
              <w:t>081</w:t>
            </w:r>
          </w:p>
        </w:tc>
        <w:tc>
          <w:tcPr>
            <w:tcW w:w="976" w:type="dxa"/>
            <w:tcBorders>
              <w:top w:val="nil"/>
              <w:left w:val="nil"/>
              <w:bottom w:val="single" w:sz="4" w:space="0" w:color="auto"/>
              <w:right w:val="single" w:sz="4" w:space="0" w:color="auto"/>
            </w:tcBorders>
            <w:shd w:val="clear" w:color="000000" w:fill="DDF1F3"/>
            <w:noWrap/>
            <w:vAlign w:val="center"/>
            <w:hideMark/>
          </w:tcPr>
          <w:p w14:paraId="7973AF94" w14:textId="435983F0"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32</w:t>
            </w:r>
            <w:r w:rsidR="002337C6">
              <w:rPr>
                <w:rFonts w:ascii="Arial" w:eastAsia="Times New Roman" w:hAnsi="Arial"/>
                <w:color w:val="000000"/>
                <w:sz w:val="22"/>
                <w:szCs w:val="22"/>
              </w:rPr>
              <w:t>,</w:t>
            </w:r>
            <w:r w:rsidRPr="00E12735">
              <w:rPr>
                <w:rFonts w:ascii="Arial" w:eastAsia="Times New Roman" w:hAnsi="Arial"/>
                <w:color w:val="000000"/>
                <w:sz w:val="22"/>
                <w:szCs w:val="22"/>
              </w:rPr>
              <w:t>445</w:t>
            </w:r>
          </w:p>
        </w:tc>
        <w:tc>
          <w:tcPr>
            <w:tcW w:w="976" w:type="dxa"/>
            <w:tcBorders>
              <w:top w:val="nil"/>
              <w:left w:val="nil"/>
              <w:bottom w:val="single" w:sz="4" w:space="0" w:color="auto"/>
              <w:right w:val="single" w:sz="4" w:space="0" w:color="auto"/>
            </w:tcBorders>
            <w:shd w:val="clear" w:color="000000" w:fill="DDF1F3"/>
            <w:noWrap/>
            <w:vAlign w:val="center"/>
            <w:hideMark/>
          </w:tcPr>
          <w:p w14:paraId="6623C683" w14:textId="3D773B90"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35</w:t>
            </w:r>
            <w:r w:rsidR="002337C6">
              <w:rPr>
                <w:rFonts w:ascii="Arial" w:eastAsia="Times New Roman" w:hAnsi="Arial"/>
                <w:color w:val="000000"/>
                <w:sz w:val="22"/>
                <w:szCs w:val="22"/>
              </w:rPr>
              <w:t>,</w:t>
            </w:r>
            <w:r w:rsidRPr="00E12735">
              <w:rPr>
                <w:rFonts w:ascii="Arial" w:eastAsia="Times New Roman" w:hAnsi="Arial"/>
                <w:color w:val="000000"/>
                <w:sz w:val="22"/>
                <w:szCs w:val="22"/>
              </w:rPr>
              <w:t>777</w:t>
            </w:r>
          </w:p>
        </w:tc>
        <w:tc>
          <w:tcPr>
            <w:tcW w:w="976" w:type="dxa"/>
            <w:tcBorders>
              <w:top w:val="nil"/>
              <w:left w:val="nil"/>
              <w:bottom w:val="single" w:sz="4" w:space="0" w:color="auto"/>
              <w:right w:val="single" w:sz="4" w:space="0" w:color="auto"/>
            </w:tcBorders>
            <w:shd w:val="clear" w:color="000000" w:fill="DDF1F3"/>
            <w:noWrap/>
            <w:vAlign w:val="center"/>
            <w:hideMark/>
          </w:tcPr>
          <w:p w14:paraId="05837246" w14:textId="29D35548"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38</w:t>
            </w:r>
            <w:r w:rsidR="002337C6">
              <w:rPr>
                <w:rFonts w:ascii="Arial" w:eastAsia="Times New Roman" w:hAnsi="Arial"/>
                <w:color w:val="000000"/>
                <w:sz w:val="22"/>
                <w:szCs w:val="22"/>
              </w:rPr>
              <w:t>,</w:t>
            </w:r>
            <w:r w:rsidRPr="00E12735">
              <w:rPr>
                <w:rFonts w:ascii="Arial" w:eastAsia="Times New Roman" w:hAnsi="Arial"/>
                <w:color w:val="000000"/>
                <w:sz w:val="22"/>
                <w:szCs w:val="22"/>
              </w:rPr>
              <w:t>888</w:t>
            </w:r>
          </w:p>
        </w:tc>
        <w:tc>
          <w:tcPr>
            <w:tcW w:w="976" w:type="dxa"/>
            <w:tcBorders>
              <w:top w:val="nil"/>
              <w:left w:val="nil"/>
              <w:bottom w:val="single" w:sz="4" w:space="0" w:color="auto"/>
              <w:right w:val="single" w:sz="4" w:space="0" w:color="auto"/>
            </w:tcBorders>
            <w:shd w:val="clear" w:color="000000" w:fill="DDF1F3"/>
            <w:noWrap/>
            <w:vAlign w:val="center"/>
            <w:hideMark/>
          </w:tcPr>
          <w:p w14:paraId="1EC3A360" w14:textId="04EEB7C5"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41</w:t>
            </w:r>
            <w:r w:rsidR="002337C6">
              <w:rPr>
                <w:rFonts w:ascii="Arial" w:eastAsia="Times New Roman" w:hAnsi="Arial"/>
                <w:color w:val="000000"/>
                <w:sz w:val="22"/>
                <w:szCs w:val="22"/>
              </w:rPr>
              <w:t>,</w:t>
            </w:r>
            <w:r w:rsidRPr="00E12735">
              <w:rPr>
                <w:rFonts w:ascii="Arial" w:eastAsia="Times New Roman" w:hAnsi="Arial"/>
                <w:color w:val="000000"/>
                <w:sz w:val="22"/>
                <w:szCs w:val="22"/>
              </w:rPr>
              <w:t>980</w:t>
            </w:r>
          </w:p>
        </w:tc>
        <w:tc>
          <w:tcPr>
            <w:tcW w:w="1212" w:type="dxa"/>
            <w:tcBorders>
              <w:top w:val="nil"/>
              <w:left w:val="nil"/>
              <w:bottom w:val="single" w:sz="4" w:space="0" w:color="auto"/>
              <w:right w:val="single" w:sz="4" w:space="0" w:color="auto"/>
            </w:tcBorders>
            <w:shd w:val="clear" w:color="000000" w:fill="DDF1F3"/>
            <w:noWrap/>
            <w:vAlign w:val="center"/>
            <w:hideMark/>
          </w:tcPr>
          <w:p w14:paraId="525F5957" w14:textId="03CA88CC"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64.2%</w:t>
            </w:r>
          </w:p>
        </w:tc>
        <w:tc>
          <w:tcPr>
            <w:tcW w:w="236" w:type="dxa"/>
            <w:vAlign w:val="center"/>
            <w:hideMark/>
          </w:tcPr>
          <w:p w14:paraId="2EF332AD"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50E2C680" w14:textId="77777777" w:rsidTr="001C1CE1">
        <w:trPr>
          <w:trHeight w:val="409"/>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6F582ECC"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Diabetes</w:t>
            </w:r>
          </w:p>
        </w:tc>
        <w:tc>
          <w:tcPr>
            <w:tcW w:w="1163" w:type="dxa"/>
            <w:tcBorders>
              <w:top w:val="nil"/>
              <w:left w:val="nil"/>
              <w:bottom w:val="single" w:sz="4" w:space="0" w:color="auto"/>
              <w:right w:val="single" w:sz="4" w:space="0" w:color="auto"/>
            </w:tcBorders>
            <w:shd w:val="clear" w:color="000000" w:fill="DDF1F3"/>
            <w:noWrap/>
            <w:vAlign w:val="center"/>
            <w:hideMark/>
          </w:tcPr>
          <w:p w14:paraId="2508463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497A7A6E"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4.7</w:t>
            </w:r>
          </w:p>
        </w:tc>
        <w:tc>
          <w:tcPr>
            <w:tcW w:w="976" w:type="dxa"/>
            <w:tcBorders>
              <w:top w:val="nil"/>
              <w:left w:val="nil"/>
              <w:bottom w:val="single" w:sz="4" w:space="0" w:color="auto"/>
              <w:right w:val="single" w:sz="4" w:space="0" w:color="auto"/>
            </w:tcBorders>
            <w:shd w:val="clear" w:color="000000" w:fill="DDF1F3"/>
            <w:noWrap/>
            <w:vAlign w:val="center"/>
            <w:hideMark/>
          </w:tcPr>
          <w:p w14:paraId="7AB7AE9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5.1</w:t>
            </w:r>
          </w:p>
        </w:tc>
        <w:tc>
          <w:tcPr>
            <w:tcW w:w="976" w:type="dxa"/>
            <w:tcBorders>
              <w:top w:val="nil"/>
              <w:left w:val="nil"/>
              <w:bottom w:val="single" w:sz="4" w:space="0" w:color="auto"/>
              <w:right w:val="single" w:sz="4" w:space="0" w:color="auto"/>
            </w:tcBorders>
            <w:shd w:val="clear" w:color="000000" w:fill="DDF1F3"/>
            <w:noWrap/>
            <w:vAlign w:val="center"/>
            <w:hideMark/>
          </w:tcPr>
          <w:p w14:paraId="73B2C95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5.6</w:t>
            </w:r>
          </w:p>
        </w:tc>
        <w:tc>
          <w:tcPr>
            <w:tcW w:w="976" w:type="dxa"/>
            <w:tcBorders>
              <w:top w:val="nil"/>
              <w:left w:val="nil"/>
              <w:bottom w:val="single" w:sz="4" w:space="0" w:color="auto"/>
              <w:right w:val="single" w:sz="4" w:space="0" w:color="auto"/>
            </w:tcBorders>
            <w:shd w:val="clear" w:color="000000" w:fill="DDF1F3"/>
            <w:noWrap/>
            <w:vAlign w:val="center"/>
            <w:hideMark/>
          </w:tcPr>
          <w:p w14:paraId="2CE449F5"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w:t>
            </w:r>
          </w:p>
        </w:tc>
        <w:tc>
          <w:tcPr>
            <w:tcW w:w="976" w:type="dxa"/>
            <w:tcBorders>
              <w:top w:val="nil"/>
              <w:left w:val="nil"/>
              <w:bottom w:val="single" w:sz="4" w:space="0" w:color="auto"/>
              <w:right w:val="single" w:sz="4" w:space="0" w:color="auto"/>
            </w:tcBorders>
            <w:shd w:val="clear" w:color="000000" w:fill="DDF1F3"/>
            <w:noWrap/>
            <w:vAlign w:val="center"/>
            <w:hideMark/>
          </w:tcPr>
          <w:p w14:paraId="4CF60D0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6.3</w:t>
            </w:r>
          </w:p>
        </w:tc>
        <w:tc>
          <w:tcPr>
            <w:tcW w:w="976" w:type="dxa"/>
            <w:tcBorders>
              <w:top w:val="nil"/>
              <w:left w:val="nil"/>
              <w:bottom w:val="single" w:sz="4" w:space="0" w:color="auto"/>
              <w:right w:val="single" w:sz="4" w:space="0" w:color="auto"/>
            </w:tcBorders>
            <w:shd w:val="clear" w:color="000000" w:fill="DDF1F3"/>
            <w:noWrap/>
            <w:vAlign w:val="center"/>
            <w:hideMark/>
          </w:tcPr>
          <w:p w14:paraId="165DA06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6.7</w:t>
            </w:r>
          </w:p>
        </w:tc>
        <w:tc>
          <w:tcPr>
            <w:tcW w:w="1212" w:type="dxa"/>
            <w:tcBorders>
              <w:top w:val="nil"/>
              <w:left w:val="nil"/>
              <w:bottom w:val="single" w:sz="4" w:space="0" w:color="auto"/>
              <w:right w:val="single" w:sz="4" w:space="0" w:color="auto"/>
            </w:tcBorders>
            <w:shd w:val="clear" w:color="000000" w:fill="DDF1F3"/>
            <w:noWrap/>
            <w:vAlign w:val="center"/>
            <w:hideMark/>
          </w:tcPr>
          <w:p w14:paraId="20DF5C5F" w14:textId="08C9E37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42.6%</w:t>
            </w:r>
          </w:p>
        </w:tc>
        <w:tc>
          <w:tcPr>
            <w:tcW w:w="236" w:type="dxa"/>
            <w:vAlign w:val="center"/>
            <w:hideMark/>
          </w:tcPr>
          <w:p w14:paraId="33E770E5"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5D867477"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26E5F704"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HF</w:t>
            </w:r>
          </w:p>
        </w:tc>
        <w:tc>
          <w:tcPr>
            <w:tcW w:w="1163" w:type="dxa"/>
            <w:tcBorders>
              <w:top w:val="nil"/>
              <w:left w:val="nil"/>
              <w:bottom w:val="single" w:sz="4" w:space="0" w:color="auto"/>
              <w:right w:val="single" w:sz="4" w:space="0" w:color="auto"/>
            </w:tcBorders>
            <w:shd w:val="clear" w:color="000000" w:fill="DDF1F3"/>
            <w:noWrap/>
            <w:vAlign w:val="center"/>
            <w:hideMark/>
          </w:tcPr>
          <w:p w14:paraId="5F42181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05A3EB34"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855</w:t>
            </w:r>
          </w:p>
        </w:tc>
        <w:tc>
          <w:tcPr>
            <w:tcW w:w="976" w:type="dxa"/>
            <w:tcBorders>
              <w:top w:val="nil"/>
              <w:left w:val="nil"/>
              <w:bottom w:val="single" w:sz="4" w:space="0" w:color="auto"/>
              <w:right w:val="single" w:sz="4" w:space="0" w:color="auto"/>
            </w:tcBorders>
            <w:shd w:val="clear" w:color="000000" w:fill="DDF1F3"/>
            <w:noWrap/>
            <w:vAlign w:val="center"/>
            <w:hideMark/>
          </w:tcPr>
          <w:p w14:paraId="7C82D51F" w14:textId="7FFDA861"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r w:rsidR="004B4A8F">
              <w:rPr>
                <w:rFonts w:ascii="Arial" w:eastAsia="Times New Roman" w:hAnsi="Arial"/>
                <w:color w:val="000000"/>
                <w:sz w:val="22"/>
                <w:szCs w:val="22"/>
              </w:rPr>
              <w:t>,</w:t>
            </w:r>
            <w:r w:rsidRPr="00E12735">
              <w:rPr>
                <w:rFonts w:ascii="Arial" w:eastAsia="Times New Roman" w:hAnsi="Arial"/>
                <w:color w:val="000000"/>
                <w:sz w:val="22"/>
                <w:szCs w:val="22"/>
              </w:rPr>
              <w:t>021</w:t>
            </w:r>
          </w:p>
        </w:tc>
        <w:tc>
          <w:tcPr>
            <w:tcW w:w="976" w:type="dxa"/>
            <w:tcBorders>
              <w:top w:val="nil"/>
              <w:left w:val="nil"/>
              <w:bottom w:val="single" w:sz="4" w:space="0" w:color="auto"/>
              <w:right w:val="single" w:sz="4" w:space="0" w:color="auto"/>
            </w:tcBorders>
            <w:shd w:val="clear" w:color="000000" w:fill="DDF1F3"/>
            <w:noWrap/>
            <w:vAlign w:val="center"/>
            <w:hideMark/>
          </w:tcPr>
          <w:p w14:paraId="4236FF0C" w14:textId="3329F716"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r w:rsidR="004B4A8F">
              <w:rPr>
                <w:rFonts w:ascii="Arial" w:eastAsia="Times New Roman" w:hAnsi="Arial"/>
                <w:color w:val="000000"/>
                <w:sz w:val="22"/>
                <w:szCs w:val="22"/>
              </w:rPr>
              <w:t>,</w:t>
            </w:r>
            <w:r w:rsidRPr="00E12735">
              <w:rPr>
                <w:rFonts w:ascii="Arial" w:eastAsia="Times New Roman" w:hAnsi="Arial"/>
                <w:color w:val="000000"/>
                <w:sz w:val="22"/>
                <w:szCs w:val="22"/>
              </w:rPr>
              <w:t>116</w:t>
            </w:r>
          </w:p>
        </w:tc>
        <w:tc>
          <w:tcPr>
            <w:tcW w:w="976" w:type="dxa"/>
            <w:tcBorders>
              <w:top w:val="nil"/>
              <w:left w:val="nil"/>
              <w:bottom w:val="single" w:sz="4" w:space="0" w:color="auto"/>
              <w:right w:val="single" w:sz="4" w:space="0" w:color="auto"/>
            </w:tcBorders>
            <w:shd w:val="clear" w:color="000000" w:fill="DDF1F3"/>
            <w:noWrap/>
            <w:vAlign w:val="center"/>
            <w:hideMark/>
          </w:tcPr>
          <w:p w14:paraId="52E341B4" w14:textId="683B9998"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r w:rsidR="004B4A8F">
              <w:rPr>
                <w:rFonts w:ascii="Arial" w:eastAsia="Times New Roman" w:hAnsi="Arial"/>
                <w:color w:val="000000"/>
                <w:sz w:val="22"/>
                <w:szCs w:val="22"/>
              </w:rPr>
              <w:t>,</w:t>
            </w:r>
            <w:r w:rsidRPr="00E12735">
              <w:rPr>
                <w:rFonts w:ascii="Arial" w:eastAsia="Times New Roman" w:hAnsi="Arial"/>
                <w:color w:val="000000"/>
                <w:sz w:val="22"/>
                <w:szCs w:val="22"/>
              </w:rPr>
              <w:t>174</w:t>
            </w:r>
          </w:p>
        </w:tc>
        <w:tc>
          <w:tcPr>
            <w:tcW w:w="976" w:type="dxa"/>
            <w:tcBorders>
              <w:top w:val="nil"/>
              <w:left w:val="nil"/>
              <w:bottom w:val="single" w:sz="4" w:space="0" w:color="auto"/>
              <w:right w:val="single" w:sz="4" w:space="0" w:color="auto"/>
            </w:tcBorders>
            <w:shd w:val="clear" w:color="000000" w:fill="DDF1F3"/>
            <w:noWrap/>
            <w:vAlign w:val="center"/>
            <w:hideMark/>
          </w:tcPr>
          <w:p w14:paraId="735C8821" w14:textId="21708B76"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r w:rsidR="004B4A8F">
              <w:rPr>
                <w:rFonts w:ascii="Arial" w:eastAsia="Times New Roman" w:hAnsi="Arial"/>
                <w:color w:val="000000"/>
                <w:sz w:val="22"/>
                <w:szCs w:val="22"/>
              </w:rPr>
              <w:t>,</w:t>
            </w:r>
            <w:r w:rsidRPr="00E12735">
              <w:rPr>
                <w:rFonts w:ascii="Arial" w:eastAsia="Times New Roman" w:hAnsi="Arial"/>
                <w:color w:val="000000"/>
                <w:sz w:val="22"/>
                <w:szCs w:val="22"/>
              </w:rPr>
              <w:t>204</w:t>
            </w:r>
          </w:p>
        </w:tc>
        <w:tc>
          <w:tcPr>
            <w:tcW w:w="976" w:type="dxa"/>
            <w:tcBorders>
              <w:top w:val="nil"/>
              <w:left w:val="nil"/>
              <w:bottom w:val="single" w:sz="4" w:space="0" w:color="auto"/>
              <w:right w:val="single" w:sz="4" w:space="0" w:color="auto"/>
            </w:tcBorders>
            <w:shd w:val="clear" w:color="000000" w:fill="DDF1F3"/>
            <w:noWrap/>
            <w:vAlign w:val="center"/>
            <w:hideMark/>
          </w:tcPr>
          <w:p w14:paraId="3FDF4FDA" w14:textId="711EAFB3"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r w:rsidR="004B4A8F">
              <w:rPr>
                <w:rFonts w:ascii="Arial" w:eastAsia="Times New Roman" w:hAnsi="Arial"/>
                <w:color w:val="000000"/>
                <w:sz w:val="22"/>
                <w:szCs w:val="22"/>
              </w:rPr>
              <w:t>,</w:t>
            </w:r>
            <w:r w:rsidRPr="00E12735">
              <w:rPr>
                <w:rFonts w:ascii="Arial" w:eastAsia="Times New Roman" w:hAnsi="Arial"/>
                <w:color w:val="000000"/>
                <w:sz w:val="22"/>
                <w:szCs w:val="22"/>
              </w:rPr>
              <w:t>240</w:t>
            </w:r>
          </w:p>
        </w:tc>
        <w:tc>
          <w:tcPr>
            <w:tcW w:w="1212" w:type="dxa"/>
            <w:tcBorders>
              <w:top w:val="nil"/>
              <w:left w:val="nil"/>
              <w:bottom w:val="single" w:sz="4" w:space="0" w:color="auto"/>
              <w:right w:val="single" w:sz="4" w:space="0" w:color="auto"/>
            </w:tcBorders>
            <w:shd w:val="clear" w:color="000000" w:fill="DDF1F3"/>
            <w:noWrap/>
            <w:vAlign w:val="center"/>
            <w:hideMark/>
          </w:tcPr>
          <w:p w14:paraId="75072D64" w14:textId="1F7E1078"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45.0%</w:t>
            </w:r>
          </w:p>
        </w:tc>
        <w:tc>
          <w:tcPr>
            <w:tcW w:w="236" w:type="dxa"/>
            <w:vAlign w:val="center"/>
            <w:hideMark/>
          </w:tcPr>
          <w:p w14:paraId="2F65554F"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50D4D822"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0A2EDEF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HF</w:t>
            </w:r>
          </w:p>
        </w:tc>
        <w:tc>
          <w:tcPr>
            <w:tcW w:w="1163" w:type="dxa"/>
            <w:tcBorders>
              <w:top w:val="nil"/>
              <w:left w:val="nil"/>
              <w:bottom w:val="single" w:sz="4" w:space="0" w:color="auto"/>
              <w:right w:val="single" w:sz="4" w:space="0" w:color="auto"/>
            </w:tcBorders>
            <w:shd w:val="clear" w:color="000000" w:fill="DDF1F3"/>
            <w:noWrap/>
            <w:vAlign w:val="center"/>
            <w:hideMark/>
          </w:tcPr>
          <w:p w14:paraId="432D36A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3896549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0.2</w:t>
            </w:r>
          </w:p>
        </w:tc>
        <w:tc>
          <w:tcPr>
            <w:tcW w:w="976" w:type="dxa"/>
            <w:tcBorders>
              <w:top w:val="nil"/>
              <w:left w:val="nil"/>
              <w:bottom w:val="single" w:sz="4" w:space="0" w:color="auto"/>
              <w:right w:val="single" w:sz="4" w:space="0" w:color="auto"/>
            </w:tcBorders>
            <w:shd w:val="clear" w:color="000000" w:fill="DDF1F3"/>
            <w:noWrap/>
            <w:vAlign w:val="center"/>
            <w:hideMark/>
          </w:tcPr>
          <w:p w14:paraId="7A393B3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0.2</w:t>
            </w:r>
          </w:p>
        </w:tc>
        <w:tc>
          <w:tcPr>
            <w:tcW w:w="976" w:type="dxa"/>
            <w:tcBorders>
              <w:top w:val="nil"/>
              <w:left w:val="nil"/>
              <w:bottom w:val="single" w:sz="4" w:space="0" w:color="auto"/>
              <w:right w:val="single" w:sz="4" w:space="0" w:color="auto"/>
            </w:tcBorders>
            <w:shd w:val="clear" w:color="000000" w:fill="DDF1F3"/>
            <w:noWrap/>
            <w:vAlign w:val="center"/>
            <w:hideMark/>
          </w:tcPr>
          <w:p w14:paraId="00A0A211"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0.2</w:t>
            </w:r>
          </w:p>
        </w:tc>
        <w:tc>
          <w:tcPr>
            <w:tcW w:w="976" w:type="dxa"/>
            <w:tcBorders>
              <w:top w:val="nil"/>
              <w:left w:val="nil"/>
              <w:bottom w:val="single" w:sz="4" w:space="0" w:color="auto"/>
              <w:right w:val="single" w:sz="4" w:space="0" w:color="auto"/>
            </w:tcBorders>
            <w:shd w:val="clear" w:color="000000" w:fill="DDF1F3"/>
            <w:noWrap/>
            <w:vAlign w:val="center"/>
            <w:hideMark/>
          </w:tcPr>
          <w:p w14:paraId="2D7622F2"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0.2</w:t>
            </w:r>
          </w:p>
        </w:tc>
        <w:tc>
          <w:tcPr>
            <w:tcW w:w="976" w:type="dxa"/>
            <w:tcBorders>
              <w:top w:val="nil"/>
              <w:left w:val="nil"/>
              <w:bottom w:val="single" w:sz="4" w:space="0" w:color="auto"/>
              <w:right w:val="single" w:sz="4" w:space="0" w:color="auto"/>
            </w:tcBorders>
            <w:shd w:val="clear" w:color="000000" w:fill="DDF1F3"/>
            <w:noWrap/>
            <w:vAlign w:val="center"/>
            <w:hideMark/>
          </w:tcPr>
          <w:p w14:paraId="28275D4E"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0.2</w:t>
            </w:r>
          </w:p>
        </w:tc>
        <w:tc>
          <w:tcPr>
            <w:tcW w:w="976" w:type="dxa"/>
            <w:tcBorders>
              <w:top w:val="nil"/>
              <w:left w:val="nil"/>
              <w:bottom w:val="single" w:sz="4" w:space="0" w:color="auto"/>
              <w:right w:val="single" w:sz="4" w:space="0" w:color="auto"/>
            </w:tcBorders>
            <w:shd w:val="clear" w:color="000000" w:fill="DDF1F3"/>
            <w:noWrap/>
            <w:vAlign w:val="center"/>
            <w:hideMark/>
          </w:tcPr>
          <w:p w14:paraId="093351F1"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0.2</w:t>
            </w:r>
          </w:p>
        </w:tc>
        <w:tc>
          <w:tcPr>
            <w:tcW w:w="1212" w:type="dxa"/>
            <w:tcBorders>
              <w:top w:val="nil"/>
              <w:left w:val="nil"/>
              <w:bottom w:val="single" w:sz="4" w:space="0" w:color="auto"/>
              <w:right w:val="single" w:sz="4" w:space="0" w:color="auto"/>
            </w:tcBorders>
            <w:shd w:val="clear" w:color="000000" w:fill="DDF1F3"/>
            <w:noWrap/>
            <w:vAlign w:val="center"/>
            <w:hideMark/>
          </w:tcPr>
          <w:p w14:paraId="10DB4928" w14:textId="12924FBB"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0.0%</w:t>
            </w:r>
          </w:p>
        </w:tc>
        <w:tc>
          <w:tcPr>
            <w:tcW w:w="236" w:type="dxa"/>
            <w:vAlign w:val="center"/>
            <w:hideMark/>
          </w:tcPr>
          <w:p w14:paraId="47924103"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2D526F79"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10746FD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Stroke</w:t>
            </w:r>
          </w:p>
        </w:tc>
        <w:tc>
          <w:tcPr>
            <w:tcW w:w="1163" w:type="dxa"/>
            <w:tcBorders>
              <w:top w:val="nil"/>
              <w:left w:val="nil"/>
              <w:bottom w:val="single" w:sz="4" w:space="0" w:color="auto"/>
              <w:right w:val="single" w:sz="4" w:space="0" w:color="auto"/>
            </w:tcBorders>
            <w:shd w:val="clear" w:color="000000" w:fill="DDF1F3"/>
            <w:noWrap/>
            <w:vAlign w:val="center"/>
            <w:hideMark/>
          </w:tcPr>
          <w:p w14:paraId="5DF241C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31D22026" w14:textId="278A14E9"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10</w:t>
            </w:r>
            <w:r w:rsidR="002337C6">
              <w:rPr>
                <w:rFonts w:ascii="Arial" w:eastAsia="Times New Roman" w:hAnsi="Arial"/>
                <w:color w:val="000000"/>
                <w:sz w:val="22"/>
                <w:szCs w:val="22"/>
              </w:rPr>
              <w:t>,</w:t>
            </w:r>
            <w:r w:rsidRPr="00E12735">
              <w:rPr>
                <w:rFonts w:ascii="Arial" w:eastAsia="Times New Roman" w:hAnsi="Arial"/>
                <w:color w:val="000000"/>
                <w:sz w:val="22"/>
                <w:szCs w:val="22"/>
              </w:rPr>
              <w:t>033</w:t>
            </w:r>
          </w:p>
        </w:tc>
        <w:tc>
          <w:tcPr>
            <w:tcW w:w="976" w:type="dxa"/>
            <w:tcBorders>
              <w:top w:val="nil"/>
              <w:left w:val="nil"/>
              <w:bottom w:val="single" w:sz="4" w:space="0" w:color="auto"/>
              <w:right w:val="single" w:sz="4" w:space="0" w:color="auto"/>
            </w:tcBorders>
            <w:shd w:val="clear" w:color="000000" w:fill="DDF1F3"/>
            <w:noWrap/>
            <w:vAlign w:val="center"/>
            <w:hideMark/>
          </w:tcPr>
          <w:p w14:paraId="652815C3" w14:textId="28496521"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10</w:t>
            </w:r>
            <w:r w:rsidR="002337C6">
              <w:rPr>
                <w:rFonts w:ascii="Arial" w:eastAsia="Times New Roman" w:hAnsi="Arial"/>
                <w:color w:val="000000"/>
                <w:sz w:val="22"/>
                <w:szCs w:val="22"/>
              </w:rPr>
              <w:t>,</w:t>
            </w:r>
            <w:r w:rsidRPr="00E12735">
              <w:rPr>
                <w:rFonts w:ascii="Arial" w:eastAsia="Times New Roman" w:hAnsi="Arial"/>
                <w:color w:val="000000"/>
                <w:sz w:val="22"/>
                <w:szCs w:val="22"/>
              </w:rPr>
              <w:t>940</w:t>
            </w:r>
          </w:p>
        </w:tc>
        <w:tc>
          <w:tcPr>
            <w:tcW w:w="976" w:type="dxa"/>
            <w:tcBorders>
              <w:top w:val="nil"/>
              <w:left w:val="nil"/>
              <w:bottom w:val="single" w:sz="4" w:space="0" w:color="auto"/>
              <w:right w:val="single" w:sz="4" w:space="0" w:color="auto"/>
            </w:tcBorders>
            <w:shd w:val="clear" w:color="000000" w:fill="DDF1F3"/>
            <w:noWrap/>
            <w:vAlign w:val="center"/>
            <w:hideMark/>
          </w:tcPr>
          <w:p w14:paraId="4DD7D060" w14:textId="3B4C93AE"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11</w:t>
            </w:r>
            <w:r w:rsidR="002337C6">
              <w:rPr>
                <w:rFonts w:ascii="Arial" w:eastAsia="Times New Roman" w:hAnsi="Arial"/>
                <w:color w:val="000000"/>
                <w:sz w:val="22"/>
                <w:szCs w:val="22"/>
              </w:rPr>
              <w:t>,</w:t>
            </w:r>
            <w:r w:rsidRPr="00E12735">
              <w:rPr>
                <w:rFonts w:ascii="Arial" w:eastAsia="Times New Roman" w:hAnsi="Arial"/>
                <w:color w:val="000000"/>
                <w:sz w:val="22"/>
                <w:szCs w:val="22"/>
              </w:rPr>
              <w:t>484</w:t>
            </w:r>
          </w:p>
        </w:tc>
        <w:tc>
          <w:tcPr>
            <w:tcW w:w="976" w:type="dxa"/>
            <w:tcBorders>
              <w:top w:val="nil"/>
              <w:left w:val="nil"/>
              <w:bottom w:val="single" w:sz="4" w:space="0" w:color="auto"/>
              <w:right w:val="single" w:sz="4" w:space="0" w:color="auto"/>
            </w:tcBorders>
            <w:shd w:val="clear" w:color="000000" w:fill="DDF1F3"/>
            <w:noWrap/>
            <w:vAlign w:val="center"/>
            <w:hideMark/>
          </w:tcPr>
          <w:p w14:paraId="6B61DA59" w14:textId="357B2353"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11</w:t>
            </w:r>
            <w:r w:rsidR="002337C6">
              <w:rPr>
                <w:rFonts w:ascii="Arial" w:eastAsia="Times New Roman" w:hAnsi="Arial"/>
                <w:color w:val="000000"/>
                <w:sz w:val="22"/>
                <w:szCs w:val="22"/>
              </w:rPr>
              <w:t>,</w:t>
            </w:r>
            <w:r w:rsidRPr="00E12735">
              <w:rPr>
                <w:rFonts w:ascii="Arial" w:eastAsia="Times New Roman" w:hAnsi="Arial"/>
                <w:color w:val="000000"/>
                <w:sz w:val="22"/>
                <w:szCs w:val="22"/>
              </w:rPr>
              <w:t>907</w:t>
            </w:r>
          </w:p>
        </w:tc>
        <w:tc>
          <w:tcPr>
            <w:tcW w:w="976" w:type="dxa"/>
            <w:tcBorders>
              <w:top w:val="nil"/>
              <w:left w:val="nil"/>
              <w:bottom w:val="single" w:sz="4" w:space="0" w:color="auto"/>
              <w:right w:val="single" w:sz="4" w:space="0" w:color="auto"/>
            </w:tcBorders>
            <w:shd w:val="clear" w:color="000000" w:fill="DDF1F3"/>
            <w:noWrap/>
            <w:vAlign w:val="center"/>
            <w:hideMark/>
          </w:tcPr>
          <w:p w14:paraId="2402829E" w14:textId="0DD2B428"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w:t>
            </w:r>
            <w:r w:rsidR="004B4A8F">
              <w:rPr>
                <w:rFonts w:ascii="Arial" w:eastAsia="Times New Roman" w:hAnsi="Arial"/>
                <w:color w:val="000000"/>
                <w:sz w:val="22"/>
                <w:szCs w:val="22"/>
              </w:rPr>
              <w:t>,</w:t>
            </w:r>
            <w:r w:rsidRPr="00E12735">
              <w:rPr>
                <w:rFonts w:ascii="Arial" w:eastAsia="Times New Roman" w:hAnsi="Arial"/>
                <w:color w:val="000000"/>
                <w:sz w:val="22"/>
                <w:szCs w:val="22"/>
              </w:rPr>
              <w:t>158</w:t>
            </w:r>
          </w:p>
        </w:tc>
        <w:tc>
          <w:tcPr>
            <w:tcW w:w="976" w:type="dxa"/>
            <w:tcBorders>
              <w:top w:val="nil"/>
              <w:left w:val="nil"/>
              <w:bottom w:val="single" w:sz="4" w:space="0" w:color="auto"/>
              <w:right w:val="single" w:sz="4" w:space="0" w:color="auto"/>
            </w:tcBorders>
            <w:shd w:val="clear" w:color="000000" w:fill="DDF1F3"/>
            <w:noWrap/>
            <w:vAlign w:val="center"/>
            <w:hideMark/>
          </w:tcPr>
          <w:p w14:paraId="0F59ABA9" w14:textId="075E5836"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12</w:t>
            </w:r>
            <w:r w:rsidR="004B4A8F">
              <w:rPr>
                <w:rFonts w:ascii="Arial" w:eastAsia="Times New Roman" w:hAnsi="Arial"/>
                <w:color w:val="000000"/>
                <w:sz w:val="22"/>
                <w:szCs w:val="22"/>
              </w:rPr>
              <w:t>,</w:t>
            </w:r>
            <w:r w:rsidRPr="00E12735">
              <w:rPr>
                <w:rFonts w:ascii="Arial" w:eastAsia="Times New Roman" w:hAnsi="Arial"/>
                <w:color w:val="000000"/>
                <w:sz w:val="22"/>
                <w:szCs w:val="22"/>
              </w:rPr>
              <w:t>416</w:t>
            </w:r>
          </w:p>
        </w:tc>
        <w:tc>
          <w:tcPr>
            <w:tcW w:w="1212" w:type="dxa"/>
            <w:tcBorders>
              <w:top w:val="nil"/>
              <w:left w:val="nil"/>
              <w:bottom w:val="single" w:sz="4" w:space="0" w:color="auto"/>
              <w:right w:val="single" w:sz="4" w:space="0" w:color="auto"/>
            </w:tcBorders>
            <w:shd w:val="clear" w:color="000000" w:fill="DDF1F3"/>
            <w:noWrap/>
            <w:vAlign w:val="center"/>
            <w:hideMark/>
          </w:tcPr>
          <w:p w14:paraId="7E1B3813" w14:textId="3E10F1BE"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23.8%</w:t>
            </w:r>
          </w:p>
        </w:tc>
        <w:tc>
          <w:tcPr>
            <w:tcW w:w="236" w:type="dxa"/>
            <w:vAlign w:val="center"/>
            <w:hideMark/>
          </w:tcPr>
          <w:p w14:paraId="75432E41"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6E137029"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4E8B322C"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Stroke</w:t>
            </w:r>
          </w:p>
        </w:tc>
        <w:tc>
          <w:tcPr>
            <w:tcW w:w="1163" w:type="dxa"/>
            <w:tcBorders>
              <w:top w:val="nil"/>
              <w:left w:val="nil"/>
              <w:bottom w:val="single" w:sz="4" w:space="0" w:color="auto"/>
              <w:right w:val="single" w:sz="4" w:space="0" w:color="auto"/>
            </w:tcBorders>
            <w:shd w:val="clear" w:color="000000" w:fill="DDF1F3"/>
            <w:noWrap/>
            <w:vAlign w:val="center"/>
            <w:hideMark/>
          </w:tcPr>
          <w:p w14:paraId="4D10AB2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138404D1"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1.9</w:t>
            </w:r>
          </w:p>
        </w:tc>
        <w:tc>
          <w:tcPr>
            <w:tcW w:w="976" w:type="dxa"/>
            <w:tcBorders>
              <w:top w:val="nil"/>
              <w:left w:val="nil"/>
              <w:bottom w:val="single" w:sz="4" w:space="0" w:color="auto"/>
              <w:right w:val="single" w:sz="4" w:space="0" w:color="auto"/>
            </w:tcBorders>
            <w:shd w:val="clear" w:color="000000" w:fill="DDF1F3"/>
            <w:noWrap/>
            <w:vAlign w:val="center"/>
            <w:hideMark/>
          </w:tcPr>
          <w:p w14:paraId="4AB97821"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1.9</w:t>
            </w:r>
          </w:p>
        </w:tc>
        <w:tc>
          <w:tcPr>
            <w:tcW w:w="976" w:type="dxa"/>
            <w:tcBorders>
              <w:top w:val="nil"/>
              <w:left w:val="nil"/>
              <w:bottom w:val="single" w:sz="4" w:space="0" w:color="auto"/>
              <w:right w:val="single" w:sz="4" w:space="0" w:color="auto"/>
            </w:tcBorders>
            <w:shd w:val="clear" w:color="000000" w:fill="DDF1F3"/>
            <w:noWrap/>
            <w:vAlign w:val="center"/>
            <w:hideMark/>
          </w:tcPr>
          <w:p w14:paraId="4842584A"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p>
        </w:tc>
        <w:tc>
          <w:tcPr>
            <w:tcW w:w="976" w:type="dxa"/>
            <w:tcBorders>
              <w:top w:val="nil"/>
              <w:left w:val="nil"/>
              <w:bottom w:val="single" w:sz="4" w:space="0" w:color="auto"/>
              <w:right w:val="single" w:sz="4" w:space="0" w:color="auto"/>
            </w:tcBorders>
            <w:shd w:val="clear" w:color="000000" w:fill="DDF1F3"/>
            <w:noWrap/>
            <w:vAlign w:val="center"/>
            <w:hideMark/>
          </w:tcPr>
          <w:p w14:paraId="3441E19B"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p>
        </w:tc>
        <w:tc>
          <w:tcPr>
            <w:tcW w:w="976" w:type="dxa"/>
            <w:tcBorders>
              <w:top w:val="nil"/>
              <w:left w:val="nil"/>
              <w:bottom w:val="single" w:sz="4" w:space="0" w:color="auto"/>
              <w:right w:val="single" w:sz="4" w:space="0" w:color="auto"/>
            </w:tcBorders>
            <w:shd w:val="clear" w:color="000000" w:fill="DDF1F3"/>
            <w:noWrap/>
            <w:vAlign w:val="center"/>
            <w:hideMark/>
          </w:tcPr>
          <w:p w14:paraId="5E78BF2A"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p>
        </w:tc>
        <w:tc>
          <w:tcPr>
            <w:tcW w:w="976" w:type="dxa"/>
            <w:tcBorders>
              <w:top w:val="nil"/>
              <w:left w:val="nil"/>
              <w:bottom w:val="single" w:sz="4" w:space="0" w:color="auto"/>
              <w:right w:val="single" w:sz="4" w:space="0" w:color="auto"/>
            </w:tcBorders>
            <w:shd w:val="clear" w:color="000000" w:fill="DDF1F3"/>
            <w:noWrap/>
            <w:vAlign w:val="center"/>
            <w:hideMark/>
          </w:tcPr>
          <w:p w14:paraId="594A8F83"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p>
        </w:tc>
        <w:tc>
          <w:tcPr>
            <w:tcW w:w="1212" w:type="dxa"/>
            <w:tcBorders>
              <w:top w:val="nil"/>
              <w:left w:val="nil"/>
              <w:bottom w:val="single" w:sz="4" w:space="0" w:color="auto"/>
              <w:right w:val="single" w:sz="4" w:space="0" w:color="auto"/>
            </w:tcBorders>
            <w:shd w:val="clear" w:color="000000" w:fill="DDF1F3"/>
            <w:noWrap/>
            <w:vAlign w:val="center"/>
            <w:hideMark/>
          </w:tcPr>
          <w:p w14:paraId="1C708BF4" w14:textId="1894AA1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5.3%</w:t>
            </w:r>
          </w:p>
        </w:tc>
        <w:tc>
          <w:tcPr>
            <w:tcW w:w="236" w:type="dxa"/>
            <w:vAlign w:val="center"/>
            <w:hideMark/>
          </w:tcPr>
          <w:p w14:paraId="24B5D0AE"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4250399C"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7AC2C3A3"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SMI</w:t>
            </w:r>
          </w:p>
        </w:tc>
        <w:tc>
          <w:tcPr>
            <w:tcW w:w="1163" w:type="dxa"/>
            <w:tcBorders>
              <w:top w:val="nil"/>
              <w:left w:val="nil"/>
              <w:bottom w:val="single" w:sz="4" w:space="0" w:color="auto"/>
              <w:right w:val="single" w:sz="4" w:space="0" w:color="auto"/>
            </w:tcBorders>
            <w:shd w:val="clear" w:color="000000" w:fill="DDF1F3"/>
            <w:noWrap/>
            <w:vAlign w:val="center"/>
            <w:hideMark/>
          </w:tcPr>
          <w:p w14:paraId="1CD8300A"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2CB7B1CC" w14:textId="01C68A86"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w:t>
            </w:r>
            <w:r w:rsidR="004B4A8F">
              <w:rPr>
                <w:rFonts w:ascii="Arial" w:eastAsia="Times New Roman" w:hAnsi="Arial"/>
                <w:color w:val="000000"/>
                <w:sz w:val="22"/>
                <w:szCs w:val="22"/>
              </w:rPr>
              <w:t>,</w:t>
            </w:r>
            <w:r w:rsidRPr="00E12735">
              <w:rPr>
                <w:rFonts w:ascii="Arial" w:eastAsia="Times New Roman" w:hAnsi="Arial"/>
                <w:color w:val="000000"/>
                <w:sz w:val="22"/>
                <w:szCs w:val="22"/>
              </w:rPr>
              <w:t>578</w:t>
            </w:r>
          </w:p>
        </w:tc>
        <w:tc>
          <w:tcPr>
            <w:tcW w:w="976" w:type="dxa"/>
            <w:tcBorders>
              <w:top w:val="nil"/>
              <w:left w:val="nil"/>
              <w:bottom w:val="single" w:sz="4" w:space="0" w:color="auto"/>
              <w:right w:val="single" w:sz="4" w:space="0" w:color="auto"/>
            </w:tcBorders>
            <w:shd w:val="clear" w:color="000000" w:fill="DDF1F3"/>
            <w:noWrap/>
            <w:vAlign w:val="center"/>
            <w:hideMark/>
          </w:tcPr>
          <w:p w14:paraId="1E2CA180" w14:textId="29636072"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5</w:t>
            </w:r>
            <w:r w:rsidR="004B4A8F">
              <w:rPr>
                <w:rFonts w:ascii="Arial" w:eastAsia="Times New Roman" w:hAnsi="Arial"/>
                <w:color w:val="000000"/>
                <w:sz w:val="22"/>
                <w:szCs w:val="22"/>
              </w:rPr>
              <w:t>,</w:t>
            </w:r>
            <w:r w:rsidRPr="00E12735">
              <w:rPr>
                <w:rFonts w:ascii="Arial" w:eastAsia="Times New Roman" w:hAnsi="Arial"/>
                <w:color w:val="000000"/>
                <w:sz w:val="22"/>
                <w:szCs w:val="22"/>
              </w:rPr>
              <w:t>116</w:t>
            </w:r>
          </w:p>
        </w:tc>
        <w:tc>
          <w:tcPr>
            <w:tcW w:w="976" w:type="dxa"/>
            <w:tcBorders>
              <w:top w:val="nil"/>
              <w:left w:val="nil"/>
              <w:bottom w:val="single" w:sz="4" w:space="0" w:color="auto"/>
              <w:right w:val="single" w:sz="4" w:space="0" w:color="auto"/>
            </w:tcBorders>
            <w:shd w:val="clear" w:color="000000" w:fill="DDF1F3"/>
            <w:noWrap/>
            <w:vAlign w:val="center"/>
            <w:hideMark/>
          </w:tcPr>
          <w:p w14:paraId="313C5C6E" w14:textId="42BFB640"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5</w:t>
            </w:r>
            <w:r w:rsidR="004B4A8F">
              <w:rPr>
                <w:rFonts w:ascii="Arial" w:eastAsia="Times New Roman" w:hAnsi="Arial"/>
                <w:color w:val="000000"/>
                <w:sz w:val="22"/>
                <w:szCs w:val="22"/>
              </w:rPr>
              <w:t>,</w:t>
            </w:r>
            <w:r w:rsidRPr="00E12735">
              <w:rPr>
                <w:rFonts w:ascii="Arial" w:eastAsia="Times New Roman" w:hAnsi="Arial"/>
                <w:color w:val="000000"/>
                <w:sz w:val="22"/>
                <w:szCs w:val="22"/>
              </w:rPr>
              <w:t>529</w:t>
            </w:r>
          </w:p>
        </w:tc>
        <w:tc>
          <w:tcPr>
            <w:tcW w:w="976" w:type="dxa"/>
            <w:tcBorders>
              <w:top w:val="nil"/>
              <w:left w:val="nil"/>
              <w:bottom w:val="single" w:sz="4" w:space="0" w:color="auto"/>
              <w:right w:val="single" w:sz="4" w:space="0" w:color="auto"/>
            </w:tcBorders>
            <w:shd w:val="clear" w:color="000000" w:fill="DDF1F3"/>
            <w:noWrap/>
            <w:vAlign w:val="center"/>
            <w:hideMark/>
          </w:tcPr>
          <w:p w14:paraId="73B2B2E3" w14:textId="650D58D8"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5</w:t>
            </w:r>
            <w:r w:rsidR="004B4A8F">
              <w:rPr>
                <w:rFonts w:ascii="Arial" w:eastAsia="Times New Roman" w:hAnsi="Arial"/>
                <w:color w:val="000000"/>
                <w:sz w:val="22"/>
                <w:szCs w:val="22"/>
              </w:rPr>
              <w:t>,</w:t>
            </w:r>
            <w:r w:rsidRPr="00E12735">
              <w:rPr>
                <w:rFonts w:ascii="Arial" w:eastAsia="Times New Roman" w:hAnsi="Arial"/>
                <w:color w:val="000000"/>
                <w:sz w:val="22"/>
                <w:szCs w:val="22"/>
              </w:rPr>
              <w:t>844</w:t>
            </w:r>
          </w:p>
        </w:tc>
        <w:tc>
          <w:tcPr>
            <w:tcW w:w="976" w:type="dxa"/>
            <w:tcBorders>
              <w:top w:val="nil"/>
              <w:left w:val="nil"/>
              <w:bottom w:val="single" w:sz="4" w:space="0" w:color="auto"/>
              <w:right w:val="single" w:sz="4" w:space="0" w:color="auto"/>
            </w:tcBorders>
            <w:shd w:val="clear" w:color="000000" w:fill="DDF1F3"/>
            <w:noWrap/>
            <w:vAlign w:val="center"/>
            <w:hideMark/>
          </w:tcPr>
          <w:p w14:paraId="2985A0E2" w14:textId="767A506B"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w:t>
            </w:r>
            <w:r w:rsidR="004B4A8F">
              <w:rPr>
                <w:rFonts w:ascii="Arial" w:eastAsia="Times New Roman" w:hAnsi="Arial"/>
                <w:color w:val="000000"/>
                <w:sz w:val="22"/>
                <w:szCs w:val="22"/>
              </w:rPr>
              <w:t>,</w:t>
            </w:r>
            <w:r w:rsidRPr="00E12735">
              <w:rPr>
                <w:rFonts w:ascii="Arial" w:eastAsia="Times New Roman" w:hAnsi="Arial"/>
                <w:color w:val="000000"/>
                <w:sz w:val="22"/>
                <w:szCs w:val="22"/>
              </w:rPr>
              <w:t>086</w:t>
            </w:r>
          </w:p>
        </w:tc>
        <w:tc>
          <w:tcPr>
            <w:tcW w:w="976" w:type="dxa"/>
            <w:tcBorders>
              <w:top w:val="nil"/>
              <w:left w:val="nil"/>
              <w:bottom w:val="single" w:sz="4" w:space="0" w:color="auto"/>
              <w:right w:val="single" w:sz="4" w:space="0" w:color="auto"/>
            </w:tcBorders>
            <w:shd w:val="clear" w:color="000000" w:fill="DDF1F3"/>
            <w:noWrap/>
            <w:vAlign w:val="center"/>
            <w:hideMark/>
          </w:tcPr>
          <w:p w14:paraId="0679BFAB" w14:textId="4E98BAFD"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w:t>
            </w:r>
            <w:r w:rsidR="004B4A8F">
              <w:rPr>
                <w:rFonts w:ascii="Arial" w:eastAsia="Times New Roman" w:hAnsi="Arial"/>
                <w:color w:val="000000"/>
                <w:sz w:val="22"/>
                <w:szCs w:val="22"/>
              </w:rPr>
              <w:t>,</w:t>
            </w:r>
            <w:r w:rsidRPr="00E12735">
              <w:rPr>
                <w:rFonts w:ascii="Arial" w:eastAsia="Times New Roman" w:hAnsi="Arial"/>
                <w:color w:val="000000"/>
                <w:sz w:val="22"/>
                <w:szCs w:val="22"/>
              </w:rPr>
              <w:t>296</w:t>
            </w:r>
          </w:p>
        </w:tc>
        <w:tc>
          <w:tcPr>
            <w:tcW w:w="1212" w:type="dxa"/>
            <w:tcBorders>
              <w:top w:val="nil"/>
              <w:left w:val="nil"/>
              <w:bottom w:val="single" w:sz="4" w:space="0" w:color="auto"/>
              <w:right w:val="single" w:sz="4" w:space="0" w:color="auto"/>
            </w:tcBorders>
            <w:shd w:val="clear" w:color="000000" w:fill="DDF1F3"/>
            <w:noWrap/>
            <w:vAlign w:val="center"/>
            <w:hideMark/>
          </w:tcPr>
          <w:p w14:paraId="07BAB421" w14:textId="2C4CA112"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37.5%</w:t>
            </w:r>
          </w:p>
        </w:tc>
        <w:tc>
          <w:tcPr>
            <w:tcW w:w="236" w:type="dxa"/>
            <w:vAlign w:val="center"/>
            <w:hideMark/>
          </w:tcPr>
          <w:p w14:paraId="209D0186"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539A819E"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1ABEFDE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SMI</w:t>
            </w:r>
          </w:p>
        </w:tc>
        <w:tc>
          <w:tcPr>
            <w:tcW w:w="1163" w:type="dxa"/>
            <w:tcBorders>
              <w:top w:val="nil"/>
              <w:left w:val="nil"/>
              <w:bottom w:val="single" w:sz="4" w:space="0" w:color="auto"/>
              <w:right w:val="single" w:sz="4" w:space="0" w:color="auto"/>
            </w:tcBorders>
            <w:shd w:val="clear" w:color="000000" w:fill="DDF1F3"/>
            <w:noWrap/>
            <w:vAlign w:val="center"/>
            <w:hideMark/>
          </w:tcPr>
          <w:p w14:paraId="2C1F2D6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431EBCB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0.8</w:t>
            </w:r>
          </w:p>
        </w:tc>
        <w:tc>
          <w:tcPr>
            <w:tcW w:w="976" w:type="dxa"/>
            <w:tcBorders>
              <w:top w:val="nil"/>
              <w:left w:val="nil"/>
              <w:bottom w:val="single" w:sz="4" w:space="0" w:color="auto"/>
              <w:right w:val="single" w:sz="4" w:space="0" w:color="auto"/>
            </w:tcBorders>
            <w:shd w:val="clear" w:color="000000" w:fill="DDF1F3"/>
            <w:noWrap/>
            <w:vAlign w:val="center"/>
            <w:hideMark/>
          </w:tcPr>
          <w:p w14:paraId="0D3B681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0.9</w:t>
            </w:r>
          </w:p>
        </w:tc>
        <w:tc>
          <w:tcPr>
            <w:tcW w:w="976" w:type="dxa"/>
            <w:tcBorders>
              <w:top w:val="nil"/>
              <w:left w:val="nil"/>
              <w:bottom w:val="single" w:sz="4" w:space="0" w:color="auto"/>
              <w:right w:val="single" w:sz="4" w:space="0" w:color="auto"/>
            </w:tcBorders>
            <w:shd w:val="clear" w:color="000000" w:fill="DDF1F3"/>
            <w:noWrap/>
            <w:vAlign w:val="center"/>
            <w:hideMark/>
          </w:tcPr>
          <w:p w14:paraId="3B15147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0.9</w:t>
            </w:r>
          </w:p>
        </w:tc>
        <w:tc>
          <w:tcPr>
            <w:tcW w:w="976" w:type="dxa"/>
            <w:tcBorders>
              <w:top w:val="nil"/>
              <w:left w:val="nil"/>
              <w:bottom w:val="single" w:sz="4" w:space="0" w:color="auto"/>
              <w:right w:val="single" w:sz="4" w:space="0" w:color="auto"/>
            </w:tcBorders>
            <w:shd w:val="clear" w:color="000000" w:fill="DDF1F3"/>
            <w:noWrap/>
            <w:vAlign w:val="center"/>
            <w:hideMark/>
          </w:tcPr>
          <w:p w14:paraId="32C01352"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p>
        </w:tc>
        <w:tc>
          <w:tcPr>
            <w:tcW w:w="976" w:type="dxa"/>
            <w:tcBorders>
              <w:top w:val="nil"/>
              <w:left w:val="nil"/>
              <w:bottom w:val="single" w:sz="4" w:space="0" w:color="auto"/>
              <w:right w:val="single" w:sz="4" w:space="0" w:color="auto"/>
            </w:tcBorders>
            <w:shd w:val="clear" w:color="000000" w:fill="DDF1F3"/>
            <w:noWrap/>
            <w:vAlign w:val="center"/>
            <w:hideMark/>
          </w:tcPr>
          <w:p w14:paraId="0DB1F9B3"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p>
        </w:tc>
        <w:tc>
          <w:tcPr>
            <w:tcW w:w="976" w:type="dxa"/>
            <w:tcBorders>
              <w:top w:val="nil"/>
              <w:left w:val="nil"/>
              <w:bottom w:val="single" w:sz="4" w:space="0" w:color="auto"/>
              <w:right w:val="single" w:sz="4" w:space="0" w:color="auto"/>
            </w:tcBorders>
            <w:shd w:val="clear" w:color="000000" w:fill="DDF1F3"/>
            <w:noWrap/>
            <w:vAlign w:val="center"/>
            <w:hideMark/>
          </w:tcPr>
          <w:p w14:paraId="7FC4F162"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p>
        </w:tc>
        <w:tc>
          <w:tcPr>
            <w:tcW w:w="1212" w:type="dxa"/>
            <w:tcBorders>
              <w:top w:val="nil"/>
              <w:left w:val="nil"/>
              <w:bottom w:val="single" w:sz="4" w:space="0" w:color="auto"/>
              <w:right w:val="single" w:sz="4" w:space="0" w:color="auto"/>
            </w:tcBorders>
            <w:shd w:val="clear" w:color="000000" w:fill="DDF1F3"/>
            <w:noWrap/>
            <w:vAlign w:val="center"/>
            <w:hideMark/>
          </w:tcPr>
          <w:p w14:paraId="416D46FF" w14:textId="0556778E"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25.0%</w:t>
            </w:r>
          </w:p>
        </w:tc>
        <w:tc>
          <w:tcPr>
            <w:tcW w:w="236" w:type="dxa"/>
            <w:vAlign w:val="center"/>
            <w:hideMark/>
          </w:tcPr>
          <w:p w14:paraId="18496AFF"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3AA0B499" w14:textId="77777777" w:rsidTr="001C1CE1">
        <w:trPr>
          <w:trHeight w:val="355"/>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696B611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Dementia</w:t>
            </w:r>
          </w:p>
        </w:tc>
        <w:tc>
          <w:tcPr>
            <w:tcW w:w="1163" w:type="dxa"/>
            <w:tcBorders>
              <w:top w:val="nil"/>
              <w:left w:val="nil"/>
              <w:bottom w:val="single" w:sz="4" w:space="0" w:color="auto"/>
              <w:right w:val="single" w:sz="4" w:space="0" w:color="auto"/>
            </w:tcBorders>
            <w:shd w:val="clear" w:color="000000" w:fill="DDF1F3"/>
            <w:noWrap/>
            <w:vAlign w:val="center"/>
            <w:hideMark/>
          </w:tcPr>
          <w:p w14:paraId="57788F43"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471CEA5C" w14:textId="79A27F78"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w:t>
            </w:r>
            <w:r w:rsidR="004B4A8F">
              <w:rPr>
                <w:rFonts w:ascii="Arial" w:eastAsia="Times New Roman" w:hAnsi="Arial"/>
                <w:color w:val="000000"/>
                <w:sz w:val="22"/>
                <w:szCs w:val="22"/>
              </w:rPr>
              <w:t>,</w:t>
            </w:r>
            <w:r w:rsidRPr="00E12735">
              <w:rPr>
                <w:rFonts w:ascii="Arial" w:eastAsia="Times New Roman" w:hAnsi="Arial"/>
                <w:color w:val="000000"/>
                <w:sz w:val="22"/>
                <w:szCs w:val="22"/>
              </w:rPr>
              <w:t>854</w:t>
            </w:r>
          </w:p>
        </w:tc>
        <w:tc>
          <w:tcPr>
            <w:tcW w:w="976" w:type="dxa"/>
            <w:tcBorders>
              <w:top w:val="nil"/>
              <w:left w:val="nil"/>
              <w:bottom w:val="single" w:sz="4" w:space="0" w:color="auto"/>
              <w:right w:val="single" w:sz="4" w:space="0" w:color="auto"/>
            </w:tcBorders>
            <w:shd w:val="clear" w:color="000000" w:fill="DDF1F3"/>
            <w:noWrap/>
            <w:vAlign w:val="center"/>
            <w:hideMark/>
          </w:tcPr>
          <w:p w14:paraId="3B57B047" w14:textId="4A8C2DE8"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w:t>
            </w:r>
            <w:r w:rsidR="004B4A8F">
              <w:rPr>
                <w:rFonts w:ascii="Arial" w:eastAsia="Times New Roman" w:hAnsi="Arial"/>
                <w:color w:val="000000"/>
                <w:sz w:val="22"/>
                <w:szCs w:val="22"/>
              </w:rPr>
              <w:t>,</w:t>
            </w:r>
            <w:r w:rsidRPr="00E12735">
              <w:rPr>
                <w:rFonts w:ascii="Arial" w:eastAsia="Times New Roman" w:hAnsi="Arial"/>
                <w:color w:val="000000"/>
                <w:sz w:val="22"/>
                <w:szCs w:val="22"/>
              </w:rPr>
              <w:t>430</w:t>
            </w:r>
          </w:p>
        </w:tc>
        <w:tc>
          <w:tcPr>
            <w:tcW w:w="976" w:type="dxa"/>
            <w:tcBorders>
              <w:top w:val="nil"/>
              <w:left w:val="nil"/>
              <w:bottom w:val="single" w:sz="4" w:space="0" w:color="auto"/>
              <w:right w:val="single" w:sz="4" w:space="0" w:color="auto"/>
            </w:tcBorders>
            <w:shd w:val="clear" w:color="000000" w:fill="DDF1F3"/>
            <w:noWrap/>
            <w:vAlign w:val="center"/>
            <w:hideMark/>
          </w:tcPr>
          <w:p w14:paraId="2E125A01" w14:textId="7123851C"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7</w:t>
            </w:r>
            <w:r w:rsidR="004B4A8F">
              <w:rPr>
                <w:rFonts w:ascii="Arial" w:eastAsia="Times New Roman" w:hAnsi="Arial"/>
                <w:color w:val="000000"/>
                <w:sz w:val="22"/>
                <w:szCs w:val="22"/>
              </w:rPr>
              <w:t>,</w:t>
            </w:r>
            <w:r w:rsidRPr="00E12735">
              <w:rPr>
                <w:rFonts w:ascii="Arial" w:eastAsia="Times New Roman" w:hAnsi="Arial"/>
                <w:color w:val="000000"/>
                <w:sz w:val="22"/>
                <w:szCs w:val="22"/>
              </w:rPr>
              <w:t>419</w:t>
            </w:r>
          </w:p>
        </w:tc>
        <w:tc>
          <w:tcPr>
            <w:tcW w:w="976" w:type="dxa"/>
            <w:tcBorders>
              <w:top w:val="nil"/>
              <w:left w:val="nil"/>
              <w:bottom w:val="single" w:sz="4" w:space="0" w:color="auto"/>
              <w:right w:val="single" w:sz="4" w:space="0" w:color="auto"/>
            </w:tcBorders>
            <w:shd w:val="clear" w:color="000000" w:fill="DDF1F3"/>
            <w:noWrap/>
            <w:vAlign w:val="center"/>
            <w:hideMark/>
          </w:tcPr>
          <w:p w14:paraId="11139369" w14:textId="674CA601"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8</w:t>
            </w:r>
            <w:r w:rsidR="004B4A8F">
              <w:rPr>
                <w:rFonts w:ascii="Arial" w:eastAsia="Times New Roman" w:hAnsi="Arial"/>
                <w:color w:val="000000"/>
                <w:sz w:val="22"/>
                <w:szCs w:val="22"/>
              </w:rPr>
              <w:t>,</w:t>
            </w:r>
            <w:r w:rsidRPr="00E12735">
              <w:rPr>
                <w:rFonts w:ascii="Arial" w:eastAsia="Times New Roman" w:hAnsi="Arial"/>
                <w:color w:val="000000"/>
                <w:sz w:val="22"/>
                <w:szCs w:val="22"/>
              </w:rPr>
              <w:t>157</w:t>
            </w:r>
          </w:p>
        </w:tc>
        <w:tc>
          <w:tcPr>
            <w:tcW w:w="976" w:type="dxa"/>
            <w:tcBorders>
              <w:top w:val="nil"/>
              <w:left w:val="nil"/>
              <w:bottom w:val="single" w:sz="4" w:space="0" w:color="auto"/>
              <w:right w:val="single" w:sz="4" w:space="0" w:color="auto"/>
            </w:tcBorders>
            <w:shd w:val="clear" w:color="000000" w:fill="DDF1F3"/>
            <w:noWrap/>
            <w:vAlign w:val="center"/>
            <w:hideMark/>
          </w:tcPr>
          <w:p w14:paraId="370ADBB7" w14:textId="242D417A"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8</w:t>
            </w:r>
            <w:r w:rsidR="004B4A8F">
              <w:rPr>
                <w:rFonts w:ascii="Arial" w:eastAsia="Times New Roman" w:hAnsi="Arial"/>
                <w:color w:val="000000"/>
                <w:sz w:val="22"/>
                <w:szCs w:val="22"/>
              </w:rPr>
              <w:t>,</w:t>
            </w:r>
            <w:r w:rsidRPr="00E12735">
              <w:rPr>
                <w:rFonts w:ascii="Arial" w:eastAsia="Times New Roman" w:hAnsi="Arial"/>
                <w:color w:val="000000"/>
                <w:sz w:val="22"/>
                <w:szCs w:val="22"/>
              </w:rPr>
              <w:t>705</w:t>
            </w:r>
          </w:p>
        </w:tc>
        <w:tc>
          <w:tcPr>
            <w:tcW w:w="976" w:type="dxa"/>
            <w:tcBorders>
              <w:top w:val="nil"/>
              <w:left w:val="nil"/>
              <w:bottom w:val="single" w:sz="4" w:space="0" w:color="auto"/>
              <w:right w:val="single" w:sz="4" w:space="0" w:color="auto"/>
            </w:tcBorders>
            <w:shd w:val="clear" w:color="000000" w:fill="DDF1F3"/>
            <w:noWrap/>
            <w:vAlign w:val="center"/>
            <w:hideMark/>
          </w:tcPr>
          <w:p w14:paraId="369BDAA4" w14:textId="4CDB6DB2"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9</w:t>
            </w:r>
            <w:r w:rsidR="004B4A8F">
              <w:rPr>
                <w:rFonts w:ascii="Arial" w:eastAsia="Times New Roman" w:hAnsi="Arial"/>
                <w:color w:val="000000"/>
                <w:sz w:val="22"/>
                <w:szCs w:val="22"/>
              </w:rPr>
              <w:t>,</w:t>
            </w:r>
            <w:r w:rsidRPr="00E12735">
              <w:rPr>
                <w:rFonts w:ascii="Arial" w:eastAsia="Times New Roman" w:hAnsi="Arial"/>
                <w:color w:val="000000"/>
                <w:sz w:val="22"/>
                <w:szCs w:val="22"/>
              </w:rPr>
              <w:t>294</w:t>
            </w:r>
          </w:p>
        </w:tc>
        <w:tc>
          <w:tcPr>
            <w:tcW w:w="1212" w:type="dxa"/>
            <w:tcBorders>
              <w:top w:val="nil"/>
              <w:left w:val="nil"/>
              <w:bottom w:val="single" w:sz="4" w:space="0" w:color="auto"/>
              <w:right w:val="single" w:sz="4" w:space="0" w:color="auto"/>
            </w:tcBorders>
            <w:shd w:val="clear" w:color="000000" w:fill="DDF1F3"/>
            <w:noWrap/>
            <w:vAlign w:val="center"/>
            <w:hideMark/>
          </w:tcPr>
          <w:p w14:paraId="141F9348" w14:textId="5CEC61F5"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91.5%</w:t>
            </w:r>
          </w:p>
        </w:tc>
        <w:tc>
          <w:tcPr>
            <w:tcW w:w="236" w:type="dxa"/>
            <w:vAlign w:val="center"/>
            <w:hideMark/>
          </w:tcPr>
          <w:p w14:paraId="1A61F27F"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17FEC186" w14:textId="77777777" w:rsidTr="001C1CE1">
        <w:trPr>
          <w:trHeight w:val="416"/>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423D2FD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Dementia</w:t>
            </w:r>
          </w:p>
        </w:tc>
        <w:tc>
          <w:tcPr>
            <w:tcW w:w="1163" w:type="dxa"/>
            <w:tcBorders>
              <w:top w:val="nil"/>
              <w:left w:val="nil"/>
              <w:bottom w:val="single" w:sz="4" w:space="0" w:color="auto"/>
              <w:right w:val="single" w:sz="4" w:space="0" w:color="auto"/>
            </w:tcBorders>
            <w:shd w:val="clear" w:color="000000" w:fill="DDF1F3"/>
            <w:noWrap/>
            <w:vAlign w:val="center"/>
            <w:hideMark/>
          </w:tcPr>
          <w:p w14:paraId="4061384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6CB8C83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0.9</w:t>
            </w:r>
          </w:p>
        </w:tc>
        <w:tc>
          <w:tcPr>
            <w:tcW w:w="976" w:type="dxa"/>
            <w:tcBorders>
              <w:top w:val="nil"/>
              <w:left w:val="nil"/>
              <w:bottom w:val="single" w:sz="4" w:space="0" w:color="auto"/>
              <w:right w:val="single" w:sz="4" w:space="0" w:color="auto"/>
            </w:tcBorders>
            <w:shd w:val="clear" w:color="000000" w:fill="DDF1F3"/>
            <w:noWrap/>
            <w:vAlign w:val="center"/>
            <w:hideMark/>
          </w:tcPr>
          <w:p w14:paraId="07E5F0A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1.1</w:t>
            </w:r>
          </w:p>
        </w:tc>
        <w:tc>
          <w:tcPr>
            <w:tcW w:w="976" w:type="dxa"/>
            <w:tcBorders>
              <w:top w:val="nil"/>
              <w:left w:val="nil"/>
              <w:bottom w:val="single" w:sz="4" w:space="0" w:color="auto"/>
              <w:right w:val="single" w:sz="4" w:space="0" w:color="auto"/>
            </w:tcBorders>
            <w:shd w:val="clear" w:color="000000" w:fill="DDF1F3"/>
            <w:noWrap/>
            <w:vAlign w:val="center"/>
            <w:hideMark/>
          </w:tcPr>
          <w:p w14:paraId="1B4ED8B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1.3</w:t>
            </w:r>
          </w:p>
        </w:tc>
        <w:tc>
          <w:tcPr>
            <w:tcW w:w="976" w:type="dxa"/>
            <w:tcBorders>
              <w:top w:val="nil"/>
              <w:left w:val="nil"/>
              <w:bottom w:val="single" w:sz="4" w:space="0" w:color="auto"/>
              <w:right w:val="single" w:sz="4" w:space="0" w:color="auto"/>
            </w:tcBorders>
            <w:shd w:val="clear" w:color="000000" w:fill="DDF1F3"/>
            <w:noWrap/>
            <w:vAlign w:val="center"/>
            <w:hideMark/>
          </w:tcPr>
          <w:p w14:paraId="3ADCC35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1.4</w:t>
            </w:r>
          </w:p>
        </w:tc>
        <w:tc>
          <w:tcPr>
            <w:tcW w:w="976" w:type="dxa"/>
            <w:tcBorders>
              <w:top w:val="nil"/>
              <w:left w:val="nil"/>
              <w:bottom w:val="single" w:sz="4" w:space="0" w:color="auto"/>
              <w:right w:val="single" w:sz="4" w:space="0" w:color="auto"/>
            </w:tcBorders>
            <w:shd w:val="clear" w:color="000000" w:fill="DDF1F3"/>
            <w:noWrap/>
            <w:vAlign w:val="center"/>
            <w:hideMark/>
          </w:tcPr>
          <w:p w14:paraId="423EB8CC"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1.4</w:t>
            </w:r>
          </w:p>
        </w:tc>
        <w:tc>
          <w:tcPr>
            <w:tcW w:w="976" w:type="dxa"/>
            <w:tcBorders>
              <w:top w:val="nil"/>
              <w:left w:val="nil"/>
              <w:bottom w:val="single" w:sz="4" w:space="0" w:color="auto"/>
              <w:right w:val="single" w:sz="4" w:space="0" w:color="auto"/>
            </w:tcBorders>
            <w:shd w:val="clear" w:color="000000" w:fill="DDF1F3"/>
            <w:noWrap/>
            <w:vAlign w:val="center"/>
            <w:hideMark/>
          </w:tcPr>
          <w:p w14:paraId="7B443BEE"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1.5</w:t>
            </w:r>
          </w:p>
        </w:tc>
        <w:tc>
          <w:tcPr>
            <w:tcW w:w="1212" w:type="dxa"/>
            <w:tcBorders>
              <w:top w:val="nil"/>
              <w:left w:val="nil"/>
              <w:bottom w:val="single" w:sz="4" w:space="0" w:color="auto"/>
              <w:right w:val="single" w:sz="4" w:space="0" w:color="auto"/>
            </w:tcBorders>
            <w:shd w:val="clear" w:color="000000" w:fill="DDF1F3"/>
            <w:noWrap/>
            <w:vAlign w:val="center"/>
            <w:hideMark/>
          </w:tcPr>
          <w:p w14:paraId="03BC00CB" w14:textId="43BF28C3"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66.7%</w:t>
            </w:r>
          </w:p>
        </w:tc>
        <w:tc>
          <w:tcPr>
            <w:tcW w:w="236" w:type="dxa"/>
            <w:vAlign w:val="center"/>
            <w:hideMark/>
          </w:tcPr>
          <w:p w14:paraId="5E770B70"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4F29029E"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2352F27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Neuro</w:t>
            </w:r>
          </w:p>
        </w:tc>
        <w:tc>
          <w:tcPr>
            <w:tcW w:w="1163" w:type="dxa"/>
            <w:tcBorders>
              <w:top w:val="nil"/>
              <w:left w:val="nil"/>
              <w:bottom w:val="single" w:sz="4" w:space="0" w:color="auto"/>
              <w:right w:val="single" w:sz="4" w:space="0" w:color="auto"/>
            </w:tcBorders>
            <w:shd w:val="clear" w:color="000000" w:fill="DDF1F3"/>
            <w:noWrap/>
            <w:vAlign w:val="center"/>
            <w:hideMark/>
          </w:tcPr>
          <w:p w14:paraId="402DAA2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32E6A1D2" w14:textId="14B5E8A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w:t>
            </w:r>
            <w:r w:rsidR="004B4A8F">
              <w:rPr>
                <w:rFonts w:ascii="Arial" w:eastAsia="Times New Roman" w:hAnsi="Arial"/>
                <w:color w:val="000000"/>
                <w:sz w:val="22"/>
                <w:szCs w:val="22"/>
              </w:rPr>
              <w:t>,</w:t>
            </w:r>
            <w:r w:rsidRPr="00E12735">
              <w:rPr>
                <w:rFonts w:ascii="Arial" w:eastAsia="Times New Roman" w:hAnsi="Arial"/>
                <w:color w:val="000000"/>
                <w:sz w:val="22"/>
                <w:szCs w:val="22"/>
              </w:rPr>
              <w:t>611</w:t>
            </w:r>
          </w:p>
        </w:tc>
        <w:tc>
          <w:tcPr>
            <w:tcW w:w="976" w:type="dxa"/>
            <w:tcBorders>
              <w:top w:val="nil"/>
              <w:left w:val="nil"/>
              <w:bottom w:val="single" w:sz="4" w:space="0" w:color="auto"/>
              <w:right w:val="single" w:sz="4" w:space="0" w:color="auto"/>
            </w:tcBorders>
            <w:shd w:val="clear" w:color="000000" w:fill="DDF1F3"/>
            <w:noWrap/>
            <w:vAlign w:val="center"/>
            <w:hideMark/>
          </w:tcPr>
          <w:p w14:paraId="54DAB979" w14:textId="42C47FA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r w:rsidR="004B4A8F">
              <w:rPr>
                <w:rFonts w:ascii="Arial" w:eastAsia="Times New Roman" w:hAnsi="Arial"/>
                <w:color w:val="000000"/>
                <w:sz w:val="22"/>
                <w:szCs w:val="22"/>
              </w:rPr>
              <w:t>,</w:t>
            </w:r>
            <w:r w:rsidRPr="00E12735">
              <w:rPr>
                <w:rFonts w:ascii="Arial" w:eastAsia="Times New Roman" w:hAnsi="Arial"/>
                <w:color w:val="000000"/>
                <w:sz w:val="22"/>
                <w:szCs w:val="22"/>
              </w:rPr>
              <w:t>137</w:t>
            </w:r>
          </w:p>
        </w:tc>
        <w:tc>
          <w:tcPr>
            <w:tcW w:w="976" w:type="dxa"/>
            <w:tcBorders>
              <w:top w:val="nil"/>
              <w:left w:val="nil"/>
              <w:bottom w:val="single" w:sz="4" w:space="0" w:color="auto"/>
              <w:right w:val="single" w:sz="4" w:space="0" w:color="auto"/>
            </w:tcBorders>
            <w:shd w:val="clear" w:color="000000" w:fill="DDF1F3"/>
            <w:noWrap/>
            <w:vAlign w:val="center"/>
            <w:hideMark/>
          </w:tcPr>
          <w:p w14:paraId="660A3C09" w14:textId="53CB7122"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r w:rsidR="004B4A8F">
              <w:rPr>
                <w:rFonts w:ascii="Arial" w:eastAsia="Times New Roman" w:hAnsi="Arial"/>
                <w:color w:val="000000"/>
                <w:sz w:val="22"/>
                <w:szCs w:val="22"/>
              </w:rPr>
              <w:t>,</w:t>
            </w:r>
            <w:r w:rsidRPr="00E12735">
              <w:rPr>
                <w:rFonts w:ascii="Arial" w:eastAsia="Times New Roman" w:hAnsi="Arial"/>
                <w:color w:val="000000"/>
                <w:sz w:val="22"/>
                <w:szCs w:val="22"/>
              </w:rPr>
              <w:t>503</w:t>
            </w:r>
          </w:p>
        </w:tc>
        <w:tc>
          <w:tcPr>
            <w:tcW w:w="976" w:type="dxa"/>
            <w:tcBorders>
              <w:top w:val="nil"/>
              <w:left w:val="nil"/>
              <w:bottom w:val="single" w:sz="4" w:space="0" w:color="auto"/>
              <w:right w:val="single" w:sz="4" w:space="0" w:color="auto"/>
            </w:tcBorders>
            <w:shd w:val="clear" w:color="000000" w:fill="DDF1F3"/>
            <w:noWrap/>
            <w:vAlign w:val="center"/>
            <w:hideMark/>
          </w:tcPr>
          <w:p w14:paraId="31AE0062" w14:textId="2AF72922"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r w:rsidR="004B4A8F">
              <w:rPr>
                <w:rFonts w:ascii="Arial" w:eastAsia="Times New Roman" w:hAnsi="Arial"/>
                <w:color w:val="000000"/>
                <w:sz w:val="22"/>
                <w:szCs w:val="22"/>
              </w:rPr>
              <w:t>,</w:t>
            </w:r>
            <w:r w:rsidRPr="00E12735">
              <w:rPr>
                <w:rFonts w:ascii="Arial" w:eastAsia="Times New Roman" w:hAnsi="Arial"/>
                <w:color w:val="000000"/>
                <w:sz w:val="22"/>
                <w:szCs w:val="22"/>
              </w:rPr>
              <w:t>801</w:t>
            </w:r>
          </w:p>
        </w:tc>
        <w:tc>
          <w:tcPr>
            <w:tcW w:w="976" w:type="dxa"/>
            <w:tcBorders>
              <w:top w:val="nil"/>
              <w:left w:val="nil"/>
              <w:bottom w:val="single" w:sz="4" w:space="0" w:color="auto"/>
              <w:right w:val="single" w:sz="4" w:space="0" w:color="auto"/>
            </w:tcBorders>
            <w:shd w:val="clear" w:color="000000" w:fill="DDF1F3"/>
            <w:noWrap/>
            <w:vAlign w:val="center"/>
            <w:hideMark/>
          </w:tcPr>
          <w:p w14:paraId="7B5184A4" w14:textId="2D4C320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w:t>
            </w:r>
            <w:r w:rsidR="004B4A8F">
              <w:rPr>
                <w:rFonts w:ascii="Arial" w:eastAsia="Times New Roman" w:hAnsi="Arial"/>
                <w:color w:val="000000"/>
                <w:sz w:val="22"/>
                <w:szCs w:val="22"/>
              </w:rPr>
              <w:t>,</w:t>
            </w:r>
            <w:r w:rsidRPr="00E12735">
              <w:rPr>
                <w:rFonts w:ascii="Arial" w:eastAsia="Times New Roman" w:hAnsi="Arial"/>
                <w:color w:val="000000"/>
                <w:sz w:val="22"/>
                <w:szCs w:val="22"/>
              </w:rPr>
              <w:t>044</w:t>
            </w:r>
          </w:p>
        </w:tc>
        <w:tc>
          <w:tcPr>
            <w:tcW w:w="976" w:type="dxa"/>
            <w:tcBorders>
              <w:top w:val="nil"/>
              <w:left w:val="nil"/>
              <w:bottom w:val="single" w:sz="4" w:space="0" w:color="auto"/>
              <w:right w:val="single" w:sz="4" w:space="0" w:color="auto"/>
            </w:tcBorders>
            <w:shd w:val="clear" w:color="000000" w:fill="DDF1F3"/>
            <w:noWrap/>
            <w:vAlign w:val="center"/>
            <w:hideMark/>
          </w:tcPr>
          <w:p w14:paraId="015A8E01" w14:textId="1B3B3ABA"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w:t>
            </w:r>
            <w:r w:rsidR="004B4A8F">
              <w:rPr>
                <w:rFonts w:ascii="Arial" w:eastAsia="Times New Roman" w:hAnsi="Arial"/>
                <w:color w:val="000000"/>
                <w:sz w:val="22"/>
                <w:szCs w:val="22"/>
              </w:rPr>
              <w:t>,</w:t>
            </w:r>
            <w:r w:rsidRPr="00E12735">
              <w:rPr>
                <w:rFonts w:ascii="Arial" w:eastAsia="Times New Roman" w:hAnsi="Arial"/>
                <w:color w:val="000000"/>
                <w:sz w:val="22"/>
                <w:szCs w:val="22"/>
              </w:rPr>
              <w:t>289</w:t>
            </w:r>
          </w:p>
        </w:tc>
        <w:tc>
          <w:tcPr>
            <w:tcW w:w="1212" w:type="dxa"/>
            <w:tcBorders>
              <w:top w:val="nil"/>
              <w:left w:val="nil"/>
              <w:bottom w:val="single" w:sz="4" w:space="0" w:color="auto"/>
              <w:right w:val="single" w:sz="4" w:space="0" w:color="auto"/>
            </w:tcBorders>
            <w:shd w:val="clear" w:color="000000" w:fill="DDF1F3"/>
            <w:noWrap/>
            <w:vAlign w:val="center"/>
            <w:hideMark/>
          </w:tcPr>
          <w:p w14:paraId="0A066ABF" w14:textId="3D4941AA"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104.2%</w:t>
            </w:r>
          </w:p>
        </w:tc>
        <w:tc>
          <w:tcPr>
            <w:tcW w:w="236" w:type="dxa"/>
            <w:vAlign w:val="center"/>
            <w:hideMark/>
          </w:tcPr>
          <w:p w14:paraId="3339E593"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1083EFBC"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7356512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Neuro</w:t>
            </w:r>
          </w:p>
        </w:tc>
        <w:tc>
          <w:tcPr>
            <w:tcW w:w="1163" w:type="dxa"/>
            <w:tcBorders>
              <w:top w:val="nil"/>
              <w:left w:val="nil"/>
              <w:bottom w:val="single" w:sz="4" w:space="0" w:color="auto"/>
              <w:right w:val="single" w:sz="4" w:space="0" w:color="auto"/>
            </w:tcBorders>
            <w:shd w:val="clear" w:color="000000" w:fill="DDF1F3"/>
            <w:noWrap/>
            <w:vAlign w:val="center"/>
            <w:hideMark/>
          </w:tcPr>
          <w:p w14:paraId="5174675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79AC4499"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0.3</w:t>
            </w:r>
          </w:p>
        </w:tc>
        <w:tc>
          <w:tcPr>
            <w:tcW w:w="976" w:type="dxa"/>
            <w:tcBorders>
              <w:top w:val="nil"/>
              <w:left w:val="nil"/>
              <w:bottom w:val="single" w:sz="4" w:space="0" w:color="auto"/>
              <w:right w:val="single" w:sz="4" w:space="0" w:color="auto"/>
            </w:tcBorders>
            <w:shd w:val="clear" w:color="000000" w:fill="DDF1F3"/>
            <w:noWrap/>
            <w:vAlign w:val="center"/>
            <w:hideMark/>
          </w:tcPr>
          <w:p w14:paraId="60D087E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0.4</w:t>
            </w:r>
          </w:p>
        </w:tc>
        <w:tc>
          <w:tcPr>
            <w:tcW w:w="976" w:type="dxa"/>
            <w:tcBorders>
              <w:top w:val="nil"/>
              <w:left w:val="nil"/>
              <w:bottom w:val="single" w:sz="4" w:space="0" w:color="auto"/>
              <w:right w:val="single" w:sz="4" w:space="0" w:color="auto"/>
            </w:tcBorders>
            <w:shd w:val="clear" w:color="000000" w:fill="DDF1F3"/>
            <w:noWrap/>
            <w:vAlign w:val="center"/>
            <w:hideMark/>
          </w:tcPr>
          <w:p w14:paraId="3AFBBA7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0.4</w:t>
            </w:r>
          </w:p>
        </w:tc>
        <w:tc>
          <w:tcPr>
            <w:tcW w:w="976" w:type="dxa"/>
            <w:tcBorders>
              <w:top w:val="nil"/>
              <w:left w:val="nil"/>
              <w:bottom w:val="single" w:sz="4" w:space="0" w:color="auto"/>
              <w:right w:val="single" w:sz="4" w:space="0" w:color="auto"/>
            </w:tcBorders>
            <w:shd w:val="clear" w:color="000000" w:fill="DDF1F3"/>
            <w:noWrap/>
            <w:vAlign w:val="center"/>
            <w:hideMark/>
          </w:tcPr>
          <w:p w14:paraId="662D0427"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0.5</w:t>
            </w:r>
          </w:p>
        </w:tc>
        <w:tc>
          <w:tcPr>
            <w:tcW w:w="976" w:type="dxa"/>
            <w:tcBorders>
              <w:top w:val="nil"/>
              <w:left w:val="nil"/>
              <w:bottom w:val="single" w:sz="4" w:space="0" w:color="auto"/>
              <w:right w:val="single" w:sz="4" w:space="0" w:color="auto"/>
            </w:tcBorders>
            <w:shd w:val="clear" w:color="000000" w:fill="DDF1F3"/>
            <w:noWrap/>
            <w:vAlign w:val="center"/>
            <w:hideMark/>
          </w:tcPr>
          <w:p w14:paraId="68052A5A"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0.5</w:t>
            </w:r>
          </w:p>
        </w:tc>
        <w:tc>
          <w:tcPr>
            <w:tcW w:w="976" w:type="dxa"/>
            <w:tcBorders>
              <w:top w:val="nil"/>
              <w:left w:val="nil"/>
              <w:bottom w:val="single" w:sz="4" w:space="0" w:color="auto"/>
              <w:right w:val="single" w:sz="4" w:space="0" w:color="auto"/>
            </w:tcBorders>
            <w:shd w:val="clear" w:color="000000" w:fill="DDF1F3"/>
            <w:noWrap/>
            <w:vAlign w:val="center"/>
            <w:hideMark/>
          </w:tcPr>
          <w:p w14:paraId="2936A4E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0.5</w:t>
            </w:r>
          </w:p>
        </w:tc>
        <w:tc>
          <w:tcPr>
            <w:tcW w:w="1212" w:type="dxa"/>
            <w:tcBorders>
              <w:top w:val="nil"/>
              <w:left w:val="nil"/>
              <w:bottom w:val="single" w:sz="4" w:space="0" w:color="auto"/>
              <w:right w:val="single" w:sz="4" w:space="0" w:color="auto"/>
            </w:tcBorders>
            <w:shd w:val="clear" w:color="000000" w:fill="DDF1F3"/>
            <w:noWrap/>
            <w:vAlign w:val="center"/>
            <w:hideMark/>
          </w:tcPr>
          <w:p w14:paraId="3060DC1B" w14:textId="6693E540"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66.7%</w:t>
            </w:r>
          </w:p>
        </w:tc>
        <w:tc>
          <w:tcPr>
            <w:tcW w:w="236" w:type="dxa"/>
            <w:vAlign w:val="center"/>
            <w:hideMark/>
          </w:tcPr>
          <w:p w14:paraId="0EE8B567"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72302293"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3090C56E"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LD</w:t>
            </w:r>
          </w:p>
        </w:tc>
        <w:tc>
          <w:tcPr>
            <w:tcW w:w="1163" w:type="dxa"/>
            <w:tcBorders>
              <w:top w:val="nil"/>
              <w:left w:val="nil"/>
              <w:bottom w:val="single" w:sz="4" w:space="0" w:color="auto"/>
              <w:right w:val="single" w:sz="4" w:space="0" w:color="auto"/>
            </w:tcBorders>
            <w:shd w:val="clear" w:color="000000" w:fill="DDF1F3"/>
            <w:noWrap/>
            <w:vAlign w:val="center"/>
            <w:hideMark/>
          </w:tcPr>
          <w:p w14:paraId="3CF2E76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4DA4171C" w14:textId="7DB3153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r w:rsidR="004B4A8F">
              <w:rPr>
                <w:rFonts w:ascii="Arial" w:eastAsia="Times New Roman" w:hAnsi="Arial"/>
                <w:color w:val="000000"/>
                <w:sz w:val="22"/>
                <w:szCs w:val="22"/>
              </w:rPr>
              <w:t>,</w:t>
            </w:r>
            <w:r w:rsidRPr="00E12735">
              <w:rPr>
                <w:rFonts w:ascii="Arial" w:eastAsia="Times New Roman" w:hAnsi="Arial"/>
                <w:color w:val="000000"/>
                <w:sz w:val="22"/>
                <w:szCs w:val="22"/>
              </w:rPr>
              <w:t>380</w:t>
            </w:r>
          </w:p>
        </w:tc>
        <w:tc>
          <w:tcPr>
            <w:tcW w:w="976" w:type="dxa"/>
            <w:tcBorders>
              <w:top w:val="nil"/>
              <w:left w:val="nil"/>
              <w:bottom w:val="single" w:sz="4" w:space="0" w:color="auto"/>
              <w:right w:val="single" w:sz="4" w:space="0" w:color="auto"/>
            </w:tcBorders>
            <w:shd w:val="clear" w:color="000000" w:fill="DDF1F3"/>
            <w:noWrap/>
            <w:vAlign w:val="center"/>
            <w:hideMark/>
          </w:tcPr>
          <w:p w14:paraId="2B176BF5" w14:textId="37BE4D95"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r w:rsidR="004B4A8F">
              <w:rPr>
                <w:rFonts w:ascii="Arial" w:eastAsia="Times New Roman" w:hAnsi="Arial"/>
                <w:color w:val="000000"/>
                <w:sz w:val="22"/>
                <w:szCs w:val="22"/>
              </w:rPr>
              <w:t>,</w:t>
            </w:r>
            <w:r w:rsidRPr="00E12735">
              <w:rPr>
                <w:rFonts w:ascii="Arial" w:eastAsia="Times New Roman" w:hAnsi="Arial"/>
                <w:color w:val="000000"/>
                <w:sz w:val="22"/>
                <w:szCs w:val="22"/>
              </w:rPr>
              <w:t>618</w:t>
            </w:r>
          </w:p>
        </w:tc>
        <w:tc>
          <w:tcPr>
            <w:tcW w:w="976" w:type="dxa"/>
            <w:tcBorders>
              <w:top w:val="nil"/>
              <w:left w:val="nil"/>
              <w:bottom w:val="single" w:sz="4" w:space="0" w:color="auto"/>
              <w:right w:val="single" w:sz="4" w:space="0" w:color="auto"/>
            </w:tcBorders>
            <w:shd w:val="clear" w:color="000000" w:fill="DDF1F3"/>
            <w:noWrap/>
            <w:vAlign w:val="center"/>
            <w:hideMark/>
          </w:tcPr>
          <w:p w14:paraId="3C95673A" w14:textId="6B1F9A9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r w:rsidR="004B4A8F">
              <w:rPr>
                <w:rFonts w:ascii="Arial" w:eastAsia="Times New Roman" w:hAnsi="Arial"/>
                <w:color w:val="000000"/>
                <w:sz w:val="22"/>
                <w:szCs w:val="22"/>
              </w:rPr>
              <w:t>,</w:t>
            </w:r>
            <w:r w:rsidRPr="00E12735">
              <w:rPr>
                <w:rFonts w:ascii="Arial" w:eastAsia="Times New Roman" w:hAnsi="Arial"/>
                <w:color w:val="000000"/>
                <w:sz w:val="22"/>
                <w:szCs w:val="22"/>
              </w:rPr>
              <w:t>803</w:t>
            </w:r>
          </w:p>
        </w:tc>
        <w:tc>
          <w:tcPr>
            <w:tcW w:w="976" w:type="dxa"/>
            <w:tcBorders>
              <w:top w:val="nil"/>
              <w:left w:val="nil"/>
              <w:bottom w:val="single" w:sz="4" w:space="0" w:color="auto"/>
              <w:right w:val="single" w:sz="4" w:space="0" w:color="auto"/>
            </w:tcBorders>
            <w:shd w:val="clear" w:color="000000" w:fill="DDF1F3"/>
            <w:noWrap/>
            <w:vAlign w:val="center"/>
            <w:hideMark/>
          </w:tcPr>
          <w:p w14:paraId="4AA5F203" w14:textId="7FEDCCFF"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w:t>
            </w:r>
            <w:r w:rsidR="004B4A8F">
              <w:rPr>
                <w:rFonts w:ascii="Arial" w:eastAsia="Times New Roman" w:hAnsi="Arial"/>
                <w:color w:val="000000"/>
                <w:sz w:val="22"/>
                <w:szCs w:val="22"/>
              </w:rPr>
              <w:t>,</w:t>
            </w:r>
            <w:r w:rsidRPr="00E12735">
              <w:rPr>
                <w:rFonts w:ascii="Arial" w:eastAsia="Times New Roman" w:hAnsi="Arial"/>
                <w:color w:val="000000"/>
                <w:sz w:val="22"/>
                <w:szCs w:val="22"/>
              </w:rPr>
              <w:t>942</w:t>
            </w:r>
          </w:p>
        </w:tc>
        <w:tc>
          <w:tcPr>
            <w:tcW w:w="976" w:type="dxa"/>
            <w:tcBorders>
              <w:top w:val="nil"/>
              <w:left w:val="nil"/>
              <w:bottom w:val="single" w:sz="4" w:space="0" w:color="auto"/>
              <w:right w:val="single" w:sz="4" w:space="0" w:color="auto"/>
            </w:tcBorders>
            <w:shd w:val="clear" w:color="000000" w:fill="DDF1F3"/>
            <w:noWrap/>
            <w:vAlign w:val="center"/>
            <w:hideMark/>
          </w:tcPr>
          <w:p w14:paraId="5B42440A" w14:textId="35DFC0F9"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w:t>
            </w:r>
            <w:r w:rsidR="004B4A8F">
              <w:rPr>
                <w:rFonts w:ascii="Arial" w:eastAsia="Times New Roman" w:hAnsi="Arial"/>
                <w:color w:val="000000"/>
                <w:sz w:val="22"/>
                <w:szCs w:val="22"/>
              </w:rPr>
              <w:t>,</w:t>
            </w:r>
            <w:r w:rsidRPr="00E12735">
              <w:rPr>
                <w:rFonts w:ascii="Arial" w:eastAsia="Times New Roman" w:hAnsi="Arial"/>
                <w:color w:val="000000"/>
                <w:sz w:val="22"/>
                <w:szCs w:val="22"/>
              </w:rPr>
              <w:t>053</w:t>
            </w:r>
          </w:p>
        </w:tc>
        <w:tc>
          <w:tcPr>
            <w:tcW w:w="976" w:type="dxa"/>
            <w:tcBorders>
              <w:top w:val="nil"/>
              <w:left w:val="nil"/>
              <w:bottom w:val="single" w:sz="4" w:space="0" w:color="auto"/>
              <w:right w:val="single" w:sz="4" w:space="0" w:color="auto"/>
            </w:tcBorders>
            <w:shd w:val="clear" w:color="000000" w:fill="DDF1F3"/>
            <w:noWrap/>
            <w:vAlign w:val="center"/>
            <w:hideMark/>
          </w:tcPr>
          <w:p w14:paraId="18392381" w14:textId="7F68B873"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w:t>
            </w:r>
            <w:r w:rsidR="004B4A8F">
              <w:rPr>
                <w:rFonts w:ascii="Arial" w:eastAsia="Times New Roman" w:hAnsi="Arial"/>
                <w:color w:val="000000"/>
                <w:sz w:val="22"/>
                <w:szCs w:val="22"/>
              </w:rPr>
              <w:t>,</w:t>
            </w:r>
            <w:r w:rsidRPr="00E12735">
              <w:rPr>
                <w:rFonts w:ascii="Arial" w:eastAsia="Times New Roman" w:hAnsi="Arial"/>
                <w:color w:val="000000"/>
                <w:sz w:val="22"/>
                <w:szCs w:val="22"/>
              </w:rPr>
              <w:t>146</w:t>
            </w:r>
          </w:p>
        </w:tc>
        <w:tc>
          <w:tcPr>
            <w:tcW w:w="1212" w:type="dxa"/>
            <w:tcBorders>
              <w:top w:val="nil"/>
              <w:left w:val="nil"/>
              <w:bottom w:val="single" w:sz="4" w:space="0" w:color="auto"/>
              <w:right w:val="single" w:sz="4" w:space="0" w:color="auto"/>
            </w:tcBorders>
            <w:shd w:val="clear" w:color="000000" w:fill="DDF1F3"/>
            <w:noWrap/>
            <w:vAlign w:val="center"/>
            <w:hideMark/>
          </w:tcPr>
          <w:p w14:paraId="6313C69B" w14:textId="22C2420F"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32.2%</w:t>
            </w:r>
          </w:p>
        </w:tc>
        <w:tc>
          <w:tcPr>
            <w:tcW w:w="236" w:type="dxa"/>
            <w:vAlign w:val="center"/>
            <w:hideMark/>
          </w:tcPr>
          <w:p w14:paraId="08B711BD"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09F6F9C6"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3BAB53F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LD</w:t>
            </w:r>
          </w:p>
        </w:tc>
        <w:tc>
          <w:tcPr>
            <w:tcW w:w="1163" w:type="dxa"/>
            <w:tcBorders>
              <w:top w:val="nil"/>
              <w:left w:val="nil"/>
              <w:bottom w:val="single" w:sz="4" w:space="0" w:color="auto"/>
              <w:right w:val="single" w:sz="4" w:space="0" w:color="auto"/>
            </w:tcBorders>
            <w:shd w:val="clear" w:color="000000" w:fill="DDF1F3"/>
            <w:noWrap/>
            <w:vAlign w:val="center"/>
            <w:hideMark/>
          </w:tcPr>
          <w:p w14:paraId="36C1209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2A0C3658"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0.4</w:t>
            </w:r>
          </w:p>
        </w:tc>
        <w:tc>
          <w:tcPr>
            <w:tcW w:w="976" w:type="dxa"/>
            <w:tcBorders>
              <w:top w:val="nil"/>
              <w:left w:val="nil"/>
              <w:bottom w:val="single" w:sz="4" w:space="0" w:color="auto"/>
              <w:right w:val="single" w:sz="4" w:space="0" w:color="auto"/>
            </w:tcBorders>
            <w:shd w:val="clear" w:color="000000" w:fill="DDF1F3"/>
            <w:noWrap/>
            <w:vAlign w:val="center"/>
            <w:hideMark/>
          </w:tcPr>
          <w:p w14:paraId="318DA09E"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0.5</w:t>
            </w:r>
          </w:p>
        </w:tc>
        <w:tc>
          <w:tcPr>
            <w:tcW w:w="976" w:type="dxa"/>
            <w:tcBorders>
              <w:top w:val="nil"/>
              <w:left w:val="nil"/>
              <w:bottom w:val="single" w:sz="4" w:space="0" w:color="auto"/>
              <w:right w:val="single" w:sz="4" w:space="0" w:color="auto"/>
            </w:tcBorders>
            <w:shd w:val="clear" w:color="000000" w:fill="DDF1F3"/>
            <w:noWrap/>
            <w:vAlign w:val="center"/>
            <w:hideMark/>
          </w:tcPr>
          <w:p w14:paraId="21578E4A"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0.5</w:t>
            </w:r>
          </w:p>
        </w:tc>
        <w:tc>
          <w:tcPr>
            <w:tcW w:w="976" w:type="dxa"/>
            <w:tcBorders>
              <w:top w:val="nil"/>
              <w:left w:val="nil"/>
              <w:bottom w:val="single" w:sz="4" w:space="0" w:color="auto"/>
              <w:right w:val="single" w:sz="4" w:space="0" w:color="auto"/>
            </w:tcBorders>
            <w:shd w:val="clear" w:color="000000" w:fill="DDF1F3"/>
            <w:noWrap/>
            <w:vAlign w:val="center"/>
            <w:hideMark/>
          </w:tcPr>
          <w:p w14:paraId="36FA6BE6"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0.5</w:t>
            </w:r>
          </w:p>
        </w:tc>
        <w:tc>
          <w:tcPr>
            <w:tcW w:w="976" w:type="dxa"/>
            <w:tcBorders>
              <w:top w:val="nil"/>
              <w:left w:val="nil"/>
              <w:bottom w:val="single" w:sz="4" w:space="0" w:color="auto"/>
              <w:right w:val="single" w:sz="4" w:space="0" w:color="auto"/>
            </w:tcBorders>
            <w:shd w:val="clear" w:color="000000" w:fill="DDF1F3"/>
            <w:noWrap/>
            <w:vAlign w:val="center"/>
            <w:hideMark/>
          </w:tcPr>
          <w:p w14:paraId="400A272E"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0.5</w:t>
            </w:r>
          </w:p>
        </w:tc>
        <w:tc>
          <w:tcPr>
            <w:tcW w:w="976" w:type="dxa"/>
            <w:tcBorders>
              <w:top w:val="nil"/>
              <w:left w:val="nil"/>
              <w:bottom w:val="single" w:sz="4" w:space="0" w:color="auto"/>
              <w:right w:val="single" w:sz="4" w:space="0" w:color="auto"/>
            </w:tcBorders>
            <w:shd w:val="clear" w:color="000000" w:fill="DDF1F3"/>
            <w:noWrap/>
            <w:vAlign w:val="center"/>
            <w:hideMark/>
          </w:tcPr>
          <w:p w14:paraId="608DD445"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0.5</w:t>
            </w:r>
          </w:p>
        </w:tc>
        <w:tc>
          <w:tcPr>
            <w:tcW w:w="1212" w:type="dxa"/>
            <w:tcBorders>
              <w:top w:val="nil"/>
              <w:left w:val="nil"/>
              <w:bottom w:val="single" w:sz="4" w:space="0" w:color="auto"/>
              <w:right w:val="single" w:sz="4" w:space="0" w:color="auto"/>
            </w:tcBorders>
            <w:shd w:val="clear" w:color="000000" w:fill="DDF1F3"/>
            <w:noWrap/>
            <w:vAlign w:val="center"/>
            <w:hideMark/>
          </w:tcPr>
          <w:p w14:paraId="3C153CA0" w14:textId="1855409B"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25.0%</w:t>
            </w:r>
          </w:p>
        </w:tc>
        <w:tc>
          <w:tcPr>
            <w:tcW w:w="236" w:type="dxa"/>
            <w:vAlign w:val="center"/>
            <w:hideMark/>
          </w:tcPr>
          <w:p w14:paraId="15C38CA3"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6874488F"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62D8C904"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Frailty</w:t>
            </w:r>
          </w:p>
        </w:tc>
        <w:tc>
          <w:tcPr>
            <w:tcW w:w="1163" w:type="dxa"/>
            <w:tcBorders>
              <w:top w:val="nil"/>
              <w:left w:val="nil"/>
              <w:bottom w:val="single" w:sz="4" w:space="0" w:color="auto"/>
              <w:right w:val="single" w:sz="4" w:space="0" w:color="auto"/>
            </w:tcBorders>
            <w:shd w:val="clear" w:color="000000" w:fill="DDF1F3"/>
            <w:noWrap/>
            <w:vAlign w:val="center"/>
            <w:hideMark/>
          </w:tcPr>
          <w:p w14:paraId="31A47F1D"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Number</w:t>
            </w:r>
          </w:p>
        </w:tc>
        <w:tc>
          <w:tcPr>
            <w:tcW w:w="976" w:type="dxa"/>
            <w:tcBorders>
              <w:top w:val="nil"/>
              <w:left w:val="nil"/>
              <w:bottom w:val="single" w:sz="4" w:space="0" w:color="auto"/>
              <w:right w:val="single" w:sz="4" w:space="0" w:color="auto"/>
            </w:tcBorders>
            <w:shd w:val="clear" w:color="000000" w:fill="DDF1F3"/>
            <w:noWrap/>
            <w:vAlign w:val="center"/>
            <w:hideMark/>
          </w:tcPr>
          <w:p w14:paraId="0EAD3B27" w14:textId="021ACF3E"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20</w:t>
            </w:r>
            <w:r w:rsidR="004B4A8F">
              <w:rPr>
                <w:rFonts w:ascii="Arial" w:eastAsia="Times New Roman" w:hAnsi="Arial"/>
                <w:color w:val="000000"/>
                <w:sz w:val="22"/>
                <w:szCs w:val="22"/>
              </w:rPr>
              <w:t>,</w:t>
            </w:r>
            <w:r w:rsidRPr="00E12735">
              <w:rPr>
                <w:rFonts w:ascii="Arial" w:eastAsia="Times New Roman" w:hAnsi="Arial"/>
                <w:color w:val="000000"/>
                <w:sz w:val="22"/>
                <w:szCs w:val="22"/>
              </w:rPr>
              <w:t>343</w:t>
            </w:r>
          </w:p>
        </w:tc>
        <w:tc>
          <w:tcPr>
            <w:tcW w:w="976" w:type="dxa"/>
            <w:tcBorders>
              <w:top w:val="nil"/>
              <w:left w:val="nil"/>
              <w:bottom w:val="single" w:sz="4" w:space="0" w:color="auto"/>
              <w:right w:val="single" w:sz="4" w:space="0" w:color="auto"/>
            </w:tcBorders>
            <w:shd w:val="clear" w:color="000000" w:fill="DDF1F3"/>
            <w:noWrap/>
            <w:vAlign w:val="center"/>
            <w:hideMark/>
          </w:tcPr>
          <w:p w14:paraId="26C302D0" w14:textId="70105880"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23</w:t>
            </w:r>
            <w:r w:rsidR="004B4A8F">
              <w:rPr>
                <w:rFonts w:ascii="Arial" w:eastAsia="Times New Roman" w:hAnsi="Arial"/>
                <w:color w:val="000000"/>
                <w:sz w:val="22"/>
                <w:szCs w:val="22"/>
              </w:rPr>
              <w:t>,</w:t>
            </w:r>
            <w:r w:rsidRPr="00E12735">
              <w:rPr>
                <w:rFonts w:ascii="Arial" w:eastAsia="Times New Roman" w:hAnsi="Arial"/>
                <w:color w:val="000000"/>
                <w:sz w:val="22"/>
                <w:szCs w:val="22"/>
              </w:rPr>
              <w:t>978</w:t>
            </w:r>
          </w:p>
        </w:tc>
        <w:tc>
          <w:tcPr>
            <w:tcW w:w="976" w:type="dxa"/>
            <w:tcBorders>
              <w:top w:val="nil"/>
              <w:left w:val="nil"/>
              <w:bottom w:val="single" w:sz="4" w:space="0" w:color="auto"/>
              <w:right w:val="single" w:sz="4" w:space="0" w:color="auto"/>
            </w:tcBorders>
            <w:shd w:val="clear" w:color="000000" w:fill="DDF1F3"/>
            <w:noWrap/>
            <w:vAlign w:val="center"/>
            <w:hideMark/>
          </w:tcPr>
          <w:p w14:paraId="224FAF85" w14:textId="3FFB3574"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27</w:t>
            </w:r>
            <w:r w:rsidR="004B4A8F">
              <w:rPr>
                <w:rFonts w:ascii="Arial" w:eastAsia="Times New Roman" w:hAnsi="Arial"/>
                <w:color w:val="000000"/>
                <w:sz w:val="22"/>
                <w:szCs w:val="22"/>
              </w:rPr>
              <w:t>,</w:t>
            </w:r>
            <w:r w:rsidRPr="00E12735">
              <w:rPr>
                <w:rFonts w:ascii="Arial" w:eastAsia="Times New Roman" w:hAnsi="Arial"/>
                <w:color w:val="000000"/>
                <w:sz w:val="22"/>
                <w:szCs w:val="22"/>
              </w:rPr>
              <w:t>217</w:t>
            </w:r>
          </w:p>
        </w:tc>
        <w:tc>
          <w:tcPr>
            <w:tcW w:w="976" w:type="dxa"/>
            <w:tcBorders>
              <w:top w:val="nil"/>
              <w:left w:val="nil"/>
              <w:bottom w:val="single" w:sz="4" w:space="0" w:color="auto"/>
              <w:right w:val="single" w:sz="4" w:space="0" w:color="auto"/>
            </w:tcBorders>
            <w:shd w:val="clear" w:color="000000" w:fill="DDF1F3"/>
            <w:noWrap/>
            <w:vAlign w:val="center"/>
            <w:hideMark/>
          </w:tcPr>
          <w:p w14:paraId="660D3F81" w14:textId="330A83EB"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29</w:t>
            </w:r>
            <w:r w:rsidR="004B4A8F">
              <w:rPr>
                <w:rFonts w:ascii="Arial" w:eastAsia="Times New Roman" w:hAnsi="Arial"/>
                <w:color w:val="000000"/>
                <w:sz w:val="22"/>
                <w:szCs w:val="22"/>
              </w:rPr>
              <w:t>,</w:t>
            </w:r>
            <w:r w:rsidRPr="00E12735">
              <w:rPr>
                <w:rFonts w:ascii="Arial" w:eastAsia="Times New Roman" w:hAnsi="Arial"/>
                <w:color w:val="000000"/>
                <w:sz w:val="22"/>
                <w:szCs w:val="22"/>
              </w:rPr>
              <w:t>666</w:t>
            </w:r>
          </w:p>
        </w:tc>
        <w:tc>
          <w:tcPr>
            <w:tcW w:w="976" w:type="dxa"/>
            <w:tcBorders>
              <w:top w:val="nil"/>
              <w:left w:val="nil"/>
              <w:bottom w:val="single" w:sz="4" w:space="0" w:color="auto"/>
              <w:right w:val="single" w:sz="4" w:space="0" w:color="auto"/>
            </w:tcBorders>
            <w:shd w:val="clear" w:color="000000" w:fill="DDF1F3"/>
            <w:noWrap/>
            <w:vAlign w:val="center"/>
            <w:hideMark/>
          </w:tcPr>
          <w:p w14:paraId="254A2EED" w14:textId="1B9CC0EB"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31</w:t>
            </w:r>
            <w:r w:rsidR="004B4A8F">
              <w:rPr>
                <w:rFonts w:ascii="Arial" w:eastAsia="Times New Roman" w:hAnsi="Arial"/>
                <w:color w:val="000000"/>
                <w:sz w:val="22"/>
                <w:szCs w:val="22"/>
              </w:rPr>
              <w:t>,</w:t>
            </w:r>
            <w:r w:rsidRPr="00E12735">
              <w:rPr>
                <w:rFonts w:ascii="Arial" w:eastAsia="Times New Roman" w:hAnsi="Arial"/>
                <w:color w:val="000000"/>
                <w:sz w:val="22"/>
                <w:szCs w:val="22"/>
              </w:rPr>
              <w:t>404</w:t>
            </w:r>
          </w:p>
        </w:tc>
        <w:tc>
          <w:tcPr>
            <w:tcW w:w="976" w:type="dxa"/>
            <w:tcBorders>
              <w:top w:val="nil"/>
              <w:left w:val="nil"/>
              <w:bottom w:val="single" w:sz="4" w:space="0" w:color="auto"/>
              <w:right w:val="single" w:sz="4" w:space="0" w:color="auto"/>
            </w:tcBorders>
            <w:shd w:val="clear" w:color="000000" w:fill="DDF1F3"/>
            <w:noWrap/>
            <w:vAlign w:val="center"/>
            <w:hideMark/>
          </w:tcPr>
          <w:p w14:paraId="29F705A1" w14:textId="7D7C22F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33</w:t>
            </w:r>
            <w:r w:rsidR="004B4A8F">
              <w:rPr>
                <w:rFonts w:ascii="Arial" w:eastAsia="Times New Roman" w:hAnsi="Arial"/>
                <w:color w:val="000000"/>
                <w:sz w:val="22"/>
                <w:szCs w:val="22"/>
              </w:rPr>
              <w:t>,</w:t>
            </w:r>
            <w:r w:rsidRPr="00E12735">
              <w:rPr>
                <w:rFonts w:ascii="Arial" w:eastAsia="Times New Roman" w:hAnsi="Arial"/>
                <w:color w:val="000000"/>
                <w:sz w:val="22"/>
                <w:szCs w:val="22"/>
              </w:rPr>
              <w:t>092</w:t>
            </w:r>
          </w:p>
        </w:tc>
        <w:tc>
          <w:tcPr>
            <w:tcW w:w="1212" w:type="dxa"/>
            <w:tcBorders>
              <w:top w:val="nil"/>
              <w:left w:val="nil"/>
              <w:bottom w:val="single" w:sz="4" w:space="0" w:color="auto"/>
              <w:right w:val="single" w:sz="4" w:space="0" w:color="auto"/>
            </w:tcBorders>
            <w:shd w:val="clear" w:color="000000" w:fill="DDF1F3"/>
            <w:noWrap/>
            <w:vAlign w:val="center"/>
            <w:hideMark/>
          </w:tcPr>
          <w:p w14:paraId="049FA891" w14:textId="2995B559"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62.7%</w:t>
            </w:r>
          </w:p>
        </w:tc>
        <w:tc>
          <w:tcPr>
            <w:tcW w:w="236" w:type="dxa"/>
            <w:vAlign w:val="center"/>
            <w:hideMark/>
          </w:tcPr>
          <w:p w14:paraId="7C126331"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r w:rsidR="00E12735" w:rsidRPr="00E12735" w14:paraId="07140C20" w14:textId="77777777" w:rsidTr="001C1CE1">
        <w:trPr>
          <w:trHeight w:val="308"/>
        </w:trPr>
        <w:tc>
          <w:tcPr>
            <w:tcW w:w="1262" w:type="dxa"/>
            <w:tcBorders>
              <w:top w:val="nil"/>
              <w:left w:val="single" w:sz="4" w:space="0" w:color="auto"/>
              <w:bottom w:val="single" w:sz="4" w:space="0" w:color="auto"/>
              <w:right w:val="single" w:sz="4" w:space="0" w:color="auto"/>
            </w:tcBorders>
            <w:shd w:val="clear" w:color="000000" w:fill="DDF1F3"/>
            <w:noWrap/>
            <w:vAlign w:val="center"/>
            <w:hideMark/>
          </w:tcPr>
          <w:p w14:paraId="5010763B"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Frailty</w:t>
            </w:r>
          </w:p>
        </w:tc>
        <w:tc>
          <w:tcPr>
            <w:tcW w:w="1163" w:type="dxa"/>
            <w:tcBorders>
              <w:top w:val="nil"/>
              <w:left w:val="nil"/>
              <w:bottom w:val="single" w:sz="4" w:space="0" w:color="auto"/>
              <w:right w:val="single" w:sz="4" w:space="0" w:color="auto"/>
            </w:tcBorders>
            <w:shd w:val="clear" w:color="000000" w:fill="DDF1F3"/>
            <w:noWrap/>
            <w:vAlign w:val="center"/>
            <w:hideMark/>
          </w:tcPr>
          <w:p w14:paraId="22949EEF"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Percent</w:t>
            </w:r>
          </w:p>
        </w:tc>
        <w:tc>
          <w:tcPr>
            <w:tcW w:w="976" w:type="dxa"/>
            <w:tcBorders>
              <w:top w:val="nil"/>
              <w:left w:val="nil"/>
              <w:bottom w:val="single" w:sz="4" w:space="0" w:color="auto"/>
              <w:right w:val="single" w:sz="4" w:space="0" w:color="auto"/>
            </w:tcBorders>
            <w:shd w:val="clear" w:color="000000" w:fill="DDF1F3"/>
            <w:noWrap/>
            <w:vAlign w:val="center"/>
            <w:hideMark/>
          </w:tcPr>
          <w:p w14:paraId="3AA20713"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3.8</w:t>
            </w:r>
          </w:p>
        </w:tc>
        <w:tc>
          <w:tcPr>
            <w:tcW w:w="976" w:type="dxa"/>
            <w:tcBorders>
              <w:top w:val="nil"/>
              <w:left w:val="nil"/>
              <w:bottom w:val="single" w:sz="4" w:space="0" w:color="auto"/>
              <w:right w:val="single" w:sz="4" w:space="0" w:color="auto"/>
            </w:tcBorders>
            <w:shd w:val="clear" w:color="000000" w:fill="DDF1F3"/>
            <w:noWrap/>
            <w:vAlign w:val="center"/>
            <w:hideMark/>
          </w:tcPr>
          <w:p w14:paraId="74F62BFB"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4.2</w:t>
            </w:r>
          </w:p>
        </w:tc>
        <w:tc>
          <w:tcPr>
            <w:tcW w:w="976" w:type="dxa"/>
            <w:tcBorders>
              <w:top w:val="nil"/>
              <w:left w:val="nil"/>
              <w:bottom w:val="single" w:sz="4" w:space="0" w:color="auto"/>
              <w:right w:val="single" w:sz="4" w:space="0" w:color="auto"/>
            </w:tcBorders>
            <w:shd w:val="clear" w:color="000000" w:fill="DDF1F3"/>
            <w:noWrap/>
            <w:vAlign w:val="center"/>
            <w:hideMark/>
          </w:tcPr>
          <w:p w14:paraId="23023259"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4.7</w:t>
            </w:r>
          </w:p>
        </w:tc>
        <w:tc>
          <w:tcPr>
            <w:tcW w:w="976" w:type="dxa"/>
            <w:tcBorders>
              <w:top w:val="nil"/>
              <w:left w:val="nil"/>
              <w:bottom w:val="single" w:sz="4" w:space="0" w:color="auto"/>
              <w:right w:val="single" w:sz="4" w:space="0" w:color="auto"/>
            </w:tcBorders>
            <w:shd w:val="clear" w:color="000000" w:fill="DDF1F3"/>
            <w:noWrap/>
            <w:vAlign w:val="center"/>
            <w:hideMark/>
          </w:tcPr>
          <w:p w14:paraId="2652450B"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4.9</w:t>
            </w:r>
          </w:p>
        </w:tc>
        <w:tc>
          <w:tcPr>
            <w:tcW w:w="976" w:type="dxa"/>
            <w:tcBorders>
              <w:top w:val="nil"/>
              <w:left w:val="nil"/>
              <w:bottom w:val="single" w:sz="4" w:space="0" w:color="auto"/>
              <w:right w:val="single" w:sz="4" w:space="0" w:color="auto"/>
            </w:tcBorders>
            <w:shd w:val="clear" w:color="000000" w:fill="DDF1F3"/>
            <w:noWrap/>
            <w:vAlign w:val="center"/>
            <w:hideMark/>
          </w:tcPr>
          <w:p w14:paraId="3D2F802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5.1</w:t>
            </w:r>
          </w:p>
        </w:tc>
        <w:tc>
          <w:tcPr>
            <w:tcW w:w="976" w:type="dxa"/>
            <w:tcBorders>
              <w:top w:val="nil"/>
              <w:left w:val="nil"/>
              <w:bottom w:val="single" w:sz="4" w:space="0" w:color="auto"/>
              <w:right w:val="single" w:sz="4" w:space="0" w:color="auto"/>
            </w:tcBorders>
            <w:shd w:val="clear" w:color="000000" w:fill="DDF1F3"/>
            <w:noWrap/>
            <w:vAlign w:val="center"/>
            <w:hideMark/>
          </w:tcPr>
          <w:p w14:paraId="62533040" w14:textId="77777777"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5.3</w:t>
            </w:r>
          </w:p>
        </w:tc>
        <w:tc>
          <w:tcPr>
            <w:tcW w:w="1212" w:type="dxa"/>
            <w:tcBorders>
              <w:top w:val="nil"/>
              <w:left w:val="nil"/>
              <w:bottom w:val="single" w:sz="4" w:space="0" w:color="auto"/>
              <w:right w:val="single" w:sz="4" w:space="0" w:color="auto"/>
            </w:tcBorders>
            <w:shd w:val="clear" w:color="000000" w:fill="DDF1F3"/>
            <w:noWrap/>
            <w:vAlign w:val="center"/>
            <w:hideMark/>
          </w:tcPr>
          <w:p w14:paraId="2C6F0548" w14:textId="7E837A40" w:rsidR="00E12735" w:rsidRPr="00E12735" w:rsidRDefault="00E12735" w:rsidP="00E12735">
            <w:pPr>
              <w:spacing w:before="0" w:after="0" w:line="240" w:lineRule="auto"/>
              <w:jc w:val="both"/>
              <w:rPr>
                <w:rFonts w:ascii="Arial" w:eastAsia="Times New Roman" w:hAnsi="Arial"/>
                <w:color w:val="000000"/>
                <w:sz w:val="22"/>
                <w:szCs w:val="22"/>
              </w:rPr>
            </w:pPr>
            <w:r w:rsidRPr="00E12735">
              <w:rPr>
                <w:rFonts w:ascii="Arial" w:eastAsia="Times New Roman" w:hAnsi="Arial"/>
                <w:color w:val="000000"/>
                <w:sz w:val="22"/>
                <w:szCs w:val="22"/>
              </w:rPr>
              <w:t>39.5%</w:t>
            </w:r>
          </w:p>
        </w:tc>
        <w:tc>
          <w:tcPr>
            <w:tcW w:w="236" w:type="dxa"/>
            <w:vAlign w:val="center"/>
            <w:hideMark/>
          </w:tcPr>
          <w:p w14:paraId="3A2A6290" w14:textId="77777777" w:rsidR="00E12735" w:rsidRPr="00736B4D" w:rsidRDefault="00E12735" w:rsidP="00E12735">
            <w:pPr>
              <w:spacing w:before="0" w:after="0" w:line="240" w:lineRule="auto"/>
              <w:rPr>
                <w:rFonts w:ascii="Times New Roman" w:eastAsia="Times New Roman" w:hAnsi="Times New Roman" w:cs="Times New Roman"/>
                <w:sz w:val="22"/>
                <w:szCs w:val="22"/>
              </w:rPr>
            </w:pPr>
          </w:p>
        </w:tc>
      </w:tr>
    </w:tbl>
    <w:p w14:paraId="06DA5FA3" w14:textId="77777777" w:rsidR="007119C9" w:rsidRDefault="007119C9" w:rsidP="007119C9">
      <w:pPr>
        <w:jc w:val="both"/>
        <w:rPr>
          <w:rFonts w:ascii="Arial" w:hAnsi="Arial"/>
          <w:b/>
          <w:bCs/>
        </w:rPr>
      </w:pPr>
    </w:p>
    <w:p w14:paraId="4BD23B23" w14:textId="77777777" w:rsidR="007119C9" w:rsidRPr="00286B78" w:rsidRDefault="007119C9" w:rsidP="00D57E1A">
      <w:pPr>
        <w:pStyle w:val="Heading2"/>
      </w:pPr>
      <w:bookmarkStart w:id="208" w:name="_Toc128133874"/>
      <w:r w:rsidRPr="00286B78">
        <w:lastRenderedPageBreak/>
        <w:t>Additional impacts from enhanced Public Health intervention(s) Scenarios</w:t>
      </w:r>
      <w:bookmarkEnd w:id="208"/>
    </w:p>
    <w:p w14:paraId="5B339AE2" w14:textId="77777777" w:rsidR="007119C9" w:rsidRPr="00286B78" w:rsidRDefault="007119C9" w:rsidP="00E20573">
      <w:pPr>
        <w:pStyle w:val="BodyText"/>
        <w:ind w:left="0"/>
        <w:jc w:val="left"/>
        <w:rPr>
          <w:rFonts w:asciiTheme="minorHAnsi" w:hAnsiTheme="minorHAnsi" w:cstheme="minorHAnsi"/>
          <w:sz w:val="24"/>
          <w:szCs w:val="24"/>
        </w:rPr>
      </w:pPr>
      <w:r w:rsidRPr="00286B78">
        <w:rPr>
          <w:rFonts w:asciiTheme="minorHAnsi" w:hAnsiTheme="minorHAnsi" w:cstheme="minorHAnsi"/>
          <w:sz w:val="24"/>
          <w:szCs w:val="24"/>
        </w:rPr>
        <w:t xml:space="preserve">The ‘best case’ scenario described in this section relies on the following assumptions regarding risk factors: </w:t>
      </w:r>
    </w:p>
    <w:p w14:paraId="65C9C2E4" w14:textId="77777777" w:rsidR="007119C9" w:rsidRPr="00286B78" w:rsidRDefault="007119C9" w:rsidP="00E20573">
      <w:pPr>
        <w:pStyle w:val="BodyText"/>
        <w:numPr>
          <w:ilvl w:val="0"/>
          <w:numId w:val="21"/>
        </w:numPr>
        <w:spacing w:before="60"/>
        <w:ind w:left="715"/>
        <w:jc w:val="left"/>
        <w:rPr>
          <w:rFonts w:asciiTheme="minorHAnsi" w:hAnsiTheme="minorHAnsi" w:cstheme="minorBidi"/>
          <w:sz w:val="24"/>
          <w:szCs w:val="24"/>
        </w:rPr>
      </w:pPr>
      <w:bookmarkStart w:id="209" w:name="_Int_ZfJ8vaZM"/>
      <w:r w:rsidRPr="740CDBE4">
        <w:rPr>
          <w:rFonts w:asciiTheme="minorHAnsi" w:hAnsiTheme="minorHAnsi" w:cstheme="minorBidi"/>
          <w:sz w:val="24"/>
          <w:szCs w:val="24"/>
        </w:rPr>
        <w:t>That levels of smoking</w:t>
      </w:r>
      <w:bookmarkEnd w:id="209"/>
      <w:r w:rsidRPr="740CDBE4">
        <w:rPr>
          <w:rFonts w:asciiTheme="minorHAnsi" w:hAnsiTheme="minorHAnsi" w:cstheme="minorBidi"/>
          <w:sz w:val="24"/>
          <w:szCs w:val="24"/>
        </w:rPr>
        <w:t xml:space="preserve">, reducing since 2000, continue to do so and that </w:t>
      </w:r>
      <w:r w:rsidRPr="740CDBE4">
        <w:rPr>
          <w:rFonts w:asciiTheme="minorHAnsi" w:hAnsiTheme="minorHAnsi" w:cstheme="minorBidi"/>
          <w:b/>
          <w:sz w:val="24"/>
          <w:szCs w:val="24"/>
        </w:rPr>
        <w:t>an additional reduction in smoking prevalence of 0.5% per year is seen in the next 10 years</w:t>
      </w:r>
      <w:r w:rsidRPr="740CDBE4">
        <w:rPr>
          <w:rFonts w:asciiTheme="minorHAnsi" w:hAnsiTheme="minorHAnsi" w:cstheme="minorBidi"/>
          <w:sz w:val="24"/>
          <w:szCs w:val="24"/>
        </w:rPr>
        <w:t>.</w:t>
      </w:r>
    </w:p>
    <w:p w14:paraId="08468929" w14:textId="77777777" w:rsidR="007119C9" w:rsidRPr="00286B78" w:rsidRDefault="007119C9" w:rsidP="00E20573">
      <w:pPr>
        <w:pStyle w:val="BodyText"/>
        <w:numPr>
          <w:ilvl w:val="0"/>
          <w:numId w:val="21"/>
        </w:numPr>
        <w:spacing w:before="60"/>
        <w:ind w:left="715"/>
        <w:jc w:val="left"/>
        <w:rPr>
          <w:rFonts w:asciiTheme="minorHAnsi" w:hAnsiTheme="minorHAnsi" w:cstheme="minorHAnsi"/>
          <w:sz w:val="24"/>
          <w:szCs w:val="24"/>
        </w:rPr>
      </w:pPr>
      <w:r w:rsidRPr="00286B78">
        <w:rPr>
          <w:rFonts w:asciiTheme="minorHAnsi" w:hAnsiTheme="minorHAnsi" w:cstheme="minorHAnsi"/>
          <w:sz w:val="24"/>
          <w:szCs w:val="24"/>
        </w:rPr>
        <w:t xml:space="preserve">That </w:t>
      </w:r>
      <w:r w:rsidRPr="00286B78">
        <w:rPr>
          <w:rFonts w:asciiTheme="minorHAnsi" w:hAnsiTheme="minorHAnsi" w:cstheme="minorHAnsi"/>
          <w:b/>
          <w:bCs/>
          <w:sz w:val="24"/>
          <w:szCs w:val="24"/>
        </w:rPr>
        <w:t>rising levels of obesity are reversed from 2022</w:t>
      </w:r>
      <w:r w:rsidRPr="00286B78">
        <w:rPr>
          <w:rFonts w:asciiTheme="minorHAnsi" w:hAnsiTheme="minorHAnsi" w:cstheme="minorHAnsi"/>
          <w:sz w:val="24"/>
          <w:szCs w:val="24"/>
        </w:rPr>
        <w:t xml:space="preserve"> due to a range of public health interventions as well as further related healthy eating initiatives at national and local level.</w:t>
      </w:r>
    </w:p>
    <w:p w14:paraId="1508A5B1" w14:textId="63E35BBE" w:rsidR="007119C9" w:rsidRPr="00286B78" w:rsidRDefault="007119C9" w:rsidP="00E20573">
      <w:pPr>
        <w:pStyle w:val="BodyText"/>
        <w:numPr>
          <w:ilvl w:val="0"/>
          <w:numId w:val="21"/>
        </w:numPr>
        <w:spacing w:before="60"/>
        <w:ind w:left="715"/>
        <w:jc w:val="left"/>
        <w:rPr>
          <w:rFonts w:asciiTheme="minorHAnsi" w:hAnsiTheme="minorHAnsi" w:cstheme="minorHAnsi"/>
          <w:sz w:val="24"/>
          <w:szCs w:val="24"/>
        </w:rPr>
      </w:pPr>
      <w:r w:rsidRPr="00286B78">
        <w:rPr>
          <w:rFonts w:asciiTheme="minorHAnsi" w:hAnsiTheme="minorHAnsi" w:cstheme="minorHAnsi"/>
          <w:sz w:val="24"/>
          <w:szCs w:val="24"/>
        </w:rPr>
        <w:t xml:space="preserve">Harmful and hazardous alcohol intake </w:t>
      </w:r>
      <w:r w:rsidRPr="00286B78">
        <w:rPr>
          <w:rFonts w:asciiTheme="minorHAnsi" w:hAnsiTheme="minorHAnsi" w:cstheme="minorHAnsi"/>
          <w:b/>
          <w:bCs/>
          <w:sz w:val="24"/>
          <w:szCs w:val="24"/>
        </w:rPr>
        <w:t>is reduced by 0.5% per year from 2022</w:t>
      </w:r>
      <w:r w:rsidRPr="00286B78">
        <w:rPr>
          <w:rFonts w:asciiTheme="minorHAnsi" w:hAnsiTheme="minorHAnsi" w:cstheme="minorHAnsi"/>
          <w:sz w:val="24"/>
          <w:szCs w:val="24"/>
        </w:rPr>
        <w:t>.</w:t>
      </w:r>
    </w:p>
    <w:p w14:paraId="07C928D5" w14:textId="25D8FF99" w:rsidR="007119C9" w:rsidRPr="00286B78" w:rsidRDefault="00BD7393" w:rsidP="00E20573">
      <w:pPr>
        <w:pStyle w:val="BodyText"/>
        <w:numPr>
          <w:ilvl w:val="0"/>
          <w:numId w:val="21"/>
        </w:numPr>
        <w:spacing w:before="60"/>
        <w:ind w:left="715"/>
        <w:jc w:val="left"/>
        <w:rPr>
          <w:rFonts w:asciiTheme="minorHAnsi" w:hAnsiTheme="minorHAnsi" w:cstheme="minorHAnsi"/>
          <w:sz w:val="24"/>
          <w:szCs w:val="24"/>
        </w:rPr>
      </w:pPr>
      <w:r>
        <w:rPr>
          <w:rFonts w:asciiTheme="minorHAnsi" w:hAnsiTheme="minorHAnsi" w:cstheme="minorHAnsi"/>
          <w:sz w:val="24"/>
          <w:szCs w:val="24"/>
        </w:rPr>
        <w:t>A</w:t>
      </w:r>
      <w:r w:rsidR="007119C9" w:rsidRPr="00286B78">
        <w:rPr>
          <w:rFonts w:asciiTheme="minorHAnsi" w:hAnsiTheme="minorHAnsi" w:cstheme="minorHAnsi"/>
          <w:sz w:val="24"/>
          <w:szCs w:val="24"/>
        </w:rPr>
        <w:t>dverse childhood experiences (ACE</w:t>
      </w:r>
      <w:r>
        <w:rPr>
          <w:rFonts w:asciiTheme="minorHAnsi" w:hAnsiTheme="minorHAnsi" w:cstheme="minorHAnsi"/>
          <w:sz w:val="24"/>
          <w:szCs w:val="24"/>
        </w:rPr>
        <w:t>s</w:t>
      </w:r>
      <w:r w:rsidR="007119C9" w:rsidRPr="00286B78">
        <w:rPr>
          <w:rFonts w:asciiTheme="minorHAnsi" w:hAnsiTheme="minorHAnsi" w:cstheme="minorHAnsi"/>
          <w:sz w:val="24"/>
          <w:szCs w:val="24"/>
        </w:rPr>
        <w:t xml:space="preserve">) are </w:t>
      </w:r>
      <w:r w:rsidR="007119C9" w:rsidRPr="00286B78">
        <w:rPr>
          <w:rFonts w:asciiTheme="minorHAnsi" w:hAnsiTheme="minorHAnsi" w:cstheme="minorHAnsi"/>
          <w:b/>
          <w:bCs/>
          <w:sz w:val="24"/>
          <w:szCs w:val="24"/>
        </w:rPr>
        <w:t>reduced by 0.5% per year during the next 10 years</w:t>
      </w:r>
      <w:r w:rsidR="007119C9" w:rsidRPr="00286B78">
        <w:rPr>
          <w:rFonts w:asciiTheme="minorHAnsi" w:hAnsiTheme="minorHAnsi" w:cstheme="minorHAnsi"/>
          <w:sz w:val="24"/>
          <w:szCs w:val="24"/>
        </w:rPr>
        <w:t>.</w:t>
      </w:r>
    </w:p>
    <w:p w14:paraId="11AE4CF7" w14:textId="789660D9" w:rsidR="007119C9" w:rsidRPr="00E12735" w:rsidRDefault="007119C9" w:rsidP="00E20573">
      <w:pPr>
        <w:pStyle w:val="BodyText"/>
        <w:ind w:left="0"/>
        <w:jc w:val="left"/>
        <w:rPr>
          <w:rFonts w:asciiTheme="minorHAnsi" w:hAnsiTheme="minorHAnsi" w:cstheme="minorBidi"/>
          <w:sz w:val="24"/>
          <w:szCs w:val="24"/>
        </w:rPr>
      </w:pPr>
      <w:r w:rsidRPr="5E4DB3C2">
        <w:rPr>
          <w:rFonts w:asciiTheme="minorHAnsi" w:hAnsiTheme="minorHAnsi" w:cstheme="minorBidi"/>
          <w:sz w:val="24"/>
          <w:szCs w:val="24"/>
        </w:rPr>
        <w:t xml:space="preserve">Each of these risk factors impacts on the incidence of certain conditions, which the modelling tool deals with individually, but which we have combined in this section to provide an overall sense of the changing health needs of the population. </w:t>
      </w:r>
    </w:p>
    <w:p w14:paraId="66CB6436" w14:textId="77777777" w:rsidR="007119C9" w:rsidRPr="00286B78" w:rsidRDefault="007119C9" w:rsidP="00D57E1A">
      <w:pPr>
        <w:pStyle w:val="Heading2"/>
      </w:pPr>
      <w:bookmarkStart w:id="210" w:name="_Toc128133875"/>
      <w:r w:rsidRPr="15853314">
        <w:t>Impact upon cohort outcomes</w:t>
      </w:r>
      <w:bookmarkEnd w:id="210"/>
    </w:p>
    <w:p w14:paraId="23D06C92" w14:textId="39272003" w:rsidR="007119C9" w:rsidRPr="00286B78" w:rsidRDefault="007119C9" w:rsidP="00E20573">
      <w:pPr>
        <w:spacing w:line="240" w:lineRule="auto"/>
      </w:pPr>
      <w:r w:rsidRPr="32F7F25D">
        <w:t>The relative contribution of the different assumptions underlying this scenario can be seen in Figure 1</w:t>
      </w:r>
      <w:r>
        <w:t>1</w:t>
      </w:r>
      <w:r w:rsidR="006D7B54">
        <w:t>7</w:t>
      </w:r>
      <w:r w:rsidRPr="32F7F25D">
        <w:t xml:space="preserve"> to 1</w:t>
      </w:r>
      <w:r w:rsidR="00B93605">
        <w:t>20</w:t>
      </w:r>
      <w:r w:rsidRPr="32F7F25D">
        <w:t>. In summary, this suggests that:</w:t>
      </w:r>
    </w:p>
    <w:p w14:paraId="0DE1E7AC" w14:textId="77777777" w:rsidR="007119C9" w:rsidRPr="00286B78" w:rsidRDefault="007119C9" w:rsidP="00E20573">
      <w:pPr>
        <w:pStyle w:val="BodyText"/>
        <w:numPr>
          <w:ilvl w:val="0"/>
          <w:numId w:val="23"/>
        </w:numPr>
        <w:spacing w:line="276" w:lineRule="auto"/>
        <w:ind w:left="360"/>
        <w:jc w:val="left"/>
        <w:rPr>
          <w:rFonts w:asciiTheme="minorHAnsi" w:hAnsiTheme="minorHAnsi" w:cstheme="minorBidi"/>
          <w:sz w:val="24"/>
          <w:szCs w:val="24"/>
        </w:rPr>
      </w:pPr>
      <w:r w:rsidRPr="5E4DB3C2">
        <w:rPr>
          <w:rFonts w:asciiTheme="minorHAnsi" w:hAnsiTheme="minorHAnsi" w:cstheme="minorBidi"/>
          <w:sz w:val="24"/>
          <w:szCs w:val="24"/>
        </w:rPr>
        <w:t xml:space="preserve">The benefits of reduced levels of smoking are noticeable, but continue to increase over the next 25 years, partly in response to continued reductions, but also because the benefits of having given up, or preferably never having started to smoke, are often only fully realised in later life. </w:t>
      </w:r>
    </w:p>
    <w:p w14:paraId="2E8161AA" w14:textId="77777777" w:rsidR="007119C9" w:rsidRPr="00286B78" w:rsidRDefault="007119C9" w:rsidP="00E20573">
      <w:pPr>
        <w:pStyle w:val="BodyText"/>
        <w:numPr>
          <w:ilvl w:val="0"/>
          <w:numId w:val="23"/>
        </w:numPr>
        <w:spacing w:line="276" w:lineRule="auto"/>
        <w:ind w:left="360"/>
        <w:jc w:val="left"/>
        <w:rPr>
          <w:rFonts w:asciiTheme="minorHAnsi" w:hAnsiTheme="minorHAnsi" w:cstheme="minorBidi"/>
          <w:sz w:val="24"/>
          <w:szCs w:val="24"/>
        </w:rPr>
      </w:pPr>
      <w:r w:rsidRPr="5E4DB3C2">
        <w:rPr>
          <w:rFonts w:asciiTheme="minorHAnsi" w:hAnsiTheme="minorHAnsi" w:cstheme="minorBidi"/>
          <w:sz w:val="24"/>
          <w:szCs w:val="24"/>
        </w:rPr>
        <w:t xml:space="preserve">However, even with reduced smoking levels the prevalence of health conditions in the population continues to rise as a proportion of the </w:t>
      </w:r>
      <w:bookmarkStart w:id="211" w:name="_Int_mkRGf2BA"/>
      <w:r w:rsidRPr="5E4DB3C2">
        <w:rPr>
          <w:rFonts w:asciiTheme="minorHAnsi" w:hAnsiTheme="minorHAnsi" w:cstheme="minorBidi"/>
          <w:sz w:val="24"/>
          <w:szCs w:val="24"/>
        </w:rPr>
        <w:t>whole population</w:t>
      </w:r>
      <w:bookmarkEnd w:id="211"/>
      <w:r w:rsidRPr="5E4DB3C2">
        <w:rPr>
          <w:rFonts w:asciiTheme="minorHAnsi" w:hAnsiTheme="minorHAnsi" w:cstheme="minorBidi"/>
          <w:sz w:val="24"/>
          <w:szCs w:val="24"/>
        </w:rPr>
        <w:t>.</w:t>
      </w:r>
    </w:p>
    <w:p w14:paraId="348C88BB" w14:textId="77777777" w:rsidR="007119C9" w:rsidRPr="00286B78" w:rsidRDefault="007119C9" w:rsidP="00E20573">
      <w:pPr>
        <w:pStyle w:val="BodyText"/>
        <w:numPr>
          <w:ilvl w:val="0"/>
          <w:numId w:val="23"/>
        </w:numPr>
        <w:spacing w:line="276" w:lineRule="auto"/>
        <w:ind w:left="360"/>
        <w:jc w:val="left"/>
        <w:rPr>
          <w:rFonts w:asciiTheme="minorHAnsi" w:hAnsiTheme="minorHAnsi" w:cstheme="minorBidi"/>
          <w:sz w:val="24"/>
          <w:szCs w:val="24"/>
        </w:rPr>
      </w:pPr>
      <w:r w:rsidRPr="32F7F25D">
        <w:rPr>
          <w:rFonts w:asciiTheme="minorHAnsi" w:hAnsiTheme="minorHAnsi" w:cstheme="minorBidi"/>
          <w:sz w:val="24"/>
          <w:szCs w:val="24"/>
        </w:rPr>
        <w:t>The addition of reduced levels of obesity, hazardous and harmful drinking and improvements in adverse childhood experiences further reduce the levels of, at a population level.</w:t>
      </w:r>
    </w:p>
    <w:p w14:paraId="03389B7D" w14:textId="681337C1" w:rsidR="007119C9" w:rsidRPr="00E12735" w:rsidRDefault="007119C9" w:rsidP="00E20573">
      <w:pPr>
        <w:pStyle w:val="BodyText"/>
        <w:numPr>
          <w:ilvl w:val="0"/>
          <w:numId w:val="23"/>
        </w:numPr>
        <w:spacing w:line="276" w:lineRule="auto"/>
        <w:ind w:left="360"/>
        <w:jc w:val="left"/>
        <w:rPr>
          <w:rFonts w:asciiTheme="minorHAnsi" w:hAnsiTheme="minorHAnsi" w:cstheme="minorBidi"/>
          <w:sz w:val="24"/>
          <w:szCs w:val="24"/>
        </w:rPr>
      </w:pPr>
      <w:r w:rsidRPr="32F7F25D">
        <w:rPr>
          <w:rFonts w:asciiTheme="minorHAnsi" w:hAnsiTheme="minorHAnsi" w:cstheme="minorBidi"/>
          <w:sz w:val="24"/>
          <w:szCs w:val="24"/>
        </w:rPr>
        <w:t xml:space="preserve">There is </w:t>
      </w:r>
      <w:bookmarkStart w:id="212" w:name="_Int_kJJXQqPJ"/>
      <w:r w:rsidRPr="32F7F25D">
        <w:rPr>
          <w:rFonts w:asciiTheme="minorHAnsi" w:hAnsiTheme="minorHAnsi" w:cstheme="minorBidi"/>
          <w:sz w:val="24"/>
          <w:szCs w:val="24"/>
        </w:rPr>
        <w:t>approximately a</w:t>
      </w:r>
      <w:bookmarkEnd w:id="212"/>
      <w:r w:rsidRPr="32F7F25D">
        <w:rPr>
          <w:rFonts w:asciiTheme="minorHAnsi" w:hAnsiTheme="minorHAnsi" w:cstheme="minorBidi"/>
          <w:sz w:val="24"/>
          <w:szCs w:val="24"/>
        </w:rPr>
        <w:t xml:space="preserve"> 0.3% reduction in frailty when assessing the impact of improvements in all four risk factors. However, frailty will continue to increase significantly, by 40% between 2018 and 2043. The ‘best case’ in the longer term is to see the numbers who have a health condition increase, particularly in the multiple condition and frail cohorts. However, the impact of all 4 interventions combined would see the growth for multiple conditions slow from 2030 onwards.</w:t>
      </w:r>
    </w:p>
    <w:p w14:paraId="2DB1B14D" w14:textId="77777777" w:rsidR="007119C9" w:rsidRPr="00286B78" w:rsidRDefault="007119C9" w:rsidP="00D57E1A">
      <w:pPr>
        <w:pStyle w:val="Heading2"/>
      </w:pPr>
      <w:bookmarkStart w:id="213" w:name="_Toc128133876"/>
      <w:r w:rsidRPr="00286B78">
        <w:t>Impact upon prevalence</w:t>
      </w:r>
      <w:bookmarkEnd w:id="213"/>
    </w:p>
    <w:p w14:paraId="14EB94DE" w14:textId="77777777" w:rsidR="007119C9" w:rsidRPr="00286B78" w:rsidRDefault="007119C9" w:rsidP="00E20573">
      <w:pPr>
        <w:rPr>
          <w:rFonts w:cstheme="minorHAnsi"/>
        </w:rPr>
      </w:pPr>
      <w:r w:rsidRPr="00286B78">
        <w:rPr>
          <w:rFonts w:cstheme="minorHAnsi"/>
        </w:rPr>
        <w:t>Impacts for all health conditions was:</w:t>
      </w:r>
    </w:p>
    <w:p w14:paraId="2CBAD47A" w14:textId="77777777" w:rsidR="007119C9" w:rsidRPr="00286B78" w:rsidRDefault="007119C9" w:rsidP="00E20573">
      <w:pPr>
        <w:pStyle w:val="ListParagraph"/>
        <w:numPr>
          <w:ilvl w:val="0"/>
          <w:numId w:val="25"/>
        </w:numPr>
        <w:spacing w:after="160"/>
        <w:rPr>
          <w:sz w:val="24"/>
          <w:szCs w:val="24"/>
        </w:rPr>
      </w:pPr>
      <w:r w:rsidRPr="5E4DB3C2">
        <w:rPr>
          <w:sz w:val="24"/>
          <w:szCs w:val="24"/>
        </w:rPr>
        <w:t>2.3% reduction for further decreases in smoking prevalence.</w:t>
      </w:r>
    </w:p>
    <w:p w14:paraId="16761F45" w14:textId="77777777" w:rsidR="007119C9" w:rsidRPr="00286B78" w:rsidRDefault="007119C9" w:rsidP="00E20573">
      <w:pPr>
        <w:pStyle w:val="ListParagraph"/>
        <w:numPr>
          <w:ilvl w:val="0"/>
          <w:numId w:val="25"/>
        </w:numPr>
        <w:spacing w:after="160"/>
        <w:rPr>
          <w:sz w:val="24"/>
          <w:szCs w:val="24"/>
        </w:rPr>
      </w:pPr>
      <w:r w:rsidRPr="5E4DB3C2">
        <w:rPr>
          <w:sz w:val="24"/>
          <w:szCs w:val="24"/>
        </w:rPr>
        <w:lastRenderedPageBreak/>
        <w:t>4% reduction for reversal of obesity prevalence.</w:t>
      </w:r>
    </w:p>
    <w:p w14:paraId="4C9A5077" w14:textId="77777777" w:rsidR="007119C9" w:rsidRPr="00286B78" w:rsidRDefault="007119C9" w:rsidP="00E20573">
      <w:pPr>
        <w:pStyle w:val="ListParagraph"/>
        <w:numPr>
          <w:ilvl w:val="0"/>
          <w:numId w:val="25"/>
        </w:numPr>
        <w:spacing w:after="160"/>
        <w:rPr>
          <w:sz w:val="24"/>
          <w:szCs w:val="24"/>
        </w:rPr>
      </w:pPr>
      <w:r w:rsidRPr="5E4DB3C2">
        <w:rPr>
          <w:sz w:val="24"/>
          <w:szCs w:val="24"/>
        </w:rPr>
        <w:t>1.1% for reductions in harmful and hazardous drinking.</w:t>
      </w:r>
    </w:p>
    <w:p w14:paraId="570DBA20" w14:textId="6B97B2FF" w:rsidR="007119C9" w:rsidRPr="00286B78" w:rsidRDefault="007119C9" w:rsidP="00E20573">
      <w:pPr>
        <w:pStyle w:val="ListParagraph"/>
        <w:numPr>
          <w:ilvl w:val="0"/>
          <w:numId w:val="25"/>
        </w:numPr>
        <w:spacing w:after="160"/>
        <w:rPr>
          <w:sz w:val="24"/>
          <w:szCs w:val="24"/>
        </w:rPr>
      </w:pPr>
      <w:r w:rsidRPr="5E4DB3C2">
        <w:rPr>
          <w:sz w:val="24"/>
          <w:szCs w:val="24"/>
        </w:rPr>
        <w:t>0.6% for reduced ACE</w:t>
      </w:r>
      <w:r w:rsidR="00E94384">
        <w:rPr>
          <w:sz w:val="24"/>
          <w:szCs w:val="24"/>
        </w:rPr>
        <w:t>s</w:t>
      </w:r>
      <w:r w:rsidRPr="5E4DB3C2">
        <w:rPr>
          <w:sz w:val="24"/>
          <w:szCs w:val="24"/>
        </w:rPr>
        <w:t>.</w:t>
      </w:r>
    </w:p>
    <w:p w14:paraId="44AA2FBF" w14:textId="77777777" w:rsidR="007119C9" w:rsidRPr="00286B78" w:rsidRDefault="007119C9" w:rsidP="00E20573">
      <w:pPr>
        <w:pStyle w:val="ListParagraph"/>
        <w:numPr>
          <w:ilvl w:val="0"/>
          <w:numId w:val="25"/>
        </w:numPr>
        <w:spacing w:after="160"/>
        <w:rPr>
          <w:rFonts w:cstheme="minorHAnsi"/>
          <w:sz w:val="24"/>
          <w:szCs w:val="24"/>
        </w:rPr>
      </w:pPr>
      <w:r w:rsidRPr="00286B78">
        <w:rPr>
          <w:rFonts w:cstheme="minorHAnsi"/>
          <w:sz w:val="24"/>
          <w:szCs w:val="24"/>
        </w:rPr>
        <w:t>7.4% for all 4 interventions combined.</w:t>
      </w:r>
    </w:p>
    <w:p w14:paraId="203362A3" w14:textId="2714A906" w:rsidR="00362802" w:rsidRPr="00362802" w:rsidRDefault="00362802" w:rsidP="00E20573">
      <w:pPr>
        <w:rPr>
          <w:b/>
          <w:bCs/>
        </w:rPr>
      </w:pPr>
      <w:r w:rsidRPr="00362802">
        <w:rPr>
          <w:b/>
          <w:bCs/>
        </w:rPr>
        <w:t>Figure 11</w:t>
      </w:r>
      <w:r w:rsidR="006D7B54">
        <w:rPr>
          <w:b/>
          <w:bCs/>
        </w:rPr>
        <w:t>7</w:t>
      </w:r>
      <w:r w:rsidRPr="00362802">
        <w:rPr>
          <w:b/>
          <w:bCs/>
        </w:rPr>
        <w:t xml:space="preserve"> Impacts upon the prevalence of any health condition</w:t>
      </w:r>
    </w:p>
    <w:p w14:paraId="4FF68F39" w14:textId="77777777" w:rsidR="007119C9" w:rsidRDefault="007119C9" w:rsidP="00E20573">
      <w:r>
        <w:rPr>
          <w:noProof/>
          <w:color w:val="2B579A"/>
          <w:shd w:val="clear" w:color="auto" w:fill="E6E6E6"/>
        </w:rPr>
        <w:drawing>
          <wp:inline distT="0" distB="0" distL="0" distR="0" wp14:anchorId="000AE98A" wp14:editId="18A0350D">
            <wp:extent cx="5532767" cy="3497580"/>
            <wp:effectExtent l="0" t="0" r="0" b="7620"/>
            <wp:docPr id="752297158" name="Picture 752297158" descr="Line graph showing Impacts upon the prevalence of a single health condition. For Base, smoking, BMI, alcohol and ACE the lines all increase from approximately 14.4% to between 16.1% and 17.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7158" name="Picture 752297158" descr="Line graph showing Impacts upon the prevalence of a single health condition. For Base, smoking, BMI, alcohol and ACE the lines all increase from approximately 14.4% to between 16.1% and 17.5%.">
                      <a:extLst>
                        <a:ext uri="{C183D7F6-B498-43B3-948B-1728B52AA6E4}">
                          <adec:decorative xmlns:adec="http://schemas.microsoft.com/office/drawing/2017/decorative" val="0"/>
                        </a:ext>
                      </a:extLs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55330" cy="3511843"/>
                    </a:xfrm>
                    <a:prstGeom prst="rect">
                      <a:avLst/>
                    </a:prstGeom>
                    <a:noFill/>
                  </pic:spPr>
                </pic:pic>
              </a:graphicData>
            </a:graphic>
          </wp:inline>
        </w:drawing>
      </w:r>
    </w:p>
    <w:p w14:paraId="3ABED691" w14:textId="7D7BC9B0" w:rsidR="00362802" w:rsidRDefault="00362802" w:rsidP="00E20573">
      <w:pPr>
        <w:rPr>
          <w:b/>
          <w:bCs/>
        </w:rPr>
      </w:pPr>
      <w:r w:rsidRPr="32F7F25D">
        <w:rPr>
          <w:b/>
          <w:bCs/>
        </w:rPr>
        <w:t>Figure 1</w:t>
      </w:r>
      <w:r>
        <w:rPr>
          <w:b/>
          <w:bCs/>
        </w:rPr>
        <w:t>1</w:t>
      </w:r>
      <w:r w:rsidR="006D7B54">
        <w:rPr>
          <w:b/>
          <w:bCs/>
        </w:rPr>
        <w:t>8</w:t>
      </w:r>
      <w:r w:rsidRPr="32F7F25D">
        <w:rPr>
          <w:b/>
          <w:bCs/>
        </w:rPr>
        <w:t xml:space="preserve"> Impacts upon the prevalence of a single health condition</w:t>
      </w:r>
    </w:p>
    <w:p w14:paraId="2036040B" w14:textId="77777777" w:rsidR="007119C9" w:rsidRDefault="007119C9" w:rsidP="00E20573">
      <w:pPr>
        <w:rPr>
          <w:rFonts w:ascii="Arial" w:hAnsi="Arial"/>
        </w:rPr>
      </w:pPr>
      <w:r>
        <w:rPr>
          <w:noProof/>
          <w:color w:val="2B579A"/>
          <w:shd w:val="clear" w:color="auto" w:fill="E6E6E6"/>
        </w:rPr>
        <w:drawing>
          <wp:inline distT="0" distB="0" distL="0" distR="0" wp14:anchorId="559CDEBC" wp14:editId="72B1FA49">
            <wp:extent cx="5495925" cy="3400425"/>
            <wp:effectExtent l="0" t="0" r="9525" b="9525"/>
            <wp:docPr id="752297159" name="Chart 752297159" descr="Line graph showing Impacts upon the prevalence of a single health condition. For Base, smoking, BMI, alcohol and ACE the lines all sit around 8%. ">
              <a:extLst xmlns:a="http://schemas.openxmlformats.org/drawingml/2006/main">
                <a:ext uri="{FF2B5EF4-FFF2-40B4-BE49-F238E27FC236}">
                  <a16:creationId xmlns:a16="http://schemas.microsoft.com/office/drawing/2014/main" id="{EC0BC0B7-EAD6-4C70-BF9F-FD515454D9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3869C6CF" w14:textId="77777777" w:rsidR="007119C9" w:rsidRPr="00286B78" w:rsidRDefault="007119C9" w:rsidP="00E20573">
      <w:pPr>
        <w:rPr>
          <w:rFonts w:cstheme="minorHAnsi"/>
        </w:rPr>
      </w:pPr>
      <w:r w:rsidRPr="00286B78">
        <w:rPr>
          <w:rFonts w:cstheme="minorHAnsi"/>
        </w:rPr>
        <w:lastRenderedPageBreak/>
        <w:t>Impacts for multiple conditions prevalence was:</w:t>
      </w:r>
    </w:p>
    <w:p w14:paraId="4CFCD2F5" w14:textId="77777777" w:rsidR="007119C9" w:rsidRPr="00286B78" w:rsidRDefault="007119C9" w:rsidP="00E20573">
      <w:pPr>
        <w:pStyle w:val="ListParagraph"/>
        <w:numPr>
          <w:ilvl w:val="0"/>
          <w:numId w:val="25"/>
        </w:numPr>
        <w:spacing w:after="160"/>
        <w:rPr>
          <w:rFonts w:cstheme="minorHAnsi"/>
          <w:sz w:val="24"/>
          <w:szCs w:val="24"/>
        </w:rPr>
      </w:pPr>
      <w:r w:rsidRPr="00286B78">
        <w:rPr>
          <w:rFonts w:cstheme="minorHAnsi"/>
          <w:sz w:val="24"/>
          <w:szCs w:val="24"/>
        </w:rPr>
        <w:t>2.2% reduction for further reductions in smoking prevalence.</w:t>
      </w:r>
    </w:p>
    <w:p w14:paraId="1A35E017" w14:textId="77777777" w:rsidR="007119C9" w:rsidRPr="00286B78" w:rsidRDefault="007119C9" w:rsidP="00E20573">
      <w:pPr>
        <w:pStyle w:val="ListParagraph"/>
        <w:numPr>
          <w:ilvl w:val="0"/>
          <w:numId w:val="25"/>
        </w:numPr>
        <w:spacing w:after="160"/>
        <w:rPr>
          <w:rFonts w:cstheme="minorHAnsi"/>
          <w:sz w:val="24"/>
          <w:szCs w:val="24"/>
        </w:rPr>
      </w:pPr>
      <w:r w:rsidRPr="00286B78">
        <w:rPr>
          <w:rFonts w:cstheme="minorHAnsi"/>
          <w:sz w:val="24"/>
          <w:szCs w:val="24"/>
        </w:rPr>
        <w:t>3.2% reduction for reversal of obesity prevalence.</w:t>
      </w:r>
    </w:p>
    <w:p w14:paraId="1FE29917" w14:textId="77777777" w:rsidR="007119C9" w:rsidRPr="00286B78" w:rsidRDefault="007119C9" w:rsidP="00E20573">
      <w:pPr>
        <w:pStyle w:val="ListParagraph"/>
        <w:numPr>
          <w:ilvl w:val="0"/>
          <w:numId w:val="25"/>
        </w:numPr>
        <w:spacing w:after="160"/>
        <w:rPr>
          <w:rFonts w:cstheme="minorHAnsi"/>
          <w:sz w:val="24"/>
          <w:szCs w:val="24"/>
        </w:rPr>
      </w:pPr>
      <w:r w:rsidRPr="00286B78">
        <w:rPr>
          <w:rFonts w:cstheme="minorHAnsi"/>
          <w:sz w:val="24"/>
          <w:szCs w:val="24"/>
        </w:rPr>
        <w:t>1.1% for reductions in harmful and hazardous drinking.</w:t>
      </w:r>
    </w:p>
    <w:p w14:paraId="5317CCD0" w14:textId="77777777" w:rsidR="007119C9" w:rsidRPr="00286B78" w:rsidRDefault="007119C9" w:rsidP="00E20573">
      <w:pPr>
        <w:pStyle w:val="ListParagraph"/>
        <w:numPr>
          <w:ilvl w:val="0"/>
          <w:numId w:val="25"/>
        </w:numPr>
        <w:spacing w:after="160"/>
        <w:rPr>
          <w:rFonts w:cstheme="minorHAnsi"/>
          <w:sz w:val="24"/>
          <w:szCs w:val="24"/>
        </w:rPr>
      </w:pPr>
      <w:r w:rsidRPr="00286B78">
        <w:rPr>
          <w:rFonts w:cstheme="minorHAnsi"/>
          <w:sz w:val="24"/>
          <w:szCs w:val="24"/>
        </w:rPr>
        <w:t>8.6% for all 4 interventions combined.</w:t>
      </w:r>
    </w:p>
    <w:p w14:paraId="71C5DA7C" w14:textId="0E005A77" w:rsidR="00362802" w:rsidRPr="00362802" w:rsidRDefault="00362802" w:rsidP="00E20573">
      <w:pPr>
        <w:rPr>
          <w:b/>
          <w:bCs/>
        </w:rPr>
      </w:pPr>
      <w:r w:rsidRPr="00362802">
        <w:rPr>
          <w:b/>
          <w:bCs/>
        </w:rPr>
        <w:t>Figure 1</w:t>
      </w:r>
      <w:r w:rsidR="006D7B54">
        <w:rPr>
          <w:b/>
          <w:bCs/>
        </w:rPr>
        <w:t>19</w:t>
      </w:r>
      <w:r w:rsidRPr="00362802">
        <w:rPr>
          <w:b/>
          <w:bCs/>
        </w:rPr>
        <w:t xml:space="preserve">: Impacts upon the prevalence of multiple </w:t>
      </w:r>
      <w:r w:rsidR="00C56D15" w:rsidRPr="00362802">
        <w:rPr>
          <w:b/>
          <w:bCs/>
        </w:rPr>
        <w:t>conditions.</w:t>
      </w:r>
      <w:r w:rsidRPr="00362802">
        <w:rPr>
          <w:b/>
          <w:bCs/>
        </w:rPr>
        <w:t xml:space="preserve"> </w:t>
      </w:r>
    </w:p>
    <w:p w14:paraId="53193003" w14:textId="77777777" w:rsidR="007119C9" w:rsidRDefault="007119C9" w:rsidP="00E20573">
      <w:r>
        <w:rPr>
          <w:noProof/>
          <w:color w:val="2B579A"/>
          <w:shd w:val="clear" w:color="auto" w:fill="E6E6E6"/>
        </w:rPr>
        <w:drawing>
          <wp:inline distT="0" distB="0" distL="0" distR="0" wp14:anchorId="3D4EC576" wp14:editId="2A4CFA19">
            <wp:extent cx="4962525" cy="3162303"/>
            <wp:effectExtent l="0" t="0" r="0" b="0"/>
            <wp:docPr id="1412120192" name="Picture 1412120192" descr="Line graph showing Impacts upon the prevalence of multiple health conditions. For Base, smoking, BMI, alcohol and ACE the lines all increase from approximately 6.7% to between 8.5% and 9.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20192" name="Picture 1412120192" descr="Line graph showing Impacts upon the prevalence of multiple health conditions. For Base, smoking, BMI, alcohol and ACE the lines all increase from approximately 6.7% to between 8.5% and 9.3%.">
                      <a:extLst>
                        <a:ext uri="{C183D7F6-B498-43B3-948B-1728B52AA6E4}">
                          <adec:decorative xmlns:adec="http://schemas.microsoft.com/office/drawing/2017/decorative" val="0"/>
                        </a:ext>
                      </a:extLst>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84702" cy="3176435"/>
                    </a:xfrm>
                    <a:prstGeom prst="rect">
                      <a:avLst/>
                    </a:prstGeom>
                    <a:noFill/>
                  </pic:spPr>
                </pic:pic>
              </a:graphicData>
            </a:graphic>
          </wp:inline>
        </w:drawing>
      </w:r>
    </w:p>
    <w:p w14:paraId="10B47A6D" w14:textId="63D851C8" w:rsidR="007119C9" w:rsidRPr="00286B78" w:rsidRDefault="007119C9" w:rsidP="00E20573">
      <w:r w:rsidRPr="32F7F25D">
        <w:t>The model projections show minimal impacts of additional interventions upon frailty (Figure 1</w:t>
      </w:r>
      <w:r w:rsidR="00B93605">
        <w:t>20</w:t>
      </w:r>
      <w:r w:rsidRPr="32F7F25D">
        <w:t xml:space="preserve">). This is </w:t>
      </w:r>
      <w:bookmarkStart w:id="214" w:name="_Int_RM8eIMGM"/>
      <w:r w:rsidRPr="32F7F25D">
        <w:t>mainly due</w:t>
      </w:r>
      <w:bookmarkEnd w:id="214"/>
      <w:r w:rsidRPr="32F7F25D">
        <w:t xml:space="preserve"> to an increased life expectancy and higher numbers of older populations following public health interventions. </w:t>
      </w:r>
    </w:p>
    <w:p w14:paraId="785AEBB7" w14:textId="77777777" w:rsidR="001C1CE1" w:rsidRDefault="001C1CE1">
      <w:pPr>
        <w:spacing w:before="0" w:after="200"/>
        <w:rPr>
          <w:b/>
          <w:bCs/>
        </w:rPr>
      </w:pPr>
      <w:r>
        <w:rPr>
          <w:b/>
          <w:bCs/>
        </w:rPr>
        <w:br w:type="page"/>
      </w:r>
    </w:p>
    <w:p w14:paraId="54920E7B" w14:textId="19FF75E7" w:rsidR="00362802" w:rsidRPr="00362802" w:rsidRDefault="00362802" w:rsidP="00E20573">
      <w:pPr>
        <w:rPr>
          <w:b/>
          <w:bCs/>
        </w:rPr>
      </w:pPr>
      <w:r w:rsidRPr="32F7F25D">
        <w:rPr>
          <w:b/>
          <w:bCs/>
        </w:rPr>
        <w:lastRenderedPageBreak/>
        <w:t>Figure 1</w:t>
      </w:r>
      <w:r>
        <w:rPr>
          <w:b/>
          <w:bCs/>
        </w:rPr>
        <w:t>2</w:t>
      </w:r>
      <w:r w:rsidR="006D7B54">
        <w:rPr>
          <w:b/>
          <w:bCs/>
        </w:rPr>
        <w:t>0</w:t>
      </w:r>
      <w:r w:rsidRPr="32F7F25D">
        <w:rPr>
          <w:b/>
          <w:bCs/>
        </w:rPr>
        <w:t xml:space="preserve">: Impacts upon the prevalence of </w:t>
      </w:r>
      <w:r w:rsidR="00C56D15" w:rsidRPr="32F7F25D">
        <w:rPr>
          <w:b/>
          <w:bCs/>
        </w:rPr>
        <w:t>frailty.</w:t>
      </w:r>
    </w:p>
    <w:p w14:paraId="76C97226" w14:textId="77777777" w:rsidR="007119C9" w:rsidRDefault="007119C9" w:rsidP="00E20573">
      <w:r>
        <w:rPr>
          <w:noProof/>
          <w:color w:val="2B579A"/>
          <w:shd w:val="clear" w:color="auto" w:fill="E6E6E6"/>
        </w:rPr>
        <w:drawing>
          <wp:inline distT="0" distB="0" distL="0" distR="0" wp14:anchorId="40BF1D30" wp14:editId="5DBBAB48">
            <wp:extent cx="5487632" cy="2905125"/>
            <wp:effectExtent l="0" t="0" r="0" b="0"/>
            <wp:docPr id="752297160" name="Picture 752297160" descr="Line graph showing Impacts upon the prevalence of severe frailty. For Base, smoking, BMI, alcohol and ACE the lines all increase from approximately 3.8% to between 4.9% and 5.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7160" name="Picture 752297160" descr="Line graph showing Impacts upon the prevalence of severe frailty. For Base, smoking, BMI, alcohol and ACE the lines all increase from approximately 3.8% to between 4.9% and 5.3%.">
                      <a:extLst>
                        <a:ext uri="{C183D7F6-B498-43B3-948B-1728B52AA6E4}">
                          <adec:decorative xmlns:adec="http://schemas.microsoft.com/office/drawing/2017/decorative" val="0"/>
                        </a:ext>
                      </a:extLs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45093" cy="2935545"/>
                    </a:xfrm>
                    <a:prstGeom prst="rect">
                      <a:avLst/>
                    </a:prstGeom>
                    <a:noFill/>
                  </pic:spPr>
                </pic:pic>
              </a:graphicData>
            </a:graphic>
          </wp:inline>
        </w:drawing>
      </w:r>
    </w:p>
    <w:p w14:paraId="410E7C44" w14:textId="46EBD5DC" w:rsidR="007119C9" w:rsidRPr="00286B78" w:rsidRDefault="007119C9" w:rsidP="00D57E1A">
      <w:pPr>
        <w:pStyle w:val="Heading2"/>
      </w:pPr>
      <w:bookmarkStart w:id="215" w:name="_Toc128133877"/>
      <w:r w:rsidRPr="00286B78">
        <w:t xml:space="preserve">Impacts upon </w:t>
      </w:r>
      <w:r w:rsidR="00653625" w:rsidRPr="00286B78">
        <w:t>incidence.</w:t>
      </w:r>
      <w:bookmarkEnd w:id="215"/>
    </w:p>
    <w:p w14:paraId="63C2192A" w14:textId="33B028A0" w:rsidR="007119C9" w:rsidRPr="00286B78" w:rsidRDefault="007119C9" w:rsidP="00E20573">
      <w:pPr>
        <w:rPr>
          <w:rFonts w:cstheme="minorHAnsi"/>
        </w:rPr>
      </w:pPr>
      <w:r w:rsidRPr="00286B78">
        <w:rPr>
          <w:rFonts w:cstheme="minorHAnsi"/>
        </w:rPr>
        <w:t xml:space="preserve">This section of the report highlights the impacts of reducing the prevalence of each risk factor upon modelled projections for individual conditions. </w:t>
      </w:r>
      <w:r w:rsidRPr="00C56D15">
        <w:rPr>
          <w:rFonts w:cstheme="minorHAnsi"/>
        </w:rPr>
        <w:t xml:space="preserve">Figure </w:t>
      </w:r>
      <w:r w:rsidR="000312E1" w:rsidRPr="00C56D15">
        <w:rPr>
          <w:rFonts w:cstheme="minorHAnsi"/>
        </w:rPr>
        <w:t>12</w:t>
      </w:r>
      <w:r w:rsidR="006D7B54">
        <w:rPr>
          <w:rFonts w:cstheme="minorHAnsi"/>
        </w:rPr>
        <w:t>1</w:t>
      </w:r>
      <w:r w:rsidR="00C56D15">
        <w:rPr>
          <w:rFonts w:cstheme="minorHAnsi"/>
        </w:rPr>
        <w:t xml:space="preserve"> </w:t>
      </w:r>
      <w:r w:rsidR="000312E1" w:rsidRPr="00C56D15">
        <w:rPr>
          <w:rFonts w:cstheme="minorHAnsi"/>
        </w:rPr>
        <w:t>-</w:t>
      </w:r>
      <w:r w:rsidRPr="00286B78">
        <w:rPr>
          <w:rFonts w:cstheme="minorHAnsi"/>
        </w:rPr>
        <w:t xml:space="preserve"> illustrate</w:t>
      </w:r>
      <w:r w:rsidR="00470382">
        <w:rPr>
          <w:rFonts w:cstheme="minorHAnsi"/>
        </w:rPr>
        <w:t>s</w:t>
      </w:r>
      <w:r w:rsidRPr="00286B78">
        <w:rPr>
          <w:rFonts w:cstheme="minorHAnsi"/>
        </w:rPr>
        <w:t xml:space="preserve"> the cumulative change in the number of new cases that occur over the period of the model. </w:t>
      </w:r>
    </w:p>
    <w:p w14:paraId="18C6547C" w14:textId="41D50815" w:rsidR="000312E1" w:rsidRPr="000312E1" w:rsidRDefault="007119C9" w:rsidP="00E20573">
      <w:pPr>
        <w:pStyle w:val="ListParagraph"/>
        <w:numPr>
          <w:ilvl w:val="0"/>
          <w:numId w:val="20"/>
        </w:numPr>
        <w:spacing w:after="160"/>
        <w:rPr>
          <w:sz w:val="24"/>
          <w:szCs w:val="24"/>
        </w:rPr>
      </w:pPr>
      <w:r w:rsidRPr="32F7F25D">
        <w:rPr>
          <w:sz w:val="24"/>
          <w:szCs w:val="24"/>
        </w:rPr>
        <w:t>Reductions in smoking prevalence impact most upon respiratory and cardiovascular conditions, with the largest impacts for COPD (Figure 1</w:t>
      </w:r>
      <w:r w:rsidR="000312E1">
        <w:rPr>
          <w:sz w:val="24"/>
          <w:szCs w:val="24"/>
        </w:rPr>
        <w:t>2</w:t>
      </w:r>
      <w:r w:rsidR="00B93605">
        <w:rPr>
          <w:sz w:val="24"/>
          <w:szCs w:val="24"/>
        </w:rPr>
        <w:t>1</w:t>
      </w:r>
      <w:r w:rsidRPr="32F7F25D">
        <w:rPr>
          <w:sz w:val="24"/>
          <w:szCs w:val="24"/>
        </w:rPr>
        <w:t>).</w:t>
      </w:r>
    </w:p>
    <w:p w14:paraId="213ABCF4" w14:textId="760CD486" w:rsidR="007119C9" w:rsidRPr="00286B78" w:rsidRDefault="007119C9" w:rsidP="00E20573">
      <w:pPr>
        <w:rPr>
          <w:b/>
          <w:bCs/>
        </w:rPr>
      </w:pPr>
      <w:r w:rsidRPr="32F7F25D">
        <w:rPr>
          <w:b/>
          <w:bCs/>
        </w:rPr>
        <w:t>Figure 1</w:t>
      </w:r>
      <w:r w:rsidR="004D36C8">
        <w:rPr>
          <w:b/>
          <w:bCs/>
        </w:rPr>
        <w:t>2</w:t>
      </w:r>
      <w:r w:rsidR="006D7B54">
        <w:rPr>
          <w:b/>
          <w:bCs/>
        </w:rPr>
        <w:t>1</w:t>
      </w:r>
      <w:r w:rsidRPr="32F7F25D">
        <w:rPr>
          <w:b/>
          <w:bCs/>
        </w:rPr>
        <w:t>: Cumulative impact of smoking prevention</w:t>
      </w:r>
    </w:p>
    <w:p w14:paraId="2FB81518" w14:textId="284BA60E" w:rsidR="007119C9" w:rsidRPr="002A2BA5" w:rsidRDefault="007119C9" w:rsidP="00E20573">
      <w:pPr>
        <w:rPr>
          <w:rFonts w:ascii="Arial" w:hAnsi="Arial"/>
        </w:rPr>
      </w:pPr>
      <w:r>
        <w:rPr>
          <w:rFonts w:ascii="Arial" w:hAnsi="Arial"/>
          <w:noProof/>
          <w:color w:val="2B579A"/>
          <w:shd w:val="clear" w:color="auto" w:fill="E6E6E6"/>
        </w:rPr>
        <w:drawing>
          <wp:inline distT="0" distB="0" distL="0" distR="0" wp14:anchorId="7BDD0072" wp14:editId="65464136">
            <wp:extent cx="4960189" cy="3016050"/>
            <wp:effectExtent l="0" t="0" r="0" b="0"/>
            <wp:docPr id="1412120193" name="Picture 1412120193" descr="Column chart showing cumulative impact of smoking prevention. Reductions in smoking prevalence impact most upon respiratory and cardiovascular conditions, with the largest impacts for CO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20193" name="Picture 1412120193" descr="Column chart showing cumulative impact of smoking prevention. Reductions in smoking prevalence impact most upon respiratory and cardiovascular conditions, with the largest impacts for COP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88437" cy="3033226"/>
                    </a:xfrm>
                    <a:prstGeom prst="rect">
                      <a:avLst/>
                    </a:prstGeom>
                    <a:noFill/>
                  </pic:spPr>
                </pic:pic>
              </a:graphicData>
            </a:graphic>
          </wp:inline>
        </w:drawing>
      </w:r>
    </w:p>
    <w:p w14:paraId="7A19B256" w14:textId="45AA3C29" w:rsidR="002A2BA5" w:rsidRPr="002A2BA5" w:rsidRDefault="007119C9" w:rsidP="00E20573">
      <w:pPr>
        <w:pStyle w:val="ListParagraph"/>
        <w:numPr>
          <w:ilvl w:val="0"/>
          <w:numId w:val="19"/>
        </w:numPr>
        <w:spacing w:after="160"/>
        <w:rPr>
          <w:sz w:val="24"/>
          <w:szCs w:val="24"/>
        </w:rPr>
      </w:pPr>
      <w:r w:rsidRPr="32F7F25D">
        <w:rPr>
          <w:sz w:val="24"/>
          <w:szCs w:val="24"/>
        </w:rPr>
        <w:t>Reductions in BMI and obesity impact most upon diabetes and cardiovascular conditions, with the largest impact for diabetes (Figure 1</w:t>
      </w:r>
      <w:r w:rsidR="002A2BA5">
        <w:rPr>
          <w:sz w:val="24"/>
          <w:szCs w:val="24"/>
        </w:rPr>
        <w:t>2</w:t>
      </w:r>
      <w:r w:rsidR="006D7B54">
        <w:rPr>
          <w:sz w:val="24"/>
          <w:szCs w:val="24"/>
        </w:rPr>
        <w:t>2</w:t>
      </w:r>
      <w:r w:rsidRPr="32F7F25D">
        <w:rPr>
          <w:sz w:val="24"/>
          <w:szCs w:val="24"/>
        </w:rPr>
        <w:t>).</w:t>
      </w:r>
    </w:p>
    <w:p w14:paraId="7B862BCB" w14:textId="68AAD0B0" w:rsidR="002A2BA5" w:rsidRPr="002A2BA5" w:rsidRDefault="002A2BA5" w:rsidP="00E20573">
      <w:pPr>
        <w:rPr>
          <w:b/>
          <w:bCs/>
        </w:rPr>
      </w:pPr>
      <w:r w:rsidRPr="32F7F25D">
        <w:rPr>
          <w:b/>
          <w:bCs/>
        </w:rPr>
        <w:lastRenderedPageBreak/>
        <w:t>Figure 1</w:t>
      </w:r>
      <w:r>
        <w:rPr>
          <w:b/>
          <w:bCs/>
        </w:rPr>
        <w:t>2</w:t>
      </w:r>
      <w:r w:rsidR="006D7B54">
        <w:rPr>
          <w:b/>
          <w:bCs/>
        </w:rPr>
        <w:t>2</w:t>
      </w:r>
      <w:r w:rsidRPr="32F7F25D">
        <w:rPr>
          <w:b/>
          <w:bCs/>
        </w:rPr>
        <w:t>: Cumulative impact of BMI reductions</w:t>
      </w:r>
    </w:p>
    <w:p w14:paraId="6A2B30F7" w14:textId="77777777" w:rsidR="007119C9" w:rsidRPr="00FB7CCF" w:rsidRDefault="007119C9" w:rsidP="00E20573">
      <w:pPr>
        <w:rPr>
          <w:rFonts w:ascii="Arial" w:hAnsi="Arial"/>
          <w:b/>
          <w:bCs/>
        </w:rPr>
      </w:pPr>
      <w:r>
        <w:rPr>
          <w:rFonts w:ascii="Arial" w:hAnsi="Arial"/>
          <w:b/>
          <w:bCs/>
          <w:noProof/>
          <w:color w:val="2B579A"/>
          <w:shd w:val="clear" w:color="auto" w:fill="E6E6E6"/>
        </w:rPr>
        <w:drawing>
          <wp:inline distT="0" distB="0" distL="0" distR="0" wp14:anchorId="547EAE1D" wp14:editId="39F62667">
            <wp:extent cx="5063706" cy="2835872"/>
            <wp:effectExtent l="0" t="0" r="3810" b="3175"/>
            <wp:docPr id="1412120194" name="Picture 1412120194" descr="Column chart showing Cumulative impact of BMI reductions. Reductions in BMI and obesity impact most upon diabetes and cardiovascular conditions, with the largest impact for diabe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20194" name="Picture 1412120194" descr="Column chart showing Cumulative impact of BMI reductions. Reductions in BMI and obesity impact most upon diabetes and cardiovascular conditions, with the largest impact for diabetes "/>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03997" cy="2858437"/>
                    </a:xfrm>
                    <a:prstGeom prst="rect">
                      <a:avLst/>
                    </a:prstGeom>
                    <a:noFill/>
                  </pic:spPr>
                </pic:pic>
              </a:graphicData>
            </a:graphic>
          </wp:inline>
        </w:drawing>
      </w:r>
    </w:p>
    <w:p w14:paraId="74BF452B" w14:textId="2FE3162D" w:rsidR="007119C9" w:rsidRPr="00286B78" w:rsidRDefault="007119C9" w:rsidP="00E20573">
      <w:pPr>
        <w:pStyle w:val="ListParagraph"/>
        <w:numPr>
          <w:ilvl w:val="0"/>
          <w:numId w:val="18"/>
        </w:numPr>
        <w:spacing w:after="160"/>
        <w:rPr>
          <w:sz w:val="24"/>
          <w:szCs w:val="24"/>
        </w:rPr>
      </w:pPr>
      <w:r w:rsidRPr="32F7F25D">
        <w:rPr>
          <w:sz w:val="24"/>
          <w:szCs w:val="24"/>
        </w:rPr>
        <w:t>Reductions in harmful and hazardous drinking impact most upon cardiovascular conditions, with the largest impacts for stroke (Figure 1</w:t>
      </w:r>
      <w:r w:rsidR="00032B74">
        <w:rPr>
          <w:sz w:val="24"/>
          <w:szCs w:val="24"/>
        </w:rPr>
        <w:t>2</w:t>
      </w:r>
      <w:r w:rsidR="006D7B54">
        <w:rPr>
          <w:sz w:val="24"/>
          <w:szCs w:val="24"/>
        </w:rPr>
        <w:t>3</w:t>
      </w:r>
      <w:r w:rsidRPr="32F7F25D">
        <w:rPr>
          <w:sz w:val="24"/>
          <w:szCs w:val="24"/>
        </w:rPr>
        <w:t>).</w:t>
      </w:r>
    </w:p>
    <w:p w14:paraId="66A7B9A5" w14:textId="69C3886E" w:rsidR="007119C9" w:rsidRPr="00286B78" w:rsidRDefault="007119C9" w:rsidP="00E20573">
      <w:pPr>
        <w:rPr>
          <w:b/>
          <w:bCs/>
        </w:rPr>
      </w:pPr>
      <w:r w:rsidRPr="32F7F25D">
        <w:rPr>
          <w:b/>
          <w:bCs/>
        </w:rPr>
        <w:t>Figure 1</w:t>
      </w:r>
      <w:r w:rsidR="004D36C8">
        <w:rPr>
          <w:b/>
          <w:bCs/>
        </w:rPr>
        <w:t>2</w:t>
      </w:r>
      <w:r w:rsidR="006D7B54">
        <w:rPr>
          <w:b/>
          <w:bCs/>
        </w:rPr>
        <w:t>3</w:t>
      </w:r>
      <w:r w:rsidRPr="32F7F25D">
        <w:rPr>
          <w:b/>
          <w:bCs/>
        </w:rPr>
        <w:t xml:space="preserve">: Cumulative impact of reduced harmful and hazardous </w:t>
      </w:r>
      <w:r w:rsidR="00C56D15" w:rsidRPr="32F7F25D">
        <w:rPr>
          <w:b/>
          <w:bCs/>
        </w:rPr>
        <w:t>drinking.</w:t>
      </w:r>
    </w:p>
    <w:p w14:paraId="67E8F4B9" w14:textId="2B6B073C" w:rsidR="007119C9" w:rsidRPr="00032B74" w:rsidRDefault="007119C9" w:rsidP="00E20573">
      <w:pPr>
        <w:rPr>
          <w:rFonts w:ascii="Arial" w:hAnsi="Arial"/>
          <w:b/>
        </w:rPr>
      </w:pPr>
      <w:r>
        <w:rPr>
          <w:rFonts w:ascii="Arial" w:hAnsi="Arial"/>
          <w:b/>
          <w:bCs/>
          <w:noProof/>
          <w:color w:val="2B579A"/>
          <w:shd w:val="clear" w:color="auto" w:fill="E6E6E6"/>
        </w:rPr>
        <w:drawing>
          <wp:inline distT="0" distB="0" distL="0" distR="0" wp14:anchorId="2C62ABAE" wp14:editId="51F97493">
            <wp:extent cx="5109856" cy="3103245"/>
            <wp:effectExtent l="0" t="0" r="0" b="1905"/>
            <wp:docPr id="1412120195" name="Picture 1412120195" descr="Column chart showing Cumulative impact of reduced harmful and hazardous drinking. There's most impact upon cardiovascular conditions, with the largest impacts for stroke then C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20195" name="Picture 1412120195" descr="Column chart showing Cumulative impact of reduced harmful and hazardous drinking. There's most impact upon cardiovascular conditions, with the largest impacts for stroke then CH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51349" cy="3128444"/>
                    </a:xfrm>
                    <a:prstGeom prst="rect">
                      <a:avLst/>
                    </a:prstGeom>
                    <a:noFill/>
                  </pic:spPr>
                </pic:pic>
              </a:graphicData>
            </a:graphic>
          </wp:inline>
        </w:drawing>
      </w:r>
    </w:p>
    <w:p w14:paraId="50D07662" w14:textId="14EFC2D6" w:rsidR="00032B74" w:rsidRPr="00032B74" w:rsidRDefault="007119C9" w:rsidP="00E20573">
      <w:pPr>
        <w:pStyle w:val="ListParagraph"/>
        <w:numPr>
          <w:ilvl w:val="0"/>
          <w:numId w:val="26"/>
        </w:numPr>
        <w:spacing w:after="160"/>
        <w:rPr>
          <w:sz w:val="24"/>
          <w:szCs w:val="24"/>
        </w:rPr>
      </w:pPr>
      <w:r w:rsidRPr="32F7F25D">
        <w:rPr>
          <w:sz w:val="24"/>
          <w:szCs w:val="24"/>
        </w:rPr>
        <w:t>Reductions ACE impact most upon severe mental illness (Figure 1</w:t>
      </w:r>
      <w:r w:rsidR="00032B74">
        <w:rPr>
          <w:sz w:val="24"/>
          <w:szCs w:val="24"/>
        </w:rPr>
        <w:t>2</w:t>
      </w:r>
      <w:r w:rsidR="006D7B54">
        <w:rPr>
          <w:sz w:val="24"/>
          <w:szCs w:val="24"/>
        </w:rPr>
        <w:t>4</w:t>
      </w:r>
      <w:r w:rsidRPr="32F7F25D">
        <w:rPr>
          <w:sz w:val="24"/>
          <w:szCs w:val="24"/>
        </w:rPr>
        <w:t>). Impacts upon long term conditions would occur over time but the model does not run for a long enough period for changes in childhood to accrue in middle to old age periods.</w:t>
      </w:r>
    </w:p>
    <w:p w14:paraId="6DCB1E37" w14:textId="77777777" w:rsidR="001C1CE1" w:rsidRDefault="001C1CE1">
      <w:pPr>
        <w:spacing w:before="0" w:after="200"/>
        <w:rPr>
          <w:b/>
          <w:bCs/>
        </w:rPr>
      </w:pPr>
      <w:r>
        <w:rPr>
          <w:b/>
          <w:bCs/>
        </w:rPr>
        <w:br w:type="page"/>
      </w:r>
    </w:p>
    <w:p w14:paraId="1C0DC829" w14:textId="5311D2A6" w:rsidR="00032B74" w:rsidRPr="00032B74" w:rsidRDefault="00032B74" w:rsidP="00E20573">
      <w:pPr>
        <w:rPr>
          <w:b/>
          <w:bCs/>
        </w:rPr>
      </w:pPr>
      <w:r w:rsidRPr="32F7F25D">
        <w:rPr>
          <w:b/>
          <w:bCs/>
        </w:rPr>
        <w:lastRenderedPageBreak/>
        <w:t>Figure 1</w:t>
      </w:r>
      <w:r>
        <w:rPr>
          <w:b/>
          <w:bCs/>
        </w:rPr>
        <w:t>2</w:t>
      </w:r>
      <w:r w:rsidR="006D7B54">
        <w:rPr>
          <w:b/>
          <w:bCs/>
        </w:rPr>
        <w:t>4</w:t>
      </w:r>
      <w:r w:rsidRPr="32F7F25D">
        <w:rPr>
          <w:b/>
          <w:bCs/>
        </w:rPr>
        <w:t xml:space="preserve">: Cumulative impact of reduced </w:t>
      </w:r>
      <w:r>
        <w:rPr>
          <w:b/>
          <w:bCs/>
        </w:rPr>
        <w:t>ACE</w:t>
      </w:r>
    </w:p>
    <w:p w14:paraId="1F6139BD" w14:textId="77777777" w:rsidR="007119C9" w:rsidRDefault="007119C9" w:rsidP="00E20573">
      <w:r>
        <w:rPr>
          <w:noProof/>
          <w:color w:val="2B579A"/>
          <w:shd w:val="clear" w:color="auto" w:fill="E6E6E6"/>
        </w:rPr>
        <w:drawing>
          <wp:inline distT="0" distB="0" distL="0" distR="0" wp14:anchorId="038B9DC1" wp14:editId="00A87774">
            <wp:extent cx="5128260" cy="3118247"/>
            <wp:effectExtent l="0" t="0" r="0" b="6350"/>
            <wp:docPr id="1412120196" name="Picture 1412120196" descr="Column chart showing Cumulative impact of reduced ACE. There's most impact upon SMI and least on Asthma and Diabetes.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20196" name="Picture 1412120196" descr="Column chart showing Cumulative impact of reduced ACE. There's most impact upon SMI and least on Asthma and Diabetes. ">
                      <a:extLst>
                        <a:ext uri="{C183D7F6-B498-43B3-948B-1728B52AA6E4}">
                          <adec:decorative xmlns:adec="http://schemas.microsoft.com/office/drawing/2017/decorative" val="0"/>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822" cy="3130750"/>
                    </a:xfrm>
                    <a:prstGeom prst="rect">
                      <a:avLst/>
                    </a:prstGeom>
                    <a:noFill/>
                  </pic:spPr>
                </pic:pic>
              </a:graphicData>
            </a:graphic>
          </wp:inline>
        </w:drawing>
      </w:r>
    </w:p>
    <w:p w14:paraId="013C7FE8" w14:textId="77777777" w:rsidR="007119C9" w:rsidRPr="005727A5" w:rsidRDefault="007119C9" w:rsidP="00E20573">
      <w:pPr>
        <w:rPr>
          <w:rFonts w:ascii="Arial" w:hAnsi="Arial"/>
          <w:sz w:val="20"/>
          <w:szCs w:val="20"/>
        </w:rPr>
      </w:pPr>
    </w:p>
    <w:p w14:paraId="609B21BE" w14:textId="60D916D8" w:rsidR="007119C9" w:rsidRPr="00286B78" w:rsidRDefault="007119C9" w:rsidP="00E20573">
      <w:pPr>
        <w:pStyle w:val="ListParagraph"/>
        <w:numPr>
          <w:ilvl w:val="0"/>
          <w:numId w:val="26"/>
        </w:numPr>
        <w:spacing w:after="160"/>
        <w:rPr>
          <w:sz w:val="24"/>
          <w:szCs w:val="24"/>
        </w:rPr>
      </w:pPr>
      <w:r w:rsidRPr="5E4DB3C2">
        <w:rPr>
          <w:sz w:val="24"/>
          <w:szCs w:val="24"/>
        </w:rPr>
        <w:t xml:space="preserve">The impacts from all 4 interventions can be seen across all cohorts, with the largest impact for diabetes </w:t>
      </w:r>
      <w:r w:rsidR="5BF7E85C" w:rsidRPr="740CDBE4">
        <w:rPr>
          <w:sz w:val="24"/>
          <w:szCs w:val="24"/>
        </w:rPr>
        <w:t>because</w:t>
      </w:r>
      <w:r w:rsidRPr="5E4DB3C2">
        <w:rPr>
          <w:sz w:val="24"/>
          <w:szCs w:val="24"/>
        </w:rPr>
        <w:t xml:space="preserve"> of BMI reductions. </w:t>
      </w:r>
    </w:p>
    <w:p w14:paraId="0F389D1B" w14:textId="50C250FF" w:rsidR="00EF2ED7" w:rsidRPr="00EF2ED7" w:rsidRDefault="00EF2ED7" w:rsidP="00E20573">
      <w:pPr>
        <w:rPr>
          <w:b/>
          <w:bCs/>
        </w:rPr>
      </w:pPr>
      <w:r w:rsidRPr="32F7F25D">
        <w:rPr>
          <w:b/>
          <w:bCs/>
        </w:rPr>
        <w:t>Figure</w:t>
      </w:r>
      <w:r w:rsidR="002034B9">
        <w:rPr>
          <w:b/>
          <w:bCs/>
        </w:rPr>
        <w:t xml:space="preserve"> </w:t>
      </w:r>
      <w:r w:rsidRPr="32F7F25D">
        <w:rPr>
          <w:b/>
          <w:bCs/>
        </w:rPr>
        <w:t>1</w:t>
      </w:r>
      <w:r>
        <w:rPr>
          <w:b/>
          <w:bCs/>
        </w:rPr>
        <w:t>2</w:t>
      </w:r>
      <w:r w:rsidR="006D7B54">
        <w:rPr>
          <w:b/>
          <w:bCs/>
        </w:rPr>
        <w:t>5</w:t>
      </w:r>
      <w:r w:rsidRPr="32F7F25D">
        <w:rPr>
          <w:b/>
          <w:bCs/>
        </w:rPr>
        <w:t>: Cumulative impact of all interventions</w:t>
      </w:r>
    </w:p>
    <w:p w14:paraId="6CC1BA36" w14:textId="411B8B1B" w:rsidR="007119C9" w:rsidRDefault="007119C9" w:rsidP="00E20573">
      <w:r>
        <w:rPr>
          <w:noProof/>
          <w:color w:val="2B579A"/>
          <w:shd w:val="clear" w:color="auto" w:fill="E6E6E6"/>
        </w:rPr>
        <w:drawing>
          <wp:inline distT="0" distB="0" distL="0" distR="0" wp14:anchorId="278881D4" wp14:editId="04A5F22C">
            <wp:extent cx="5583512" cy="3390900"/>
            <wp:effectExtent l="0" t="0" r="0" b="0"/>
            <wp:docPr id="1412120197" name="Picture 1412120197" descr="Column chart showing Cumulative impact of reduced all intervention. There's most impact upon Diabetes, COPD, CHD and Asthma and least on Dementia and Neur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20197" name="Picture 1412120197" descr="Column chart showing Cumulative impact of reduced all intervention. There's most impact upon Diabetes, COPD, CHD and Asthma and least on Dementia and Neuro.">
                      <a:extLst>
                        <a:ext uri="{C183D7F6-B498-43B3-948B-1728B52AA6E4}">
                          <adec:decorative xmlns:adec="http://schemas.microsoft.com/office/drawing/2017/decorative" val="0"/>
                        </a:ext>
                      </a:extLs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08823" cy="3406271"/>
                    </a:xfrm>
                    <a:prstGeom prst="rect">
                      <a:avLst/>
                    </a:prstGeom>
                    <a:noFill/>
                  </pic:spPr>
                </pic:pic>
              </a:graphicData>
            </a:graphic>
          </wp:inline>
        </w:drawing>
      </w:r>
    </w:p>
    <w:p w14:paraId="58B46459" w14:textId="77777777" w:rsidR="001C1CE1" w:rsidRDefault="001C1CE1">
      <w:pPr>
        <w:spacing w:before="0" w:after="200"/>
      </w:pPr>
      <w:r>
        <w:br w:type="page"/>
      </w:r>
    </w:p>
    <w:p w14:paraId="4429B973" w14:textId="77777777" w:rsidR="007119C9" w:rsidRPr="00286B78" w:rsidRDefault="007119C9" w:rsidP="00D57E1A">
      <w:pPr>
        <w:pStyle w:val="Heading3"/>
      </w:pPr>
      <w:bookmarkStart w:id="216" w:name="_Toc128133878"/>
      <w:r w:rsidRPr="00286B78">
        <w:lastRenderedPageBreak/>
        <w:t>The short to medium term impacts of Covid upon the health of the population</w:t>
      </w:r>
      <w:bookmarkEnd w:id="216"/>
      <w:r w:rsidRPr="00286B78">
        <w:t xml:space="preserve"> </w:t>
      </w:r>
    </w:p>
    <w:p w14:paraId="0FBC3ACF" w14:textId="7FBF4E76" w:rsidR="007119C9" w:rsidRPr="00286B78" w:rsidRDefault="007119C9" w:rsidP="00E20573">
      <w:r w:rsidRPr="32F7F25D">
        <w:t>There has been approximately 1</w:t>
      </w:r>
      <w:r w:rsidR="00A428B1">
        <w:t>,</w:t>
      </w:r>
      <w:r w:rsidR="00C825DF">
        <w:t>2</w:t>
      </w:r>
      <w:r w:rsidRPr="32F7F25D">
        <w:t xml:space="preserve">50 covid deaths for West Kent residents (Figure </w:t>
      </w:r>
      <w:r w:rsidR="00CA084E">
        <w:t>12</w:t>
      </w:r>
      <w:r w:rsidR="006D7B54">
        <w:t>6</w:t>
      </w:r>
      <w:r w:rsidRPr="32F7F25D">
        <w:t xml:space="preserve">). This is </w:t>
      </w:r>
      <w:bookmarkStart w:id="217" w:name="_Int_AZHLM3gF"/>
      <w:r w:rsidRPr="32F7F25D">
        <w:t>predominantly in</w:t>
      </w:r>
      <w:bookmarkEnd w:id="217"/>
      <w:r w:rsidRPr="32F7F25D">
        <w:t xml:space="preserve"> older populations and across populations with single and multiple and frail cohorts (Table 2</w:t>
      </w:r>
      <w:r w:rsidR="00FA57C8">
        <w:t>3</w:t>
      </w:r>
      <w:r w:rsidRPr="32F7F25D">
        <w:t>).</w:t>
      </w:r>
    </w:p>
    <w:p w14:paraId="4328DC5C" w14:textId="208FA445" w:rsidR="007119C9" w:rsidRPr="00675700" w:rsidRDefault="00B50B6B" w:rsidP="00E20573">
      <w:pPr>
        <w:rPr>
          <w:b/>
        </w:rPr>
      </w:pPr>
      <w:r w:rsidRPr="32F7F25D">
        <w:rPr>
          <w:b/>
          <w:bCs/>
        </w:rPr>
        <w:t>Figure 1</w:t>
      </w:r>
      <w:r>
        <w:rPr>
          <w:b/>
          <w:bCs/>
        </w:rPr>
        <w:t>2</w:t>
      </w:r>
      <w:r w:rsidR="006D7B54">
        <w:rPr>
          <w:b/>
          <w:bCs/>
        </w:rPr>
        <w:t>6</w:t>
      </w:r>
      <w:r w:rsidRPr="32F7F25D">
        <w:rPr>
          <w:b/>
          <w:bCs/>
        </w:rPr>
        <w:t xml:space="preserve">: </w:t>
      </w:r>
      <w:r w:rsidR="00675700">
        <w:rPr>
          <w:b/>
          <w:bCs/>
        </w:rPr>
        <w:t xml:space="preserve">cumulative </w:t>
      </w:r>
      <w:r w:rsidRPr="00675700">
        <w:rPr>
          <w:b/>
          <w:bCs/>
        </w:rPr>
        <w:t xml:space="preserve">covid deaths for West Kent residents, 2018 to </w:t>
      </w:r>
      <w:r w:rsidR="00F834D3" w:rsidRPr="00675700">
        <w:rPr>
          <w:b/>
          <w:bCs/>
        </w:rPr>
        <w:t>2027</w:t>
      </w:r>
    </w:p>
    <w:p w14:paraId="28A5454E" w14:textId="77777777" w:rsidR="007119C9" w:rsidRDefault="007119C9" w:rsidP="00E20573">
      <w:pPr>
        <w:rPr>
          <w:rFonts w:cstheme="minorBidi"/>
          <w:b/>
        </w:rPr>
      </w:pPr>
      <w:r w:rsidRPr="006F1087">
        <w:rPr>
          <w:noProof/>
          <w:color w:val="2B579A"/>
          <w:shd w:val="clear" w:color="auto" w:fill="E6E6E6"/>
        </w:rPr>
        <w:drawing>
          <wp:inline distT="0" distB="0" distL="0" distR="0" wp14:anchorId="27365548" wp14:editId="317B6BFE">
            <wp:extent cx="5114925" cy="3041085"/>
            <wp:effectExtent l="0" t="0" r="0" b="6985"/>
            <wp:docPr id="16" name="Picture 16" descr="Line graph showing cumulative deaths from covid in West Kent from 2018 and projected to 2027. The line increases sharply to 2022 at around 1100 deaths then increases gradually to 1700 in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ine graph showing cumulative deaths from covid in West Kent from 2018 and projected to 2027. The line increases sharply to 2022 at around 1100 deaths then increases gradually to 1700 in 202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21676" cy="3045099"/>
                    </a:xfrm>
                    <a:prstGeom prst="rect">
                      <a:avLst/>
                    </a:prstGeom>
                    <a:noFill/>
                    <a:ln>
                      <a:noFill/>
                    </a:ln>
                  </pic:spPr>
                </pic:pic>
              </a:graphicData>
            </a:graphic>
          </wp:inline>
        </w:drawing>
      </w:r>
    </w:p>
    <w:p w14:paraId="374148D5" w14:textId="26A61F9E" w:rsidR="007119C9" w:rsidRDefault="00675700" w:rsidP="00E20573">
      <w:pPr>
        <w:rPr>
          <w:rFonts w:ascii="Arial" w:hAnsi="Arial"/>
        </w:rPr>
      </w:pPr>
      <w:r w:rsidRPr="32F7F25D">
        <w:rPr>
          <w:rFonts w:cstheme="minorBidi"/>
          <w:b/>
          <w:bCs/>
        </w:rPr>
        <w:t>Table 2</w:t>
      </w:r>
      <w:r w:rsidR="00FA57C8">
        <w:rPr>
          <w:rFonts w:cstheme="minorBidi"/>
          <w:b/>
          <w:bCs/>
        </w:rPr>
        <w:t>3</w:t>
      </w:r>
      <w:r w:rsidRPr="32F7F25D">
        <w:rPr>
          <w:rFonts w:cstheme="minorBidi"/>
          <w:b/>
          <w:bCs/>
        </w:rPr>
        <w:t xml:space="preserve">: West Kent modelled covid deaths – cohort number, base case </w:t>
      </w:r>
      <w:r w:rsidR="00C56D15" w:rsidRPr="32F7F25D">
        <w:rPr>
          <w:rFonts w:cstheme="minorBidi"/>
          <w:b/>
          <w:bCs/>
        </w:rPr>
        <w:t>scenario.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750"/>
        <w:gridCol w:w="750"/>
        <w:gridCol w:w="750"/>
        <w:gridCol w:w="750"/>
        <w:gridCol w:w="750"/>
        <w:gridCol w:w="750"/>
        <w:gridCol w:w="750"/>
        <w:gridCol w:w="750"/>
        <w:gridCol w:w="750"/>
      </w:tblGrid>
      <w:tr w:rsidR="007119C9" w:rsidRPr="00E0070A" w14:paraId="3D274217" w14:textId="77777777" w:rsidTr="005531C0">
        <w:trPr>
          <w:trHeight w:val="288"/>
        </w:trPr>
        <w:tc>
          <w:tcPr>
            <w:tcW w:w="1360" w:type="dxa"/>
            <w:shd w:val="clear" w:color="auto" w:fill="2D7C82"/>
            <w:noWrap/>
            <w:hideMark/>
          </w:tcPr>
          <w:p w14:paraId="5E93EC04"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Condition</w:t>
            </w:r>
          </w:p>
        </w:tc>
        <w:tc>
          <w:tcPr>
            <w:tcW w:w="750" w:type="dxa"/>
            <w:shd w:val="clear" w:color="auto" w:fill="2D7C82"/>
            <w:noWrap/>
            <w:hideMark/>
          </w:tcPr>
          <w:p w14:paraId="7E7D8797"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2019</w:t>
            </w:r>
          </w:p>
        </w:tc>
        <w:tc>
          <w:tcPr>
            <w:tcW w:w="750" w:type="dxa"/>
            <w:shd w:val="clear" w:color="auto" w:fill="2D7C82"/>
            <w:noWrap/>
            <w:hideMark/>
          </w:tcPr>
          <w:p w14:paraId="30C79A87"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2020</w:t>
            </w:r>
          </w:p>
        </w:tc>
        <w:tc>
          <w:tcPr>
            <w:tcW w:w="750" w:type="dxa"/>
            <w:shd w:val="clear" w:color="auto" w:fill="2D7C82"/>
            <w:noWrap/>
            <w:hideMark/>
          </w:tcPr>
          <w:p w14:paraId="747FEB75"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2021</w:t>
            </w:r>
          </w:p>
        </w:tc>
        <w:tc>
          <w:tcPr>
            <w:tcW w:w="750" w:type="dxa"/>
            <w:shd w:val="clear" w:color="auto" w:fill="2D7C82"/>
            <w:noWrap/>
            <w:hideMark/>
          </w:tcPr>
          <w:p w14:paraId="6A78CD1B"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2022</w:t>
            </w:r>
          </w:p>
        </w:tc>
        <w:tc>
          <w:tcPr>
            <w:tcW w:w="750" w:type="dxa"/>
            <w:shd w:val="clear" w:color="auto" w:fill="2D7C82"/>
            <w:noWrap/>
            <w:hideMark/>
          </w:tcPr>
          <w:p w14:paraId="37616A56"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2023</w:t>
            </w:r>
          </w:p>
        </w:tc>
        <w:tc>
          <w:tcPr>
            <w:tcW w:w="750" w:type="dxa"/>
            <w:shd w:val="clear" w:color="auto" w:fill="2D7C82"/>
            <w:noWrap/>
            <w:hideMark/>
          </w:tcPr>
          <w:p w14:paraId="2F3943CE"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2024</w:t>
            </w:r>
          </w:p>
        </w:tc>
        <w:tc>
          <w:tcPr>
            <w:tcW w:w="750" w:type="dxa"/>
            <w:shd w:val="clear" w:color="auto" w:fill="2D7C82"/>
            <w:noWrap/>
            <w:hideMark/>
          </w:tcPr>
          <w:p w14:paraId="42EAF227"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2025</w:t>
            </w:r>
          </w:p>
        </w:tc>
        <w:tc>
          <w:tcPr>
            <w:tcW w:w="750" w:type="dxa"/>
            <w:shd w:val="clear" w:color="auto" w:fill="2D7C82"/>
            <w:noWrap/>
            <w:hideMark/>
          </w:tcPr>
          <w:p w14:paraId="4A58A479"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2026</w:t>
            </w:r>
          </w:p>
        </w:tc>
        <w:tc>
          <w:tcPr>
            <w:tcW w:w="750" w:type="dxa"/>
            <w:shd w:val="clear" w:color="auto" w:fill="2D7C82"/>
            <w:noWrap/>
            <w:hideMark/>
          </w:tcPr>
          <w:p w14:paraId="45AA9BC9" w14:textId="77777777" w:rsidR="007119C9" w:rsidRPr="00A428B1" w:rsidRDefault="007119C9">
            <w:pPr>
              <w:jc w:val="both"/>
              <w:rPr>
                <w:rFonts w:ascii="Arial" w:hAnsi="Arial"/>
                <w:b/>
                <w:color w:val="FFFFFF" w:themeColor="background1"/>
              </w:rPr>
            </w:pPr>
            <w:r w:rsidRPr="00A428B1">
              <w:rPr>
                <w:rFonts w:ascii="Arial" w:hAnsi="Arial"/>
                <w:b/>
                <w:color w:val="FFFFFF" w:themeColor="background1"/>
              </w:rPr>
              <w:t>2027</w:t>
            </w:r>
          </w:p>
        </w:tc>
      </w:tr>
      <w:tr w:rsidR="007119C9" w:rsidRPr="00E0070A" w14:paraId="1A4EA838" w14:textId="77777777" w:rsidTr="005531C0">
        <w:trPr>
          <w:trHeight w:val="288"/>
        </w:trPr>
        <w:tc>
          <w:tcPr>
            <w:tcW w:w="1360" w:type="dxa"/>
            <w:shd w:val="clear" w:color="auto" w:fill="DDF1F3"/>
            <w:noWrap/>
            <w:hideMark/>
          </w:tcPr>
          <w:p w14:paraId="261F3E8E" w14:textId="77777777" w:rsidR="007119C9" w:rsidRPr="00E0070A" w:rsidRDefault="007119C9">
            <w:pPr>
              <w:jc w:val="both"/>
              <w:rPr>
                <w:rFonts w:ascii="Arial" w:hAnsi="Arial"/>
              </w:rPr>
            </w:pPr>
            <w:r w:rsidRPr="00E0070A">
              <w:rPr>
                <w:rFonts w:ascii="Arial" w:hAnsi="Arial"/>
              </w:rPr>
              <w:t>Asthma</w:t>
            </w:r>
          </w:p>
        </w:tc>
        <w:tc>
          <w:tcPr>
            <w:tcW w:w="750" w:type="dxa"/>
            <w:shd w:val="clear" w:color="auto" w:fill="DDF1F3"/>
            <w:noWrap/>
            <w:hideMark/>
          </w:tcPr>
          <w:p w14:paraId="44756349"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666EB5E4" w14:textId="77777777" w:rsidR="007119C9" w:rsidRPr="00E0070A" w:rsidRDefault="007119C9">
            <w:pPr>
              <w:jc w:val="both"/>
              <w:rPr>
                <w:rFonts w:ascii="Arial" w:hAnsi="Arial"/>
              </w:rPr>
            </w:pPr>
            <w:r w:rsidRPr="00E0070A">
              <w:rPr>
                <w:rFonts w:ascii="Arial" w:hAnsi="Arial"/>
              </w:rPr>
              <w:t>33</w:t>
            </w:r>
          </w:p>
        </w:tc>
        <w:tc>
          <w:tcPr>
            <w:tcW w:w="750" w:type="dxa"/>
            <w:shd w:val="clear" w:color="auto" w:fill="DDF1F3"/>
            <w:noWrap/>
            <w:hideMark/>
          </w:tcPr>
          <w:p w14:paraId="4044EBE2" w14:textId="77777777" w:rsidR="007119C9" w:rsidRPr="00E0070A" w:rsidRDefault="007119C9">
            <w:pPr>
              <w:jc w:val="both"/>
              <w:rPr>
                <w:rFonts w:ascii="Arial" w:hAnsi="Arial"/>
              </w:rPr>
            </w:pPr>
            <w:r w:rsidRPr="00E0070A">
              <w:rPr>
                <w:rFonts w:ascii="Arial" w:hAnsi="Arial"/>
              </w:rPr>
              <w:t>55</w:t>
            </w:r>
          </w:p>
        </w:tc>
        <w:tc>
          <w:tcPr>
            <w:tcW w:w="750" w:type="dxa"/>
            <w:shd w:val="clear" w:color="auto" w:fill="DDF1F3"/>
            <w:noWrap/>
            <w:hideMark/>
          </w:tcPr>
          <w:p w14:paraId="2F1A00D7" w14:textId="77777777" w:rsidR="007119C9" w:rsidRPr="00E0070A" w:rsidRDefault="007119C9">
            <w:pPr>
              <w:jc w:val="both"/>
              <w:rPr>
                <w:rFonts w:ascii="Arial" w:hAnsi="Arial"/>
              </w:rPr>
            </w:pPr>
            <w:r w:rsidRPr="00E0070A">
              <w:rPr>
                <w:rFonts w:ascii="Arial" w:hAnsi="Arial"/>
              </w:rPr>
              <w:t>67</w:t>
            </w:r>
          </w:p>
        </w:tc>
        <w:tc>
          <w:tcPr>
            <w:tcW w:w="750" w:type="dxa"/>
            <w:shd w:val="clear" w:color="auto" w:fill="DDF1F3"/>
            <w:noWrap/>
            <w:hideMark/>
          </w:tcPr>
          <w:p w14:paraId="139EF360" w14:textId="77777777" w:rsidR="007119C9" w:rsidRPr="00E0070A" w:rsidRDefault="007119C9">
            <w:pPr>
              <w:jc w:val="both"/>
              <w:rPr>
                <w:rFonts w:ascii="Arial" w:hAnsi="Arial"/>
              </w:rPr>
            </w:pPr>
            <w:r w:rsidRPr="00E0070A">
              <w:rPr>
                <w:rFonts w:ascii="Arial" w:hAnsi="Arial"/>
              </w:rPr>
              <w:t>72</w:t>
            </w:r>
          </w:p>
        </w:tc>
        <w:tc>
          <w:tcPr>
            <w:tcW w:w="750" w:type="dxa"/>
            <w:shd w:val="clear" w:color="auto" w:fill="DDF1F3"/>
            <w:noWrap/>
            <w:hideMark/>
          </w:tcPr>
          <w:p w14:paraId="53EB775A" w14:textId="77777777" w:rsidR="007119C9" w:rsidRPr="00E0070A" w:rsidRDefault="007119C9">
            <w:pPr>
              <w:jc w:val="both"/>
              <w:rPr>
                <w:rFonts w:ascii="Arial" w:hAnsi="Arial"/>
              </w:rPr>
            </w:pPr>
            <w:r w:rsidRPr="00E0070A">
              <w:rPr>
                <w:rFonts w:ascii="Arial" w:hAnsi="Arial"/>
              </w:rPr>
              <w:t>77</w:t>
            </w:r>
          </w:p>
        </w:tc>
        <w:tc>
          <w:tcPr>
            <w:tcW w:w="750" w:type="dxa"/>
            <w:shd w:val="clear" w:color="auto" w:fill="DDF1F3"/>
            <w:noWrap/>
            <w:hideMark/>
          </w:tcPr>
          <w:p w14:paraId="0B4E8A7F" w14:textId="77777777" w:rsidR="007119C9" w:rsidRPr="00E0070A" w:rsidRDefault="007119C9">
            <w:pPr>
              <w:jc w:val="both"/>
              <w:rPr>
                <w:rFonts w:ascii="Arial" w:hAnsi="Arial"/>
              </w:rPr>
            </w:pPr>
            <w:r w:rsidRPr="00E0070A">
              <w:rPr>
                <w:rFonts w:ascii="Arial" w:hAnsi="Arial"/>
              </w:rPr>
              <w:t>83</w:t>
            </w:r>
          </w:p>
        </w:tc>
        <w:tc>
          <w:tcPr>
            <w:tcW w:w="750" w:type="dxa"/>
            <w:shd w:val="clear" w:color="auto" w:fill="DDF1F3"/>
            <w:noWrap/>
            <w:hideMark/>
          </w:tcPr>
          <w:p w14:paraId="5F23D299" w14:textId="77777777" w:rsidR="007119C9" w:rsidRPr="00E0070A" w:rsidRDefault="007119C9">
            <w:pPr>
              <w:jc w:val="both"/>
              <w:rPr>
                <w:rFonts w:ascii="Arial" w:hAnsi="Arial"/>
              </w:rPr>
            </w:pPr>
            <w:r w:rsidRPr="00E0070A">
              <w:rPr>
                <w:rFonts w:ascii="Arial" w:hAnsi="Arial"/>
              </w:rPr>
              <w:t>88</w:t>
            </w:r>
          </w:p>
        </w:tc>
        <w:tc>
          <w:tcPr>
            <w:tcW w:w="750" w:type="dxa"/>
            <w:shd w:val="clear" w:color="auto" w:fill="DDF1F3"/>
            <w:noWrap/>
            <w:hideMark/>
          </w:tcPr>
          <w:p w14:paraId="7C5314B7" w14:textId="77777777" w:rsidR="007119C9" w:rsidRPr="00E0070A" w:rsidRDefault="007119C9">
            <w:pPr>
              <w:jc w:val="both"/>
              <w:rPr>
                <w:rFonts w:ascii="Arial" w:hAnsi="Arial"/>
              </w:rPr>
            </w:pPr>
            <w:r w:rsidRPr="00E0070A">
              <w:rPr>
                <w:rFonts w:ascii="Arial" w:hAnsi="Arial"/>
              </w:rPr>
              <w:t>94</w:t>
            </w:r>
          </w:p>
        </w:tc>
      </w:tr>
      <w:tr w:rsidR="007119C9" w:rsidRPr="00E0070A" w14:paraId="6D9015D9" w14:textId="77777777" w:rsidTr="005531C0">
        <w:trPr>
          <w:trHeight w:val="288"/>
        </w:trPr>
        <w:tc>
          <w:tcPr>
            <w:tcW w:w="1360" w:type="dxa"/>
            <w:shd w:val="clear" w:color="auto" w:fill="DDF1F3"/>
            <w:noWrap/>
            <w:hideMark/>
          </w:tcPr>
          <w:p w14:paraId="56982A02" w14:textId="77777777" w:rsidR="007119C9" w:rsidRPr="00E0070A" w:rsidRDefault="007119C9">
            <w:pPr>
              <w:jc w:val="both"/>
              <w:rPr>
                <w:rFonts w:ascii="Arial" w:hAnsi="Arial"/>
              </w:rPr>
            </w:pPr>
            <w:r w:rsidRPr="00E0070A">
              <w:rPr>
                <w:rFonts w:ascii="Arial" w:hAnsi="Arial"/>
              </w:rPr>
              <w:t>CHD</w:t>
            </w:r>
          </w:p>
        </w:tc>
        <w:tc>
          <w:tcPr>
            <w:tcW w:w="750" w:type="dxa"/>
            <w:shd w:val="clear" w:color="auto" w:fill="DDF1F3"/>
            <w:noWrap/>
            <w:hideMark/>
          </w:tcPr>
          <w:p w14:paraId="0FD9D3E4"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32A28647" w14:textId="77777777" w:rsidR="007119C9" w:rsidRPr="00E0070A" w:rsidRDefault="007119C9">
            <w:pPr>
              <w:jc w:val="both"/>
              <w:rPr>
                <w:rFonts w:ascii="Arial" w:hAnsi="Arial"/>
              </w:rPr>
            </w:pPr>
            <w:r w:rsidRPr="00E0070A">
              <w:rPr>
                <w:rFonts w:ascii="Arial" w:hAnsi="Arial"/>
              </w:rPr>
              <w:t>49</w:t>
            </w:r>
          </w:p>
        </w:tc>
        <w:tc>
          <w:tcPr>
            <w:tcW w:w="750" w:type="dxa"/>
            <w:shd w:val="clear" w:color="auto" w:fill="DDF1F3"/>
            <w:noWrap/>
            <w:hideMark/>
          </w:tcPr>
          <w:p w14:paraId="20063154" w14:textId="77777777" w:rsidR="007119C9" w:rsidRPr="00E0070A" w:rsidRDefault="007119C9">
            <w:pPr>
              <w:jc w:val="both"/>
              <w:rPr>
                <w:rFonts w:ascii="Arial" w:hAnsi="Arial"/>
              </w:rPr>
            </w:pPr>
            <w:r w:rsidRPr="00E0070A">
              <w:rPr>
                <w:rFonts w:ascii="Arial" w:hAnsi="Arial"/>
              </w:rPr>
              <w:t>81</w:t>
            </w:r>
          </w:p>
        </w:tc>
        <w:tc>
          <w:tcPr>
            <w:tcW w:w="750" w:type="dxa"/>
            <w:shd w:val="clear" w:color="auto" w:fill="DDF1F3"/>
            <w:noWrap/>
            <w:hideMark/>
          </w:tcPr>
          <w:p w14:paraId="289F2DB2" w14:textId="77777777" w:rsidR="007119C9" w:rsidRPr="00E0070A" w:rsidRDefault="007119C9">
            <w:pPr>
              <w:jc w:val="both"/>
              <w:rPr>
                <w:rFonts w:ascii="Arial" w:hAnsi="Arial"/>
              </w:rPr>
            </w:pPr>
            <w:r w:rsidRPr="00E0070A">
              <w:rPr>
                <w:rFonts w:ascii="Arial" w:hAnsi="Arial"/>
              </w:rPr>
              <w:t>101</w:t>
            </w:r>
          </w:p>
        </w:tc>
        <w:tc>
          <w:tcPr>
            <w:tcW w:w="750" w:type="dxa"/>
            <w:shd w:val="clear" w:color="auto" w:fill="DDF1F3"/>
            <w:noWrap/>
            <w:hideMark/>
          </w:tcPr>
          <w:p w14:paraId="7DA8D8C2" w14:textId="77777777" w:rsidR="007119C9" w:rsidRPr="00E0070A" w:rsidRDefault="007119C9">
            <w:pPr>
              <w:jc w:val="both"/>
              <w:rPr>
                <w:rFonts w:ascii="Arial" w:hAnsi="Arial"/>
              </w:rPr>
            </w:pPr>
            <w:r w:rsidRPr="00E0070A">
              <w:rPr>
                <w:rFonts w:ascii="Arial" w:hAnsi="Arial"/>
              </w:rPr>
              <w:t>110</w:t>
            </w:r>
          </w:p>
        </w:tc>
        <w:tc>
          <w:tcPr>
            <w:tcW w:w="750" w:type="dxa"/>
            <w:shd w:val="clear" w:color="auto" w:fill="DDF1F3"/>
            <w:noWrap/>
            <w:hideMark/>
          </w:tcPr>
          <w:p w14:paraId="5190752C" w14:textId="77777777" w:rsidR="007119C9" w:rsidRPr="00E0070A" w:rsidRDefault="007119C9">
            <w:pPr>
              <w:jc w:val="both"/>
              <w:rPr>
                <w:rFonts w:ascii="Arial" w:hAnsi="Arial"/>
              </w:rPr>
            </w:pPr>
            <w:r w:rsidRPr="00E0070A">
              <w:rPr>
                <w:rFonts w:ascii="Arial" w:hAnsi="Arial"/>
              </w:rPr>
              <w:t>119</w:t>
            </w:r>
          </w:p>
        </w:tc>
        <w:tc>
          <w:tcPr>
            <w:tcW w:w="750" w:type="dxa"/>
            <w:shd w:val="clear" w:color="auto" w:fill="DDF1F3"/>
            <w:noWrap/>
            <w:hideMark/>
          </w:tcPr>
          <w:p w14:paraId="2DEC0C00" w14:textId="77777777" w:rsidR="007119C9" w:rsidRPr="00E0070A" w:rsidRDefault="007119C9">
            <w:pPr>
              <w:jc w:val="both"/>
              <w:rPr>
                <w:rFonts w:ascii="Arial" w:hAnsi="Arial"/>
              </w:rPr>
            </w:pPr>
            <w:r w:rsidRPr="00E0070A">
              <w:rPr>
                <w:rFonts w:ascii="Arial" w:hAnsi="Arial"/>
              </w:rPr>
              <w:t>129</w:t>
            </w:r>
          </w:p>
        </w:tc>
        <w:tc>
          <w:tcPr>
            <w:tcW w:w="750" w:type="dxa"/>
            <w:shd w:val="clear" w:color="auto" w:fill="DDF1F3"/>
            <w:noWrap/>
            <w:hideMark/>
          </w:tcPr>
          <w:p w14:paraId="53952EDF" w14:textId="77777777" w:rsidR="007119C9" w:rsidRPr="00E0070A" w:rsidRDefault="007119C9">
            <w:pPr>
              <w:jc w:val="both"/>
              <w:rPr>
                <w:rFonts w:ascii="Arial" w:hAnsi="Arial"/>
              </w:rPr>
            </w:pPr>
            <w:r w:rsidRPr="00E0070A">
              <w:rPr>
                <w:rFonts w:ascii="Arial" w:hAnsi="Arial"/>
              </w:rPr>
              <w:t>139</w:t>
            </w:r>
          </w:p>
        </w:tc>
        <w:tc>
          <w:tcPr>
            <w:tcW w:w="750" w:type="dxa"/>
            <w:shd w:val="clear" w:color="auto" w:fill="DDF1F3"/>
            <w:noWrap/>
            <w:hideMark/>
          </w:tcPr>
          <w:p w14:paraId="1D33F6CF" w14:textId="77777777" w:rsidR="007119C9" w:rsidRPr="00E0070A" w:rsidRDefault="007119C9">
            <w:pPr>
              <w:jc w:val="both"/>
              <w:rPr>
                <w:rFonts w:ascii="Arial" w:hAnsi="Arial"/>
              </w:rPr>
            </w:pPr>
            <w:r w:rsidRPr="00E0070A">
              <w:rPr>
                <w:rFonts w:ascii="Arial" w:hAnsi="Arial"/>
              </w:rPr>
              <w:t>150</w:t>
            </w:r>
          </w:p>
        </w:tc>
      </w:tr>
      <w:tr w:rsidR="007119C9" w:rsidRPr="00E0070A" w14:paraId="59805843" w14:textId="77777777" w:rsidTr="005531C0">
        <w:trPr>
          <w:trHeight w:val="288"/>
        </w:trPr>
        <w:tc>
          <w:tcPr>
            <w:tcW w:w="1360" w:type="dxa"/>
            <w:shd w:val="clear" w:color="auto" w:fill="DDF1F3"/>
            <w:noWrap/>
            <w:hideMark/>
          </w:tcPr>
          <w:p w14:paraId="4BA31DF1" w14:textId="77777777" w:rsidR="007119C9" w:rsidRPr="00E0070A" w:rsidRDefault="007119C9">
            <w:pPr>
              <w:jc w:val="both"/>
              <w:rPr>
                <w:rFonts w:ascii="Arial" w:hAnsi="Arial"/>
              </w:rPr>
            </w:pPr>
            <w:r w:rsidRPr="00E0070A">
              <w:rPr>
                <w:rFonts w:ascii="Arial" w:hAnsi="Arial"/>
              </w:rPr>
              <w:t>COPD</w:t>
            </w:r>
          </w:p>
        </w:tc>
        <w:tc>
          <w:tcPr>
            <w:tcW w:w="750" w:type="dxa"/>
            <w:shd w:val="clear" w:color="auto" w:fill="DDF1F3"/>
            <w:noWrap/>
            <w:hideMark/>
          </w:tcPr>
          <w:p w14:paraId="3407429F"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159395C5" w14:textId="77777777" w:rsidR="007119C9" w:rsidRPr="00E0070A" w:rsidRDefault="007119C9">
            <w:pPr>
              <w:jc w:val="both"/>
              <w:rPr>
                <w:rFonts w:ascii="Arial" w:hAnsi="Arial"/>
              </w:rPr>
            </w:pPr>
            <w:r w:rsidRPr="00E0070A">
              <w:rPr>
                <w:rFonts w:ascii="Arial" w:hAnsi="Arial"/>
              </w:rPr>
              <w:t>32</w:t>
            </w:r>
          </w:p>
        </w:tc>
        <w:tc>
          <w:tcPr>
            <w:tcW w:w="750" w:type="dxa"/>
            <w:shd w:val="clear" w:color="auto" w:fill="DDF1F3"/>
            <w:noWrap/>
            <w:hideMark/>
          </w:tcPr>
          <w:p w14:paraId="59E56F65" w14:textId="77777777" w:rsidR="007119C9" w:rsidRPr="00E0070A" w:rsidRDefault="007119C9">
            <w:pPr>
              <w:jc w:val="both"/>
              <w:rPr>
                <w:rFonts w:ascii="Arial" w:hAnsi="Arial"/>
              </w:rPr>
            </w:pPr>
            <w:r w:rsidRPr="00E0070A">
              <w:rPr>
                <w:rFonts w:ascii="Arial" w:hAnsi="Arial"/>
              </w:rPr>
              <w:t>53</w:t>
            </w:r>
          </w:p>
        </w:tc>
        <w:tc>
          <w:tcPr>
            <w:tcW w:w="750" w:type="dxa"/>
            <w:shd w:val="clear" w:color="auto" w:fill="DDF1F3"/>
            <w:noWrap/>
            <w:hideMark/>
          </w:tcPr>
          <w:p w14:paraId="51EF64CF" w14:textId="77777777" w:rsidR="007119C9" w:rsidRPr="00E0070A" w:rsidRDefault="007119C9">
            <w:pPr>
              <w:jc w:val="both"/>
              <w:rPr>
                <w:rFonts w:ascii="Arial" w:hAnsi="Arial"/>
              </w:rPr>
            </w:pPr>
            <w:r w:rsidRPr="00E0070A">
              <w:rPr>
                <w:rFonts w:ascii="Arial" w:hAnsi="Arial"/>
              </w:rPr>
              <w:t>65</w:t>
            </w:r>
          </w:p>
        </w:tc>
        <w:tc>
          <w:tcPr>
            <w:tcW w:w="750" w:type="dxa"/>
            <w:shd w:val="clear" w:color="auto" w:fill="DDF1F3"/>
            <w:noWrap/>
            <w:hideMark/>
          </w:tcPr>
          <w:p w14:paraId="67FB4159" w14:textId="77777777" w:rsidR="007119C9" w:rsidRPr="00E0070A" w:rsidRDefault="007119C9">
            <w:pPr>
              <w:jc w:val="both"/>
              <w:rPr>
                <w:rFonts w:ascii="Arial" w:hAnsi="Arial"/>
              </w:rPr>
            </w:pPr>
            <w:r w:rsidRPr="00E0070A">
              <w:rPr>
                <w:rFonts w:ascii="Arial" w:hAnsi="Arial"/>
              </w:rPr>
              <w:t>70</w:t>
            </w:r>
          </w:p>
        </w:tc>
        <w:tc>
          <w:tcPr>
            <w:tcW w:w="750" w:type="dxa"/>
            <w:shd w:val="clear" w:color="auto" w:fill="DDF1F3"/>
            <w:noWrap/>
            <w:hideMark/>
          </w:tcPr>
          <w:p w14:paraId="2D06DF9B" w14:textId="77777777" w:rsidR="007119C9" w:rsidRPr="00E0070A" w:rsidRDefault="007119C9">
            <w:pPr>
              <w:jc w:val="both"/>
              <w:rPr>
                <w:rFonts w:ascii="Arial" w:hAnsi="Arial"/>
              </w:rPr>
            </w:pPr>
            <w:r w:rsidRPr="00E0070A">
              <w:rPr>
                <w:rFonts w:ascii="Arial" w:hAnsi="Arial"/>
              </w:rPr>
              <w:t>75</w:t>
            </w:r>
          </w:p>
        </w:tc>
        <w:tc>
          <w:tcPr>
            <w:tcW w:w="750" w:type="dxa"/>
            <w:shd w:val="clear" w:color="auto" w:fill="DDF1F3"/>
            <w:noWrap/>
            <w:hideMark/>
          </w:tcPr>
          <w:p w14:paraId="7BBD02D7" w14:textId="77777777" w:rsidR="007119C9" w:rsidRPr="00E0070A" w:rsidRDefault="007119C9">
            <w:pPr>
              <w:jc w:val="both"/>
              <w:rPr>
                <w:rFonts w:ascii="Arial" w:hAnsi="Arial"/>
              </w:rPr>
            </w:pPr>
            <w:r w:rsidRPr="00E0070A">
              <w:rPr>
                <w:rFonts w:ascii="Arial" w:hAnsi="Arial"/>
              </w:rPr>
              <w:t>81</w:t>
            </w:r>
          </w:p>
        </w:tc>
        <w:tc>
          <w:tcPr>
            <w:tcW w:w="750" w:type="dxa"/>
            <w:shd w:val="clear" w:color="auto" w:fill="DDF1F3"/>
            <w:noWrap/>
            <w:hideMark/>
          </w:tcPr>
          <w:p w14:paraId="1D22E187" w14:textId="77777777" w:rsidR="007119C9" w:rsidRPr="00E0070A" w:rsidRDefault="007119C9">
            <w:pPr>
              <w:jc w:val="both"/>
              <w:rPr>
                <w:rFonts w:ascii="Arial" w:hAnsi="Arial"/>
              </w:rPr>
            </w:pPr>
            <w:r w:rsidRPr="00E0070A">
              <w:rPr>
                <w:rFonts w:ascii="Arial" w:hAnsi="Arial"/>
              </w:rPr>
              <w:t>87</w:t>
            </w:r>
          </w:p>
        </w:tc>
        <w:tc>
          <w:tcPr>
            <w:tcW w:w="750" w:type="dxa"/>
            <w:shd w:val="clear" w:color="auto" w:fill="DDF1F3"/>
            <w:noWrap/>
            <w:hideMark/>
          </w:tcPr>
          <w:p w14:paraId="5E32AF6A" w14:textId="77777777" w:rsidR="007119C9" w:rsidRPr="00E0070A" w:rsidRDefault="007119C9">
            <w:pPr>
              <w:jc w:val="both"/>
              <w:rPr>
                <w:rFonts w:ascii="Arial" w:hAnsi="Arial"/>
              </w:rPr>
            </w:pPr>
            <w:r w:rsidRPr="00E0070A">
              <w:rPr>
                <w:rFonts w:ascii="Arial" w:hAnsi="Arial"/>
              </w:rPr>
              <w:t>93</w:t>
            </w:r>
          </w:p>
        </w:tc>
      </w:tr>
      <w:tr w:rsidR="007119C9" w:rsidRPr="00E0070A" w14:paraId="64337933" w14:textId="77777777" w:rsidTr="005531C0">
        <w:trPr>
          <w:trHeight w:val="288"/>
        </w:trPr>
        <w:tc>
          <w:tcPr>
            <w:tcW w:w="1360" w:type="dxa"/>
            <w:shd w:val="clear" w:color="auto" w:fill="DDF1F3"/>
            <w:noWrap/>
            <w:hideMark/>
          </w:tcPr>
          <w:p w14:paraId="2BC6EB9E" w14:textId="77777777" w:rsidR="007119C9" w:rsidRPr="00E0070A" w:rsidRDefault="007119C9">
            <w:pPr>
              <w:jc w:val="both"/>
              <w:rPr>
                <w:rFonts w:ascii="Arial" w:hAnsi="Arial"/>
              </w:rPr>
            </w:pPr>
            <w:r w:rsidRPr="00E0070A">
              <w:rPr>
                <w:rFonts w:ascii="Arial" w:hAnsi="Arial"/>
              </w:rPr>
              <w:t>Diabetes</w:t>
            </w:r>
          </w:p>
        </w:tc>
        <w:tc>
          <w:tcPr>
            <w:tcW w:w="750" w:type="dxa"/>
            <w:shd w:val="clear" w:color="auto" w:fill="DDF1F3"/>
            <w:noWrap/>
            <w:hideMark/>
          </w:tcPr>
          <w:p w14:paraId="6E809877"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56660244" w14:textId="77777777" w:rsidR="007119C9" w:rsidRPr="00E0070A" w:rsidRDefault="007119C9">
            <w:pPr>
              <w:jc w:val="both"/>
              <w:rPr>
                <w:rFonts w:ascii="Arial" w:hAnsi="Arial"/>
              </w:rPr>
            </w:pPr>
            <w:r w:rsidRPr="00E0070A">
              <w:rPr>
                <w:rFonts w:ascii="Arial" w:hAnsi="Arial"/>
              </w:rPr>
              <w:t>145</w:t>
            </w:r>
          </w:p>
        </w:tc>
        <w:tc>
          <w:tcPr>
            <w:tcW w:w="750" w:type="dxa"/>
            <w:shd w:val="clear" w:color="auto" w:fill="DDF1F3"/>
            <w:noWrap/>
            <w:hideMark/>
          </w:tcPr>
          <w:p w14:paraId="2271E06B" w14:textId="77777777" w:rsidR="007119C9" w:rsidRPr="00E0070A" w:rsidRDefault="007119C9">
            <w:pPr>
              <w:jc w:val="both"/>
              <w:rPr>
                <w:rFonts w:ascii="Arial" w:hAnsi="Arial"/>
              </w:rPr>
            </w:pPr>
            <w:r w:rsidRPr="00E0070A">
              <w:rPr>
                <w:rFonts w:ascii="Arial" w:hAnsi="Arial"/>
              </w:rPr>
              <w:t>242</w:t>
            </w:r>
          </w:p>
        </w:tc>
        <w:tc>
          <w:tcPr>
            <w:tcW w:w="750" w:type="dxa"/>
            <w:shd w:val="clear" w:color="auto" w:fill="DDF1F3"/>
            <w:noWrap/>
            <w:hideMark/>
          </w:tcPr>
          <w:p w14:paraId="05BB2A10" w14:textId="77777777" w:rsidR="007119C9" w:rsidRPr="00E0070A" w:rsidRDefault="007119C9">
            <w:pPr>
              <w:jc w:val="both"/>
              <w:rPr>
                <w:rFonts w:ascii="Arial" w:hAnsi="Arial"/>
              </w:rPr>
            </w:pPr>
            <w:r w:rsidRPr="00E0070A">
              <w:rPr>
                <w:rFonts w:ascii="Arial" w:hAnsi="Arial"/>
              </w:rPr>
              <w:t>299</w:t>
            </w:r>
          </w:p>
        </w:tc>
        <w:tc>
          <w:tcPr>
            <w:tcW w:w="750" w:type="dxa"/>
            <w:shd w:val="clear" w:color="auto" w:fill="DDF1F3"/>
            <w:noWrap/>
            <w:hideMark/>
          </w:tcPr>
          <w:p w14:paraId="78495C56" w14:textId="77777777" w:rsidR="007119C9" w:rsidRPr="00E0070A" w:rsidRDefault="007119C9">
            <w:pPr>
              <w:jc w:val="both"/>
              <w:rPr>
                <w:rFonts w:ascii="Arial" w:hAnsi="Arial"/>
              </w:rPr>
            </w:pPr>
            <w:r w:rsidRPr="00E0070A">
              <w:rPr>
                <w:rFonts w:ascii="Arial" w:hAnsi="Arial"/>
              </w:rPr>
              <w:t>325</w:t>
            </w:r>
          </w:p>
        </w:tc>
        <w:tc>
          <w:tcPr>
            <w:tcW w:w="750" w:type="dxa"/>
            <w:shd w:val="clear" w:color="auto" w:fill="DDF1F3"/>
            <w:noWrap/>
            <w:hideMark/>
          </w:tcPr>
          <w:p w14:paraId="316835BF" w14:textId="77777777" w:rsidR="007119C9" w:rsidRPr="00E0070A" w:rsidRDefault="007119C9">
            <w:pPr>
              <w:jc w:val="both"/>
              <w:rPr>
                <w:rFonts w:ascii="Arial" w:hAnsi="Arial"/>
              </w:rPr>
            </w:pPr>
            <w:r w:rsidRPr="00E0070A">
              <w:rPr>
                <w:rFonts w:ascii="Arial" w:hAnsi="Arial"/>
              </w:rPr>
              <w:t>351</w:t>
            </w:r>
          </w:p>
        </w:tc>
        <w:tc>
          <w:tcPr>
            <w:tcW w:w="750" w:type="dxa"/>
            <w:shd w:val="clear" w:color="auto" w:fill="DDF1F3"/>
            <w:noWrap/>
            <w:hideMark/>
          </w:tcPr>
          <w:p w14:paraId="05E2A673" w14:textId="77777777" w:rsidR="007119C9" w:rsidRPr="00E0070A" w:rsidRDefault="007119C9">
            <w:pPr>
              <w:jc w:val="both"/>
              <w:rPr>
                <w:rFonts w:ascii="Arial" w:hAnsi="Arial"/>
              </w:rPr>
            </w:pPr>
            <w:r w:rsidRPr="00E0070A">
              <w:rPr>
                <w:rFonts w:ascii="Arial" w:hAnsi="Arial"/>
              </w:rPr>
              <w:t>379</w:t>
            </w:r>
          </w:p>
        </w:tc>
        <w:tc>
          <w:tcPr>
            <w:tcW w:w="750" w:type="dxa"/>
            <w:shd w:val="clear" w:color="auto" w:fill="DDF1F3"/>
            <w:noWrap/>
            <w:hideMark/>
          </w:tcPr>
          <w:p w14:paraId="631836E2" w14:textId="77777777" w:rsidR="007119C9" w:rsidRPr="00E0070A" w:rsidRDefault="007119C9">
            <w:pPr>
              <w:jc w:val="both"/>
              <w:rPr>
                <w:rFonts w:ascii="Arial" w:hAnsi="Arial"/>
              </w:rPr>
            </w:pPr>
            <w:r w:rsidRPr="00E0070A">
              <w:rPr>
                <w:rFonts w:ascii="Arial" w:hAnsi="Arial"/>
              </w:rPr>
              <w:t>408</w:t>
            </w:r>
          </w:p>
        </w:tc>
        <w:tc>
          <w:tcPr>
            <w:tcW w:w="750" w:type="dxa"/>
            <w:shd w:val="clear" w:color="auto" w:fill="DDF1F3"/>
            <w:noWrap/>
            <w:hideMark/>
          </w:tcPr>
          <w:p w14:paraId="32FE6347" w14:textId="77777777" w:rsidR="007119C9" w:rsidRPr="00E0070A" w:rsidRDefault="007119C9">
            <w:pPr>
              <w:jc w:val="both"/>
              <w:rPr>
                <w:rFonts w:ascii="Arial" w:hAnsi="Arial"/>
              </w:rPr>
            </w:pPr>
            <w:r w:rsidRPr="00E0070A">
              <w:rPr>
                <w:rFonts w:ascii="Arial" w:hAnsi="Arial"/>
              </w:rPr>
              <w:t>438</w:t>
            </w:r>
          </w:p>
        </w:tc>
      </w:tr>
      <w:tr w:rsidR="007119C9" w:rsidRPr="00E0070A" w14:paraId="0F9E603D" w14:textId="77777777" w:rsidTr="005531C0">
        <w:trPr>
          <w:trHeight w:val="288"/>
        </w:trPr>
        <w:tc>
          <w:tcPr>
            <w:tcW w:w="1360" w:type="dxa"/>
            <w:shd w:val="clear" w:color="auto" w:fill="DDF1F3"/>
            <w:noWrap/>
            <w:hideMark/>
          </w:tcPr>
          <w:p w14:paraId="25BD94A3" w14:textId="77777777" w:rsidR="007119C9" w:rsidRPr="00E0070A" w:rsidRDefault="007119C9">
            <w:pPr>
              <w:jc w:val="both"/>
              <w:rPr>
                <w:rFonts w:ascii="Arial" w:hAnsi="Arial"/>
              </w:rPr>
            </w:pPr>
            <w:r w:rsidRPr="00E0070A">
              <w:rPr>
                <w:rFonts w:ascii="Arial" w:hAnsi="Arial"/>
              </w:rPr>
              <w:t>HF</w:t>
            </w:r>
          </w:p>
        </w:tc>
        <w:tc>
          <w:tcPr>
            <w:tcW w:w="750" w:type="dxa"/>
            <w:shd w:val="clear" w:color="auto" w:fill="DDF1F3"/>
            <w:noWrap/>
            <w:hideMark/>
          </w:tcPr>
          <w:p w14:paraId="01022F23"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4BD7068A" w14:textId="77777777" w:rsidR="007119C9" w:rsidRPr="00E0070A" w:rsidRDefault="007119C9">
            <w:pPr>
              <w:jc w:val="both"/>
              <w:rPr>
                <w:rFonts w:ascii="Arial" w:hAnsi="Arial"/>
              </w:rPr>
            </w:pPr>
            <w:r w:rsidRPr="00E0070A">
              <w:rPr>
                <w:rFonts w:ascii="Arial" w:hAnsi="Arial"/>
              </w:rPr>
              <w:t>4</w:t>
            </w:r>
          </w:p>
        </w:tc>
        <w:tc>
          <w:tcPr>
            <w:tcW w:w="750" w:type="dxa"/>
            <w:shd w:val="clear" w:color="auto" w:fill="DDF1F3"/>
            <w:noWrap/>
            <w:hideMark/>
          </w:tcPr>
          <w:p w14:paraId="1322B826" w14:textId="77777777" w:rsidR="007119C9" w:rsidRPr="00E0070A" w:rsidRDefault="007119C9">
            <w:pPr>
              <w:jc w:val="both"/>
              <w:rPr>
                <w:rFonts w:ascii="Arial" w:hAnsi="Arial"/>
              </w:rPr>
            </w:pPr>
            <w:r w:rsidRPr="00E0070A">
              <w:rPr>
                <w:rFonts w:ascii="Arial" w:hAnsi="Arial"/>
              </w:rPr>
              <w:t>7</w:t>
            </w:r>
          </w:p>
        </w:tc>
        <w:tc>
          <w:tcPr>
            <w:tcW w:w="750" w:type="dxa"/>
            <w:shd w:val="clear" w:color="auto" w:fill="DDF1F3"/>
            <w:noWrap/>
            <w:hideMark/>
          </w:tcPr>
          <w:p w14:paraId="35FF4AD8" w14:textId="77777777" w:rsidR="007119C9" w:rsidRPr="00E0070A" w:rsidRDefault="007119C9">
            <w:pPr>
              <w:jc w:val="both"/>
              <w:rPr>
                <w:rFonts w:ascii="Arial" w:hAnsi="Arial"/>
              </w:rPr>
            </w:pPr>
            <w:r w:rsidRPr="00E0070A">
              <w:rPr>
                <w:rFonts w:ascii="Arial" w:hAnsi="Arial"/>
              </w:rPr>
              <w:t>9</w:t>
            </w:r>
          </w:p>
        </w:tc>
        <w:tc>
          <w:tcPr>
            <w:tcW w:w="750" w:type="dxa"/>
            <w:shd w:val="clear" w:color="auto" w:fill="DDF1F3"/>
            <w:noWrap/>
            <w:hideMark/>
          </w:tcPr>
          <w:p w14:paraId="1DE70D6C" w14:textId="77777777" w:rsidR="007119C9" w:rsidRPr="00E0070A" w:rsidRDefault="007119C9">
            <w:pPr>
              <w:jc w:val="both"/>
              <w:rPr>
                <w:rFonts w:ascii="Arial" w:hAnsi="Arial"/>
              </w:rPr>
            </w:pPr>
            <w:r w:rsidRPr="00E0070A">
              <w:rPr>
                <w:rFonts w:ascii="Arial" w:hAnsi="Arial"/>
              </w:rPr>
              <w:t>10</w:t>
            </w:r>
          </w:p>
        </w:tc>
        <w:tc>
          <w:tcPr>
            <w:tcW w:w="750" w:type="dxa"/>
            <w:shd w:val="clear" w:color="auto" w:fill="DDF1F3"/>
            <w:noWrap/>
            <w:hideMark/>
          </w:tcPr>
          <w:p w14:paraId="43FAB09D" w14:textId="77777777" w:rsidR="007119C9" w:rsidRPr="00E0070A" w:rsidRDefault="007119C9">
            <w:pPr>
              <w:jc w:val="both"/>
              <w:rPr>
                <w:rFonts w:ascii="Arial" w:hAnsi="Arial"/>
              </w:rPr>
            </w:pPr>
            <w:r w:rsidRPr="00E0070A">
              <w:rPr>
                <w:rFonts w:ascii="Arial" w:hAnsi="Arial"/>
              </w:rPr>
              <w:t>11</w:t>
            </w:r>
          </w:p>
        </w:tc>
        <w:tc>
          <w:tcPr>
            <w:tcW w:w="750" w:type="dxa"/>
            <w:shd w:val="clear" w:color="auto" w:fill="DDF1F3"/>
            <w:noWrap/>
            <w:hideMark/>
          </w:tcPr>
          <w:p w14:paraId="035662B6" w14:textId="77777777" w:rsidR="007119C9" w:rsidRPr="00E0070A" w:rsidRDefault="007119C9">
            <w:pPr>
              <w:jc w:val="both"/>
              <w:rPr>
                <w:rFonts w:ascii="Arial" w:hAnsi="Arial"/>
              </w:rPr>
            </w:pPr>
            <w:r w:rsidRPr="00E0070A">
              <w:rPr>
                <w:rFonts w:ascii="Arial" w:hAnsi="Arial"/>
              </w:rPr>
              <w:t>12</w:t>
            </w:r>
          </w:p>
        </w:tc>
        <w:tc>
          <w:tcPr>
            <w:tcW w:w="750" w:type="dxa"/>
            <w:shd w:val="clear" w:color="auto" w:fill="DDF1F3"/>
            <w:noWrap/>
            <w:hideMark/>
          </w:tcPr>
          <w:p w14:paraId="24159445" w14:textId="77777777" w:rsidR="007119C9" w:rsidRPr="00E0070A" w:rsidRDefault="007119C9">
            <w:pPr>
              <w:jc w:val="both"/>
              <w:rPr>
                <w:rFonts w:ascii="Arial" w:hAnsi="Arial"/>
              </w:rPr>
            </w:pPr>
            <w:r w:rsidRPr="00E0070A">
              <w:rPr>
                <w:rFonts w:ascii="Arial" w:hAnsi="Arial"/>
              </w:rPr>
              <w:t>13</w:t>
            </w:r>
          </w:p>
        </w:tc>
        <w:tc>
          <w:tcPr>
            <w:tcW w:w="750" w:type="dxa"/>
            <w:shd w:val="clear" w:color="auto" w:fill="DDF1F3"/>
            <w:noWrap/>
            <w:hideMark/>
          </w:tcPr>
          <w:p w14:paraId="6AE5DEB9" w14:textId="77777777" w:rsidR="007119C9" w:rsidRPr="00E0070A" w:rsidRDefault="007119C9">
            <w:pPr>
              <w:jc w:val="both"/>
              <w:rPr>
                <w:rFonts w:ascii="Arial" w:hAnsi="Arial"/>
              </w:rPr>
            </w:pPr>
            <w:r w:rsidRPr="00E0070A">
              <w:rPr>
                <w:rFonts w:ascii="Arial" w:hAnsi="Arial"/>
              </w:rPr>
              <w:t>14</w:t>
            </w:r>
          </w:p>
        </w:tc>
      </w:tr>
      <w:tr w:rsidR="007119C9" w:rsidRPr="00E0070A" w14:paraId="0E61F542" w14:textId="77777777" w:rsidTr="005531C0">
        <w:trPr>
          <w:trHeight w:val="288"/>
        </w:trPr>
        <w:tc>
          <w:tcPr>
            <w:tcW w:w="1360" w:type="dxa"/>
            <w:shd w:val="clear" w:color="auto" w:fill="DDF1F3"/>
            <w:noWrap/>
            <w:hideMark/>
          </w:tcPr>
          <w:p w14:paraId="49DEAF8B" w14:textId="77777777" w:rsidR="007119C9" w:rsidRPr="00E0070A" w:rsidRDefault="007119C9">
            <w:pPr>
              <w:jc w:val="both"/>
              <w:rPr>
                <w:rFonts w:ascii="Arial" w:hAnsi="Arial"/>
              </w:rPr>
            </w:pPr>
            <w:r w:rsidRPr="00E0070A">
              <w:rPr>
                <w:rFonts w:ascii="Arial" w:hAnsi="Arial"/>
              </w:rPr>
              <w:t>Stroke</w:t>
            </w:r>
          </w:p>
        </w:tc>
        <w:tc>
          <w:tcPr>
            <w:tcW w:w="750" w:type="dxa"/>
            <w:shd w:val="clear" w:color="auto" w:fill="DDF1F3"/>
            <w:noWrap/>
            <w:hideMark/>
          </w:tcPr>
          <w:p w14:paraId="6F2E66A9"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622553F5" w14:textId="77777777" w:rsidR="007119C9" w:rsidRPr="00E0070A" w:rsidRDefault="007119C9">
            <w:pPr>
              <w:jc w:val="both"/>
              <w:rPr>
                <w:rFonts w:ascii="Arial" w:hAnsi="Arial"/>
              </w:rPr>
            </w:pPr>
            <w:r w:rsidRPr="00E0070A">
              <w:rPr>
                <w:rFonts w:ascii="Arial" w:hAnsi="Arial"/>
              </w:rPr>
              <w:t>43</w:t>
            </w:r>
          </w:p>
        </w:tc>
        <w:tc>
          <w:tcPr>
            <w:tcW w:w="750" w:type="dxa"/>
            <w:shd w:val="clear" w:color="auto" w:fill="DDF1F3"/>
            <w:noWrap/>
            <w:hideMark/>
          </w:tcPr>
          <w:p w14:paraId="4D12D3DE" w14:textId="77777777" w:rsidR="007119C9" w:rsidRPr="00E0070A" w:rsidRDefault="007119C9">
            <w:pPr>
              <w:jc w:val="both"/>
              <w:rPr>
                <w:rFonts w:ascii="Arial" w:hAnsi="Arial"/>
              </w:rPr>
            </w:pPr>
            <w:r w:rsidRPr="00E0070A">
              <w:rPr>
                <w:rFonts w:ascii="Arial" w:hAnsi="Arial"/>
              </w:rPr>
              <w:t>71</w:t>
            </w:r>
          </w:p>
        </w:tc>
        <w:tc>
          <w:tcPr>
            <w:tcW w:w="750" w:type="dxa"/>
            <w:shd w:val="clear" w:color="auto" w:fill="DDF1F3"/>
            <w:noWrap/>
            <w:hideMark/>
          </w:tcPr>
          <w:p w14:paraId="6656BAC5" w14:textId="77777777" w:rsidR="007119C9" w:rsidRPr="00E0070A" w:rsidRDefault="007119C9">
            <w:pPr>
              <w:jc w:val="both"/>
              <w:rPr>
                <w:rFonts w:ascii="Arial" w:hAnsi="Arial"/>
              </w:rPr>
            </w:pPr>
            <w:r w:rsidRPr="00E0070A">
              <w:rPr>
                <w:rFonts w:ascii="Arial" w:hAnsi="Arial"/>
              </w:rPr>
              <w:t>88</w:t>
            </w:r>
          </w:p>
        </w:tc>
        <w:tc>
          <w:tcPr>
            <w:tcW w:w="750" w:type="dxa"/>
            <w:shd w:val="clear" w:color="auto" w:fill="DDF1F3"/>
            <w:noWrap/>
            <w:hideMark/>
          </w:tcPr>
          <w:p w14:paraId="28481094" w14:textId="77777777" w:rsidR="007119C9" w:rsidRPr="00E0070A" w:rsidRDefault="007119C9">
            <w:pPr>
              <w:jc w:val="both"/>
              <w:rPr>
                <w:rFonts w:ascii="Arial" w:hAnsi="Arial"/>
              </w:rPr>
            </w:pPr>
            <w:r w:rsidRPr="00E0070A">
              <w:rPr>
                <w:rFonts w:ascii="Arial" w:hAnsi="Arial"/>
              </w:rPr>
              <w:t>95</w:t>
            </w:r>
          </w:p>
        </w:tc>
        <w:tc>
          <w:tcPr>
            <w:tcW w:w="750" w:type="dxa"/>
            <w:shd w:val="clear" w:color="auto" w:fill="DDF1F3"/>
            <w:noWrap/>
            <w:hideMark/>
          </w:tcPr>
          <w:p w14:paraId="6FB0BEA7" w14:textId="77777777" w:rsidR="007119C9" w:rsidRPr="00E0070A" w:rsidRDefault="007119C9">
            <w:pPr>
              <w:jc w:val="both"/>
              <w:rPr>
                <w:rFonts w:ascii="Arial" w:hAnsi="Arial"/>
              </w:rPr>
            </w:pPr>
            <w:r w:rsidRPr="00E0070A">
              <w:rPr>
                <w:rFonts w:ascii="Arial" w:hAnsi="Arial"/>
              </w:rPr>
              <w:t>103</w:t>
            </w:r>
          </w:p>
        </w:tc>
        <w:tc>
          <w:tcPr>
            <w:tcW w:w="750" w:type="dxa"/>
            <w:shd w:val="clear" w:color="auto" w:fill="DDF1F3"/>
            <w:noWrap/>
            <w:hideMark/>
          </w:tcPr>
          <w:p w14:paraId="6A8EF20B" w14:textId="77777777" w:rsidR="007119C9" w:rsidRPr="00E0070A" w:rsidRDefault="007119C9">
            <w:pPr>
              <w:jc w:val="both"/>
              <w:rPr>
                <w:rFonts w:ascii="Arial" w:hAnsi="Arial"/>
              </w:rPr>
            </w:pPr>
            <w:r w:rsidRPr="00E0070A">
              <w:rPr>
                <w:rFonts w:ascii="Arial" w:hAnsi="Arial"/>
              </w:rPr>
              <w:t>111</w:t>
            </w:r>
          </w:p>
        </w:tc>
        <w:tc>
          <w:tcPr>
            <w:tcW w:w="750" w:type="dxa"/>
            <w:shd w:val="clear" w:color="auto" w:fill="DDF1F3"/>
            <w:noWrap/>
            <w:hideMark/>
          </w:tcPr>
          <w:p w14:paraId="08E88710" w14:textId="77777777" w:rsidR="007119C9" w:rsidRPr="00E0070A" w:rsidRDefault="007119C9">
            <w:pPr>
              <w:jc w:val="both"/>
              <w:rPr>
                <w:rFonts w:ascii="Arial" w:hAnsi="Arial"/>
              </w:rPr>
            </w:pPr>
            <w:r w:rsidRPr="00E0070A">
              <w:rPr>
                <w:rFonts w:ascii="Arial" w:hAnsi="Arial"/>
              </w:rPr>
              <w:t>120</w:t>
            </w:r>
          </w:p>
        </w:tc>
        <w:tc>
          <w:tcPr>
            <w:tcW w:w="750" w:type="dxa"/>
            <w:shd w:val="clear" w:color="auto" w:fill="DDF1F3"/>
            <w:noWrap/>
            <w:hideMark/>
          </w:tcPr>
          <w:p w14:paraId="5B9215FA" w14:textId="77777777" w:rsidR="007119C9" w:rsidRPr="00E0070A" w:rsidRDefault="007119C9">
            <w:pPr>
              <w:jc w:val="both"/>
              <w:rPr>
                <w:rFonts w:ascii="Arial" w:hAnsi="Arial"/>
              </w:rPr>
            </w:pPr>
            <w:r w:rsidRPr="00E0070A">
              <w:rPr>
                <w:rFonts w:ascii="Arial" w:hAnsi="Arial"/>
              </w:rPr>
              <w:t>128</w:t>
            </w:r>
          </w:p>
        </w:tc>
      </w:tr>
      <w:tr w:rsidR="007119C9" w:rsidRPr="00E0070A" w14:paraId="089E3D4B" w14:textId="77777777" w:rsidTr="005531C0">
        <w:trPr>
          <w:trHeight w:val="288"/>
        </w:trPr>
        <w:tc>
          <w:tcPr>
            <w:tcW w:w="1360" w:type="dxa"/>
            <w:shd w:val="clear" w:color="auto" w:fill="DDF1F3"/>
            <w:noWrap/>
            <w:hideMark/>
          </w:tcPr>
          <w:p w14:paraId="5F0AABDB" w14:textId="77777777" w:rsidR="007119C9" w:rsidRPr="00E0070A" w:rsidRDefault="007119C9">
            <w:pPr>
              <w:jc w:val="both"/>
              <w:rPr>
                <w:rFonts w:ascii="Arial" w:hAnsi="Arial"/>
              </w:rPr>
            </w:pPr>
            <w:r w:rsidRPr="00E0070A">
              <w:rPr>
                <w:rFonts w:ascii="Arial" w:hAnsi="Arial"/>
              </w:rPr>
              <w:t>SMI</w:t>
            </w:r>
          </w:p>
        </w:tc>
        <w:tc>
          <w:tcPr>
            <w:tcW w:w="750" w:type="dxa"/>
            <w:shd w:val="clear" w:color="auto" w:fill="DDF1F3"/>
            <w:noWrap/>
            <w:hideMark/>
          </w:tcPr>
          <w:p w14:paraId="5B7D05A2"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664DFA61" w14:textId="77777777" w:rsidR="007119C9" w:rsidRPr="00E0070A" w:rsidRDefault="007119C9">
            <w:pPr>
              <w:jc w:val="both"/>
              <w:rPr>
                <w:rFonts w:ascii="Arial" w:hAnsi="Arial"/>
              </w:rPr>
            </w:pPr>
            <w:r w:rsidRPr="00E0070A">
              <w:rPr>
                <w:rFonts w:ascii="Arial" w:hAnsi="Arial"/>
              </w:rPr>
              <w:t>3</w:t>
            </w:r>
          </w:p>
        </w:tc>
        <w:tc>
          <w:tcPr>
            <w:tcW w:w="750" w:type="dxa"/>
            <w:shd w:val="clear" w:color="auto" w:fill="DDF1F3"/>
            <w:noWrap/>
            <w:hideMark/>
          </w:tcPr>
          <w:p w14:paraId="588B55F8" w14:textId="77777777" w:rsidR="007119C9" w:rsidRPr="00E0070A" w:rsidRDefault="007119C9">
            <w:pPr>
              <w:jc w:val="both"/>
              <w:rPr>
                <w:rFonts w:ascii="Arial" w:hAnsi="Arial"/>
              </w:rPr>
            </w:pPr>
            <w:r w:rsidRPr="00E0070A">
              <w:rPr>
                <w:rFonts w:ascii="Arial" w:hAnsi="Arial"/>
              </w:rPr>
              <w:t>5</w:t>
            </w:r>
          </w:p>
        </w:tc>
        <w:tc>
          <w:tcPr>
            <w:tcW w:w="750" w:type="dxa"/>
            <w:shd w:val="clear" w:color="auto" w:fill="DDF1F3"/>
            <w:noWrap/>
            <w:hideMark/>
          </w:tcPr>
          <w:p w14:paraId="746DF929" w14:textId="77777777" w:rsidR="007119C9" w:rsidRPr="00E0070A" w:rsidRDefault="007119C9">
            <w:pPr>
              <w:jc w:val="both"/>
              <w:rPr>
                <w:rFonts w:ascii="Arial" w:hAnsi="Arial"/>
              </w:rPr>
            </w:pPr>
            <w:r w:rsidRPr="00E0070A">
              <w:rPr>
                <w:rFonts w:ascii="Arial" w:hAnsi="Arial"/>
              </w:rPr>
              <w:t>7</w:t>
            </w:r>
          </w:p>
        </w:tc>
        <w:tc>
          <w:tcPr>
            <w:tcW w:w="750" w:type="dxa"/>
            <w:shd w:val="clear" w:color="auto" w:fill="DDF1F3"/>
            <w:noWrap/>
            <w:hideMark/>
          </w:tcPr>
          <w:p w14:paraId="39FC9394" w14:textId="77777777" w:rsidR="007119C9" w:rsidRPr="00E0070A" w:rsidRDefault="007119C9">
            <w:pPr>
              <w:jc w:val="both"/>
              <w:rPr>
                <w:rFonts w:ascii="Arial" w:hAnsi="Arial"/>
              </w:rPr>
            </w:pPr>
            <w:r w:rsidRPr="00E0070A">
              <w:rPr>
                <w:rFonts w:ascii="Arial" w:hAnsi="Arial"/>
              </w:rPr>
              <w:t>7</w:t>
            </w:r>
          </w:p>
        </w:tc>
        <w:tc>
          <w:tcPr>
            <w:tcW w:w="750" w:type="dxa"/>
            <w:shd w:val="clear" w:color="auto" w:fill="DDF1F3"/>
            <w:noWrap/>
            <w:hideMark/>
          </w:tcPr>
          <w:p w14:paraId="29B66E02" w14:textId="77777777" w:rsidR="007119C9" w:rsidRPr="00E0070A" w:rsidRDefault="007119C9">
            <w:pPr>
              <w:jc w:val="both"/>
              <w:rPr>
                <w:rFonts w:ascii="Arial" w:hAnsi="Arial"/>
              </w:rPr>
            </w:pPr>
            <w:r w:rsidRPr="00E0070A">
              <w:rPr>
                <w:rFonts w:ascii="Arial" w:hAnsi="Arial"/>
              </w:rPr>
              <w:t>8</w:t>
            </w:r>
          </w:p>
        </w:tc>
        <w:tc>
          <w:tcPr>
            <w:tcW w:w="750" w:type="dxa"/>
            <w:shd w:val="clear" w:color="auto" w:fill="DDF1F3"/>
            <w:noWrap/>
            <w:hideMark/>
          </w:tcPr>
          <w:p w14:paraId="56A70304" w14:textId="77777777" w:rsidR="007119C9" w:rsidRPr="00E0070A" w:rsidRDefault="007119C9">
            <w:pPr>
              <w:jc w:val="both"/>
              <w:rPr>
                <w:rFonts w:ascii="Arial" w:hAnsi="Arial"/>
              </w:rPr>
            </w:pPr>
            <w:r w:rsidRPr="00E0070A">
              <w:rPr>
                <w:rFonts w:ascii="Arial" w:hAnsi="Arial"/>
              </w:rPr>
              <w:t>8</w:t>
            </w:r>
          </w:p>
        </w:tc>
        <w:tc>
          <w:tcPr>
            <w:tcW w:w="750" w:type="dxa"/>
            <w:shd w:val="clear" w:color="auto" w:fill="DDF1F3"/>
            <w:noWrap/>
            <w:hideMark/>
          </w:tcPr>
          <w:p w14:paraId="602B8472" w14:textId="77777777" w:rsidR="007119C9" w:rsidRPr="00E0070A" w:rsidRDefault="007119C9">
            <w:pPr>
              <w:jc w:val="both"/>
              <w:rPr>
                <w:rFonts w:ascii="Arial" w:hAnsi="Arial"/>
              </w:rPr>
            </w:pPr>
            <w:r w:rsidRPr="00E0070A">
              <w:rPr>
                <w:rFonts w:ascii="Arial" w:hAnsi="Arial"/>
              </w:rPr>
              <w:t>9</w:t>
            </w:r>
          </w:p>
        </w:tc>
        <w:tc>
          <w:tcPr>
            <w:tcW w:w="750" w:type="dxa"/>
            <w:shd w:val="clear" w:color="auto" w:fill="DDF1F3"/>
            <w:noWrap/>
            <w:hideMark/>
          </w:tcPr>
          <w:p w14:paraId="0084FB02" w14:textId="77777777" w:rsidR="007119C9" w:rsidRPr="00E0070A" w:rsidRDefault="007119C9">
            <w:pPr>
              <w:jc w:val="both"/>
              <w:rPr>
                <w:rFonts w:ascii="Arial" w:hAnsi="Arial"/>
              </w:rPr>
            </w:pPr>
            <w:r w:rsidRPr="00E0070A">
              <w:rPr>
                <w:rFonts w:ascii="Arial" w:hAnsi="Arial"/>
              </w:rPr>
              <w:t>10</w:t>
            </w:r>
          </w:p>
        </w:tc>
      </w:tr>
      <w:tr w:rsidR="007119C9" w:rsidRPr="00E0070A" w14:paraId="2D7FBF4D" w14:textId="77777777" w:rsidTr="005531C0">
        <w:trPr>
          <w:trHeight w:val="288"/>
        </w:trPr>
        <w:tc>
          <w:tcPr>
            <w:tcW w:w="1360" w:type="dxa"/>
            <w:shd w:val="clear" w:color="auto" w:fill="DDF1F3"/>
            <w:noWrap/>
            <w:hideMark/>
          </w:tcPr>
          <w:p w14:paraId="39A21740" w14:textId="77777777" w:rsidR="007119C9" w:rsidRPr="00E0070A" w:rsidRDefault="007119C9">
            <w:pPr>
              <w:jc w:val="both"/>
              <w:rPr>
                <w:rFonts w:ascii="Arial" w:hAnsi="Arial"/>
              </w:rPr>
            </w:pPr>
            <w:r w:rsidRPr="00E0070A">
              <w:rPr>
                <w:rFonts w:ascii="Arial" w:hAnsi="Arial"/>
              </w:rPr>
              <w:t>Dementia</w:t>
            </w:r>
          </w:p>
        </w:tc>
        <w:tc>
          <w:tcPr>
            <w:tcW w:w="750" w:type="dxa"/>
            <w:shd w:val="clear" w:color="auto" w:fill="DDF1F3"/>
            <w:noWrap/>
            <w:hideMark/>
          </w:tcPr>
          <w:p w14:paraId="5BC4E9EC"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2C4EDBAD" w14:textId="77777777" w:rsidR="007119C9" w:rsidRPr="00E0070A" w:rsidRDefault="007119C9">
            <w:pPr>
              <w:jc w:val="both"/>
              <w:rPr>
                <w:rFonts w:ascii="Arial" w:hAnsi="Arial"/>
              </w:rPr>
            </w:pPr>
            <w:r w:rsidRPr="00E0070A">
              <w:rPr>
                <w:rFonts w:ascii="Arial" w:hAnsi="Arial"/>
              </w:rPr>
              <w:t>103</w:t>
            </w:r>
          </w:p>
        </w:tc>
        <w:tc>
          <w:tcPr>
            <w:tcW w:w="750" w:type="dxa"/>
            <w:shd w:val="clear" w:color="auto" w:fill="DDF1F3"/>
            <w:noWrap/>
            <w:hideMark/>
          </w:tcPr>
          <w:p w14:paraId="684E46A0" w14:textId="77777777" w:rsidR="007119C9" w:rsidRPr="00E0070A" w:rsidRDefault="007119C9">
            <w:pPr>
              <w:jc w:val="both"/>
              <w:rPr>
                <w:rFonts w:ascii="Arial" w:hAnsi="Arial"/>
              </w:rPr>
            </w:pPr>
            <w:r w:rsidRPr="00E0070A">
              <w:rPr>
                <w:rFonts w:ascii="Arial" w:hAnsi="Arial"/>
              </w:rPr>
              <w:t>185</w:t>
            </w:r>
          </w:p>
        </w:tc>
        <w:tc>
          <w:tcPr>
            <w:tcW w:w="750" w:type="dxa"/>
            <w:shd w:val="clear" w:color="auto" w:fill="DDF1F3"/>
            <w:noWrap/>
            <w:hideMark/>
          </w:tcPr>
          <w:p w14:paraId="1DF84C9B" w14:textId="77777777" w:rsidR="007119C9" w:rsidRPr="00E0070A" w:rsidRDefault="007119C9">
            <w:pPr>
              <w:jc w:val="both"/>
              <w:rPr>
                <w:rFonts w:ascii="Arial" w:hAnsi="Arial"/>
              </w:rPr>
            </w:pPr>
            <w:r w:rsidRPr="00E0070A">
              <w:rPr>
                <w:rFonts w:ascii="Arial" w:hAnsi="Arial"/>
              </w:rPr>
              <w:t>241</w:t>
            </w:r>
          </w:p>
        </w:tc>
        <w:tc>
          <w:tcPr>
            <w:tcW w:w="750" w:type="dxa"/>
            <w:shd w:val="clear" w:color="auto" w:fill="DDF1F3"/>
            <w:noWrap/>
            <w:hideMark/>
          </w:tcPr>
          <w:p w14:paraId="599FA009" w14:textId="77777777" w:rsidR="007119C9" w:rsidRPr="00E0070A" w:rsidRDefault="007119C9">
            <w:pPr>
              <w:jc w:val="both"/>
              <w:rPr>
                <w:rFonts w:ascii="Arial" w:hAnsi="Arial"/>
              </w:rPr>
            </w:pPr>
            <w:r w:rsidRPr="00E0070A">
              <w:rPr>
                <w:rFonts w:ascii="Arial" w:hAnsi="Arial"/>
              </w:rPr>
              <w:t>267</w:t>
            </w:r>
          </w:p>
        </w:tc>
        <w:tc>
          <w:tcPr>
            <w:tcW w:w="750" w:type="dxa"/>
            <w:shd w:val="clear" w:color="auto" w:fill="DDF1F3"/>
            <w:noWrap/>
            <w:hideMark/>
          </w:tcPr>
          <w:p w14:paraId="5BCB6F48" w14:textId="77777777" w:rsidR="007119C9" w:rsidRPr="00E0070A" w:rsidRDefault="007119C9">
            <w:pPr>
              <w:jc w:val="both"/>
              <w:rPr>
                <w:rFonts w:ascii="Arial" w:hAnsi="Arial"/>
              </w:rPr>
            </w:pPr>
            <w:r w:rsidRPr="00E0070A">
              <w:rPr>
                <w:rFonts w:ascii="Arial" w:hAnsi="Arial"/>
              </w:rPr>
              <w:t>292</w:t>
            </w:r>
          </w:p>
        </w:tc>
        <w:tc>
          <w:tcPr>
            <w:tcW w:w="750" w:type="dxa"/>
            <w:shd w:val="clear" w:color="auto" w:fill="DDF1F3"/>
            <w:noWrap/>
            <w:hideMark/>
          </w:tcPr>
          <w:p w14:paraId="2678FA38" w14:textId="77777777" w:rsidR="007119C9" w:rsidRPr="00E0070A" w:rsidRDefault="007119C9">
            <w:pPr>
              <w:jc w:val="both"/>
              <w:rPr>
                <w:rFonts w:ascii="Arial" w:hAnsi="Arial"/>
              </w:rPr>
            </w:pPr>
            <w:r w:rsidRPr="00E0070A">
              <w:rPr>
                <w:rFonts w:ascii="Arial" w:hAnsi="Arial"/>
              </w:rPr>
              <w:t>320</w:t>
            </w:r>
          </w:p>
        </w:tc>
        <w:tc>
          <w:tcPr>
            <w:tcW w:w="750" w:type="dxa"/>
            <w:shd w:val="clear" w:color="auto" w:fill="DDF1F3"/>
            <w:noWrap/>
            <w:hideMark/>
          </w:tcPr>
          <w:p w14:paraId="0A2400C0" w14:textId="77777777" w:rsidR="007119C9" w:rsidRPr="00E0070A" w:rsidRDefault="007119C9">
            <w:pPr>
              <w:jc w:val="both"/>
              <w:rPr>
                <w:rFonts w:ascii="Arial" w:hAnsi="Arial"/>
              </w:rPr>
            </w:pPr>
            <w:r w:rsidRPr="00E0070A">
              <w:rPr>
                <w:rFonts w:ascii="Arial" w:hAnsi="Arial"/>
              </w:rPr>
              <w:t>348</w:t>
            </w:r>
          </w:p>
        </w:tc>
        <w:tc>
          <w:tcPr>
            <w:tcW w:w="750" w:type="dxa"/>
            <w:shd w:val="clear" w:color="auto" w:fill="DDF1F3"/>
            <w:noWrap/>
            <w:hideMark/>
          </w:tcPr>
          <w:p w14:paraId="223D8764" w14:textId="77777777" w:rsidR="007119C9" w:rsidRPr="00E0070A" w:rsidRDefault="007119C9">
            <w:pPr>
              <w:jc w:val="both"/>
              <w:rPr>
                <w:rFonts w:ascii="Arial" w:hAnsi="Arial"/>
              </w:rPr>
            </w:pPr>
            <w:r w:rsidRPr="00E0070A">
              <w:rPr>
                <w:rFonts w:ascii="Arial" w:hAnsi="Arial"/>
              </w:rPr>
              <w:t>377</w:t>
            </w:r>
          </w:p>
        </w:tc>
      </w:tr>
      <w:tr w:rsidR="007119C9" w:rsidRPr="00E0070A" w14:paraId="6001EB89" w14:textId="77777777" w:rsidTr="005531C0">
        <w:trPr>
          <w:trHeight w:val="288"/>
        </w:trPr>
        <w:tc>
          <w:tcPr>
            <w:tcW w:w="1360" w:type="dxa"/>
            <w:shd w:val="clear" w:color="auto" w:fill="DDF1F3"/>
            <w:noWrap/>
            <w:hideMark/>
          </w:tcPr>
          <w:p w14:paraId="18DABAC0" w14:textId="77777777" w:rsidR="007119C9" w:rsidRPr="00E0070A" w:rsidRDefault="007119C9">
            <w:pPr>
              <w:jc w:val="both"/>
              <w:rPr>
                <w:rFonts w:ascii="Arial" w:hAnsi="Arial"/>
              </w:rPr>
            </w:pPr>
            <w:r w:rsidRPr="00E0070A">
              <w:rPr>
                <w:rFonts w:ascii="Arial" w:hAnsi="Arial"/>
              </w:rPr>
              <w:t>Neuro</w:t>
            </w:r>
          </w:p>
        </w:tc>
        <w:tc>
          <w:tcPr>
            <w:tcW w:w="750" w:type="dxa"/>
            <w:shd w:val="clear" w:color="auto" w:fill="DDF1F3"/>
            <w:noWrap/>
            <w:hideMark/>
          </w:tcPr>
          <w:p w14:paraId="69499DCA"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48372D04" w14:textId="77777777" w:rsidR="007119C9" w:rsidRPr="00E0070A" w:rsidRDefault="007119C9">
            <w:pPr>
              <w:jc w:val="both"/>
              <w:rPr>
                <w:rFonts w:ascii="Arial" w:hAnsi="Arial"/>
              </w:rPr>
            </w:pPr>
            <w:r w:rsidRPr="00E0070A">
              <w:rPr>
                <w:rFonts w:ascii="Arial" w:hAnsi="Arial"/>
              </w:rPr>
              <w:t>74</w:t>
            </w:r>
          </w:p>
        </w:tc>
        <w:tc>
          <w:tcPr>
            <w:tcW w:w="750" w:type="dxa"/>
            <w:shd w:val="clear" w:color="auto" w:fill="DDF1F3"/>
            <w:noWrap/>
            <w:hideMark/>
          </w:tcPr>
          <w:p w14:paraId="07C6DC1B" w14:textId="77777777" w:rsidR="007119C9" w:rsidRPr="00E0070A" w:rsidRDefault="007119C9">
            <w:pPr>
              <w:jc w:val="both"/>
              <w:rPr>
                <w:rFonts w:ascii="Arial" w:hAnsi="Arial"/>
              </w:rPr>
            </w:pPr>
            <w:r w:rsidRPr="00E0070A">
              <w:rPr>
                <w:rFonts w:ascii="Arial" w:hAnsi="Arial"/>
              </w:rPr>
              <w:t>95</w:t>
            </w:r>
          </w:p>
        </w:tc>
        <w:tc>
          <w:tcPr>
            <w:tcW w:w="750" w:type="dxa"/>
            <w:shd w:val="clear" w:color="auto" w:fill="DDF1F3"/>
            <w:noWrap/>
            <w:hideMark/>
          </w:tcPr>
          <w:p w14:paraId="72F6AFA1" w14:textId="77777777" w:rsidR="007119C9" w:rsidRPr="00E0070A" w:rsidRDefault="007119C9">
            <w:pPr>
              <w:jc w:val="both"/>
              <w:rPr>
                <w:rFonts w:ascii="Arial" w:hAnsi="Arial"/>
              </w:rPr>
            </w:pPr>
            <w:r w:rsidRPr="00E0070A">
              <w:rPr>
                <w:rFonts w:ascii="Arial" w:hAnsi="Arial"/>
              </w:rPr>
              <w:t>98</w:t>
            </w:r>
          </w:p>
        </w:tc>
        <w:tc>
          <w:tcPr>
            <w:tcW w:w="750" w:type="dxa"/>
            <w:shd w:val="clear" w:color="auto" w:fill="DDF1F3"/>
            <w:noWrap/>
            <w:hideMark/>
          </w:tcPr>
          <w:p w14:paraId="7CBC99B0" w14:textId="77777777" w:rsidR="007119C9" w:rsidRPr="00E0070A" w:rsidRDefault="007119C9">
            <w:pPr>
              <w:jc w:val="both"/>
              <w:rPr>
                <w:rFonts w:ascii="Arial" w:hAnsi="Arial"/>
              </w:rPr>
            </w:pPr>
            <w:r w:rsidRPr="00E0070A">
              <w:rPr>
                <w:rFonts w:ascii="Arial" w:hAnsi="Arial"/>
              </w:rPr>
              <w:t>100</w:t>
            </w:r>
          </w:p>
        </w:tc>
        <w:tc>
          <w:tcPr>
            <w:tcW w:w="750" w:type="dxa"/>
            <w:shd w:val="clear" w:color="auto" w:fill="DDF1F3"/>
            <w:noWrap/>
            <w:hideMark/>
          </w:tcPr>
          <w:p w14:paraId="6A60EBD9" w14:textId="77777777" w:rsidR="007119C9" w:rsidRPr="00E0070A" w:rsidRDefault="007119C9">
            <w:pPr>
              <w:jc w:val="both"/>
              <w:rPr>
                <w:rFonts w:ascii="Arial" w:hAnsi="Arial"/>
              </w:rPr>
            </w:pPr>
            <w:r w:rsidRPr="00E0070A">
              <w:rPr>
                <w:rFonts w:ascii="Arial" w:hAnsi="Arial"/>
              </w:rPr>
              <w:t>102</w:t>
            </w:r>
          </w:p>
        </w:tc>
        <w:tc>
          <w:tcPr>
            <w:tcW w:w="750" w:type="dxa"/>
            <w:shd w:val="clear" w:color="auto" w:fill="DDF1F3"/>
            <w:noWrap/>
            <w:hideMark/>
          </w:tcPr>
          <w:p w14:paraId="2344C7DD" w14:textId="77777777" w:rsidR="007119C9" w:rsidRPr="00E0070A" w:rsidRDefault="007119C9">
            <w:pPr>
              <w:jc w:val="both"/>
              <w:rPr>
                <w:rFonts w:ascii="Arial" w:hAnsi="Arial"/>
              </w:rPr>
            </w:pPr>
            <w:r w:rsidRPr="00E0070A">
              <w:rPr>
                <w:rFonts w:ascii="Arial" w:hAnsi="Arial"/>
              </w:rPr>
              <w:t>104</w:t>
            </w:r>
          </w:p>
        </w:tc>
        <w:tc>
          <w:tcPr>
            <w:tcW w:w="750" w:type="dxa"/>
            <w:shd w:val="clear" w:color="auto" w:fill="DDF1F3"/>
            <w:noWrap/>
            <w:hideMark/>
          </w:tcPr>
          <w:p w14:paraId="20B42F92" w14:textId="77777777" w:rsidR="007119C9" w:rsidRPr="00E0070A" w:rsidRDefault="007119C9">
            <w:pPr>
              <w:jc w:val="both"/>
              <w:rPr>
                <w:rFonts w:ascii="Arial" w:hAnsi="Arial"/>
              </w:rPr>
            </w:pPr>
            <w:r w:rsidRPr="00E0070A">
              <w:rPr>
                <w:rFonts w:ascii="Arial" w:hAnsi="Arial"/>
              </w:rPr>
              <w:t>106</w:t>
            </w:r>
          </w:p>
        </w:tc>
        <w:tc>
          <w:tcPr>
            <w:tcW w:w="750" w:type="dxa"/>
            <w:shd w:val="clear" w:color="auto" w:fill="DDF1F3"/>
            <w:noWrap/>
            <w:hideMark/>
          </w:tcPr>
          <w:p w14:paraId="3B91B60D" w14:textId="77777777" w:rsidR="007119C9" w:rsidRPr="00E0070A" w:rsidRDefault="007119C9">
            <w:pPr>
              <w:jc w:val="both"/>
              <w:rPr>
                <w:rFonts w:ascii="Arial" w:hAnsi="Arial"/>
              </w:rPr>
            </w:pPr>
            <w:r w:rsidRPr="00E0070A">
              <w:rPr>
                <w:rFonts w:ascii="Arial" w:hAnsi="Arial"/>
              </w:rPr>
              <w:t>108</w:t>
            </w:r>
          </w:p>
        </w:tc>
      </w:tr>
      <w:tr w:rsidR="007119C9" w:rsidRPr="00E0070A" w14:paraId="3F2DC995" w14:textId="77777777" w:rsidTr="005531C0">
        <w:trPr>
          <w:trHeight w:val="288"/>
        </w:trPr>
        <w:tc>
          <w:tcPr>
            <w:tcW w:w="1360" w:type="dxa"/>
            <w:shd w:val="clear" w:color="auto" w:fill="DDF1F3"/>
            <w:noWrap/>
            <w:hideMark/>
          </w:tcPr>
          <w:p w14:paraId="44B5C64E" w14:textId="77777777" w:rsidR="007119C9" w:rsidRPr="00E0070A" w:rsidRDefault="007119C9">
            <w:pPr>
              <w:jc w:val="both"/>
              <w:rPr>
                <w:rFonts w:ascii="Arial" w:hAnsi="Arial"/>
              </w:rPr>
            </w:pPr>
            <w:r w:rsidRPr="00E0070A">
              <w:rPr>
                <w:rFonts w:ascii="Arial" w:hAnsi="Arial"/>
              </w:rPr>
              <w:t>LD</w:t>
            </w:r>
          </w:p>
        </w:tc>
        <w:tc>
          <w:tcPr>
            <w:tcW w:w="750" w:type="dxa"/>
            <w:shd w:val="clear" w:color="auto" w:fill="DDF1F3"/>
            <w:noWrap/>
            <w:hideMark/>
          </w:tcPr>
          <w:p w14:paraId="7507630C" w14:textId="77777777" w:rsidR="007119C9" w:rsidRPr="00E0070A" w:rsidRDefault="007119C9">
            <w:pPr>
              <w:jc w:val="both"/>
              <w:rPr>
                <w:rFonts w:ascii="Arial" w:hAnsi="Arial"/>
              </w:rPr>
            </w:pPr>
            <w:r w:rsidRPr="00E0070A">
              <w:rPr>
                <w:rFonts w:ascii="Arial" w:hAnsi="Arial"/>
              </w:rPr>
              <w:t>0</w:t>
            </w:r>
          </w:p>
        </w:tc>
        <w:tc>
          <w:tcPr>
            <w:tcW w:w="750" w:type="dxa"/>
            <w:shd w:val="clear" w:color="auto" w:fill="DDF1F3"/>
            <w:noWrap/>
            <w:hideMark/>
          </w:tcPr>
          <w:p w14:paraId="376FAE0F" w14:textId="77777777" w:rsidR="007119C9" w:rsidRPr="00E0070A" w:rsidRDefault="007119C9">
            <w:pPr>
              <w:jc w:val="both"/>
              <w:rPr>
                <w:rFonts w:ascii="Arial" w:hAnsi="Arial"/>
              </w:rPr>
            </w:pPr>
            <w:r w:rsidRPr="00E0070A">
              <w:rPr>
                <w:rFonts w:ascii="Arial" w:hAnsi="Arial"/>
              </w:rPr>
              <w:t>1</w:t>
            </w:r>
          </w:p>
        </w:tc>
        <w:tc>
          <w:tcPr>
            <w:tcW w:w="750" w:type="dxa"/>
            <w:shd w:val="clear" w:color="auto" w:fill="DDF1F3"/>
            <w:noWrap/>
            <w:hideMark/>
          </w:tcPr>
          <w:p w14:paraId="5275421A" w14:textId="77777777" w:rsidR="007119C9" w:rsidRPr="00E0070A" w:rsidRDefault="007119C9">
            <w:pPr>
              <w:jc w:val="both"/>
              <w:rPr>
                <w:rFonts w:ascii="Arial" w:hAnsi="Arial"/>
              </w:rPr>
            </w:pPr>
            <w:r w:rsidRPr="00E0070A">
              <w:rPr>
                <w:rFonts w:ascii="Arial" w:hAnsi="Arial"/>
              </w:rPr>
              <w:t>1</w:t>
            </w:r>
          </w:p>
        </w:tc>
        <w:tc>
          <w:tcPr>
            <w:tcW w:w="750" w:type="dxa"/>
            <w:shd w:val="clear" w:color="auto" w:fill="DDF1F3"/>
            <w:noWrap/>
            <w:hideMark/>
          </w:tcPr>
          <w:p w14:paraId="7775B250" w14:textId="77777777" w:rsidR="007119C9" w:rsidRPr="00E0070A" w:rsidRDefault="007119C9">
            <w:pPr>
              <w:jc w:val="both"/>
              <w:rPr>
                <w:rFonts w:ascii="Arial" w:hAnsi="Arial"/>
              </w:rPr>
            </w:pPr>
            <w:r w:rsidRPr="00E0070A">
              <w:rPr>
                <w:rFonts w:ascii="Arial" w:hAnsi="Arial"/>
              </w:rPr>
              <w:t>2</w:t>
            </w:r>
          </w:p>
        </w:tc>
        <w:tc>
          <w:tcPr>
            <w:tcW w:w="750" w:type="dxa"/>
            <w:shd w:val="clear" w:color="auto" w:fill="DDF1F3"/>
            <w:noWrap/>
            <w:hideMark/>
          </w:tcPr>
          <w:p w14:paraId="7946A337" w14:textId="77777777" w:rsidR="007119C9" w:rsidRPr="00E0070A" w:rsidRDefault="007119C9">
            <w:pPr>
              <w:jc w:val="both"/>
              <w:rPr>
                <w:rFonts w:ascii="Arial" w:hAnsi="Arial"/>
              </w:rPr>
            </w:pPr>
            <w:r w:rsidRPr="00E0070A">
              <w:rPr>
                <w:rFonts w:ascii="Arial" w:hAnsi="Arial"/>
              </w:rPr>
              <w:t>2</w:t>
            </w:r>
          </w:p>
        </w:tc>
        <w:tc>
          <w:tcPr>
            <w:tcW w:w="750" w:type="dxa"/>
            <w:shd w:val="clear" w:color="auto" w:fill="DDF1F3"/>
            <w:noWrap/>
            <w:hideMark/>
          </w:tcPr>
          <w:p w14:paraId="25F0746F" w14:textId="77777777" w:rsidR="007119C9" w:rsidRPr="00E0070A" w:rsidRDefault="007119C9">
            <w:pPr>
              <w:jc w:val="both"/>
              <w:rPr>
                <w:rFonts w:ascii="Arial" w:hAnsi="Arial"/>
              </w:rPr>
            </w:pPr>
            <w:r w:rsidRPr="00E0070A">
              <w:rPr>
                <w:rFonts w:ascii="Arial" w:hAnsi="Arial"/>
              </w:rPr>
              <w:t>2</w:t>
            </w:r>
          </w:p>
        </w:tc>
        <w:tc>
          <w:tcPr>
            <w:tcW w:w="750" w:type="dxa"/>
            <w:shd w:val="clear" w:color="auto" w:fill="DDF1F3"/>
            <w:noWrap/>
            <w:hideMark/>
          </w:tcPr>
          <w:p w14:paraId="14AF9F1E" w14:textId="77777777" w:rsidR="007119C9" w:rsidRPr="00E0070A" w:rsidRDefault="007119C9">
            <w:pPr>
              <w:jc w:val="both"/>
              <w:rPr>
                <w:rFonts w:ascii="Arial" w:hAnsi="Arial"/>
              </w:rPr>
            </w:pPr>
            <w:r w:rsidRPr="00E0070A">
              <w:rPr>
                <w:rFonts w:ascii="Arial" w:hAnsi="Arial"/>
              </w:rPr>
              <w:t>2</w:t>
            </w:r>
          </w:p>
        </w:tc>
        <w:tc>
          <w:tcPr>
            <w:tcW w:w="750" w:type="dxa"/>
            <w:shd w:val="clear" w:color="auto" w:fill="DDF1F3"/>
            <w:noWrap/>
            <w:hideMark/>
          </w:tcPr>
          <w:p w14:paraId="3077FEBE" w14:textId="77777777" w:rsidR="007119C9" w:rsidRPr="00E0070A" w:rsidRDefault="007119C9">
            <w:pPr>
              <w:jc w:val="both"/>
              <w:rPr>
                <w:rFonts w:ascii="Arial" w:hAnsi="Arial"/>
              </w:rPr>
            </w:pPr>
            <w:r w:rsidRPr="00E0070A">
              <w:rPr>
                <w:rFonts w:ascii="Arial" w:hAnsi="Arial"/>
              </w:rPr>
              <w:t>2</w:t>
            </w:r>
          </w:p>
        </w:tc>
        <w:tc>
          <w:tcPr>
            <w:tcW w:w="750" w:type="dxa"/>
            <w:shd w:val="clear" w:color="auto" w:fill="DDF1F3"/>
            <w:noWrap/>
            <w:hideMark/>
          </w:tcPr>
          <w:p w14:paraId="06748563" w14:textId="77777777" w:rsidR="007119C9" w:rsidRPr="00E0070A" w:rsidRDefault="007119C9">
            <w:pPr>
              <w:jc w:val="both"/>
              <w:rPr>
                <w:rFonts w:ascii="Arial" w:hAnsi="Arial"/>
              </w:rPr>
            </w:pPr>
            <w:r w:rsidRPr="00E0070A">
              <w:rPr>
                <w:rFonts w:ascii="Arial" w:hAnsi="Arial"/>
              </w:rPr>
              <w:t>3</w:t>
            </w:r>
          </w:p>
        </w:tc>
      </w:tr>
    </w:tbl>
    <w:p w14:paraId="55CB4A2F" w14:textId="6AACDAE0" w:rsidR="007119C9" w:rsidRPr="00286B78" w:rsidRDefault="007119C9" w:rsidP="00D57E1A">
      <w:pPr>
        <w:pStyle w:val="Heading3"/>
      </w:pPr>
      <w:bookmarkStart w:id="218" w:name="_Toc128133879"/>
      <w:r w:rsidRPr="00286B78">
        <w:lastRenderedPageBreak/>
        <w:t>CHD and stroke</w:t>
      </w:r>
      <w:bookmarkEnd w:id="218"/>
    </w:p>
    <w:p w14:paraId="72E9D1ED" w14:textId="77777777" w:rsidR="007119C9" w:rsidRPr="00286B78" w:rsidRDefault="007119C9" w:rsidP="00E20573">
      <w:pPr>
        <w:rPr>
          <w:rFonts w:cstheme="minorHAnsi"/>
        </w:rPr>
      </w:pPr>
      <w:r w:rsidRPr="00286B78">
        <w:rPr>
          <w:rFonts w:cstheme="minorHAnsi"/>
        </w:rPr>
        <w:t>The prevalence of CHD and strokes reduced slightly during the covid waves in 2020 and 2021 due to the number of deaths in this cohort group. The prevalence is projected to increase in the next few years due to the increased cardiovascular risk following a covid diagnosis.</w:t>
      </w:r>
    </w:p>
    <w:p w14:paraId="6DD4F0E9" w14:textId="74D36E1B" w:rsidR="00FD6C55" w:rsidRPr="00FD6C55" w:rsidRDefault="00FD6C55" w:rsidP="00E20573">
      <w:pPr>
        <w:rPr>
          <w:b/>
          <w:bCs/>
        </w:rPr>
      </w:pPr>
      <w:r w:rsidRPr="32F7F25D">
        <w:rPr>
          <w:b/>
          <w:bCs/>
        </w:rPr>
        <w:t>Figure 1</w:t>
      </w:r>
      <w:r>
        <w:rPr>
          <w:b/>
          <w:bCs/>
        </w:rPr>
        <w:t>2</w:t>
      </w:r>
      <w:r w:rsidR="006D7B54">
        <w:rPr>
          <w:b/>
          <w:bCs/>
        </w:rPr>
        <w:t>7</w:t>
      </w:r>
      <w:r w:rsidRPr="32F7F25D">
        <w:rPr>
          <w:b/>
          <w:bCs/>
        </w:rPr>
        <w:t>: West Kent prevalence of CHD, with and without covid</w:t>
      </w:r>
    </w:p>
    <w:p w14:paraId="10B8EDB5" w14:textId="48898687" w:rsidR="007119C9" w:rsidRDefault="007119C9" w:rsidP="00E20573">
      <w:pPr>
        <w:rPr>
          <w:rFonts w:ascii="Arial" w:hAnsi="Arial"/>
        </w:rPr>
      </w:pPr>
      <w:r>
        <w:rPr>
          <w:rFonts w:ascii="Arial" w:hAnsi="Arial"/>
          <w:noProof/>
          <w:color w:val="2B579A"/>
          <w:shd w:val="clear" w:color="auto" w:fill="E6E6E6"/>
        </w:rPr>
        <w:drawing>
          <wp:inline distT="0" distB="0" distL="0" distR="0" wp14:anchorId="4137D7EE" wp14:editId="1975F711">
            <wp:extent cx="4772025" cy="2868503"/>
            <wp:effectExtent l="0" t="0" r="0" b="8255"/>
            <wp:docPr id="12" name="Picture 12" descr="Line Chart showing West Kent prevalence of CHD, with and without covid. The lines are similar until 2021 when percent with COPD with covid increases from 3.05 to 3.30 by 2027. Without covid increases very gradually from 3.05 to 3.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ine Chart showing West Kent prevalence of CHD, with and without covid. The lines are similar until 2021 when percent with COPD with covid increases from 3.05 to 3.30 by 2027. Without covid increases very gradually from 3.05 to 3.10. "/>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93184" cy="2881222"/>
                    </a:xfrm>
                    <a:prstGeom prst="rect">
                      <a:avLst/>
                    </a:prstGeom>
                    <a:noFill/>
                  </pic:spPr>
                </pic:pic>
              </a:graphicData>
            </a:graphic>
          </wp:inline>
        </w:drawing>
      </w:r>
    </w:p>
    <w:p w14:paraId="07D7DBDA" w14:textId="77777777" w:rsidR="007119C9" w:rsidRPr="00286B78" w:rsidRDefault="007119C9" w:rsidP="00D57E1A">
      <w:pPr>
        <w:pStyle w:val="Heading3"/>
      </w:pPr>
      <w:bookmarkStart w:id="219" w:name="_Toc128133880"/>
      <w:r w:rsidRPr="00286B78">
        <w:t>Stroke</w:t>
      </w:r>
      <w:bookmarkEnd w:id="219"/>
    </w:p>
    <w:p w14:paraId="22B73F37" w14:textId="5AD0EF2F" w:rsidR="00FD6C55" w:rsidRPr="00FD6C55" w:rsidRDefault="00FD6C55" w:rsidP="00E20573">
      <w:pPr>
        <w:rPr>
          <w:b/>
          <w:bCs/>
        </w:rPr>
      </w:pPr>
      <w:r w:rsidRPr="32F7F25D">
        <w:rPr>
          <w:b/>
          <w:bCs/>
        </w:rPr>
        <w:t>Figure 1</w:t>
      </w:r>
      <w:r>
        <w:rPr>
          <w:b/>
          <w:bCs/>
        </w:rPr>
        <w:t>2</w:t>
      </w:r>
      <w:r w:rsidR="006D7B54">
        <w:rPr>
          <w:b/>
          <w:bCs/>
        </w:rPr>
        <w:t>8</w:t>
      </w:r>
      <w:r w:rsidRPr="32F7F25D">
        <w:rPr>
          <w:b/>
          <w:bCs/>
        </w:rPr>
        <w:t>: West Kent prevalence of stroke, with and without covid</w:t>
      </w:r>
    </w:p>
    <w:p w14:paraId="7F19EEDE" w14:textId="77777777" w:rsidR="007119C9" w:rsidRDefault="007119C9" w:rsidP="00E20573">
      <w:pPr>
        <w:rPr>
          <w:rFonts w:ascii="Arial" w:hAnsi="Arial"/>
        </w:rPr>
      </w:pPr>
      <w:r>
        <w:rPr>
          <w:rFonts w:ascii="Arial" w:hAnsi="Arial"/>
          <w:noProof/>
          <w:color w:val="2B579A"/>
          <w:shd w:val="clear" w:color="auto" w:fill="E6E6E6"/>
        </w:rPr>
        <w:drawing>
          <wp:inline distT="0" distB="0" distL="0" distR="0" wp14:anchorId="04119F1C" wp14:editId="37705866">
            <wp:extent cx="4584700" cy="2755900"/>
            <wp:effectExtent l="0" t="0" r="6350" b="6350"/>
            <wp:docPr id="11" name="Picture 11" descr="Line Chart showing West Kent prevalence of stroke, with and without covid. The lines are similar until 2021 when percent with stroke with covid increases from 1.92 to 2.05 by 2027. Without covid increases very gradually from 1.88 to 1.96 between 2018 and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ine Chart showing West Kent prevalence of stroke, with and without covid. The lines are similar until 2021 when percent with stroke with covid increases from 1.92 to 2.05 by 2027. Without covid increases very gradually from 1.88 to 1.96 between 2018 and 202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962C352" w14:textId="77777777" w:rsidR="007119C9" w:rsidRPr="00286B78" w:rsidRDefault="007119C9" w:rsidP="00D57E1A">
      <w:pPr>
        <w:pStyle w:val="Heading3"/>
      </w:pPr>
      <w:bookmarkStart w:id="220" w:name="_Toc128133881"/>
      <w:r w:rsidRPr="00286B78">
        <w:t>Diabetes</w:t>
      </w:r>
      <w:bookmarkEnd w:id="220"/>
    </w:p>
    <w:p w14:paraId="3CEC02F2" w14:textId="77777777" w:rsidR="007119C9" w:rsidRPr="00286B78" w:rsidRDefault="007119C9" w:rsidP="00E20573">
      <w:pPr>
        <w:rPr>
          <w:rFonts w:cstheme="minorHAnsi"/>
        </w:rPr>
      </w:pPr>
      <w:r w:rsidRPr="00286B78">
        <w:rPr>
          <w:rFonts w:cstheme="minorHAnsi"/>
        </w:rPr>
        <w:t xml:space="preserve">The prevalence of diabetes reduced slightly during the covid waves in 2020 and 2021 due to the high number of deaths in this cohort group. The prevalence is projected to increase from 2024 due to increases in BMI during and after the covid pandemic. </w:t>
      </w:r>
    </w:p>
    <w:p w14:paraId="55B26493" w14:textId="33F4BA2D" w:rsidR="00E20573" w:rsidRPr="00E20573" w:rsidRDefault="00E20573" w:rsidP="00E20573">
      <w:pPr>
        <w:rPr>
          <w:b/>
          <w:bCs/>
        </w:rPr>
      </w:pPr>
      <w:r w:rsidRPr="32F7F25D">
        <w:rPr>
          <w:b/>
          <w:bCs/>
        </w:rPr>
        <w:lastRenderedPageBreak/>
        <w:t>Figure 1</w:t>
      </w:r>
      <w:r w:rsidR="006D7B54">
        <w:rPr>
          <w:b/>
          <w:bCs/>
        </w:rPr>
        <w:t>29</w:t>
      </w:r>
      <w:r w:rsidRPr="32F7F25D">
        <w:rPr>
          <w:b/>
          <w:bCs/>
        </w:rPr>
        <w:t>: West Kent prevalence of diabetes, with and without covid</w:t>
      </w:r>
    </w:p>
    <w:p w14:paraId="4539D5CE" w14:textId="77777777" w:rsidR="007119C9" w:rsidRDefault="007119C9" w:rsidP="00E20573">
      <w:pPr>
        <w:rPr>
          <w:rFonts w:ascii="Arial" w:hAnsi="Arial"/>
        </w:rPr>
      </w:pPr>
      <w:r>
        <w:rPr>
          <w:noProof/>
        </w:rPr>
        <w:drawing>
          <wp:inline distT="0" distB="0" distL="0" distR="0" wp14:anchorId="4737DD36" wp14:editId="61BB8905">
            <wp:extent cx="4584701" cy="2755900"/>
            <wp:effectExtent l="0" t="0" r="6350" b="6350"/>
            <wp:docPr id="13" name="Picture 13" descr="Line chart showing the prevalence of diabetes in West Kent with and without covid. The line are very similar and both increase from about 5% in 2020 to 5.6% in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ine chart showing the prevalence of diabetes in West Kent with and without covid. The line are very similar and both increase from about 5% in 2020 to 5.6% in 2027."/>
                    <pic:cNvPicPr/>
                  </pic:nvPicPr>
                  <pic:blipFill>
                    <a:blip r:embed="rId191">
                      <a:extLst>
                        <a:ext uri="{28A0092B-C50C-407E-A947-70E740481C1C}">
                          <a14:useLocalDpi xmlns:a14="http://schemas.microsoft.com/office/drawing/2010/main" val="0"/>
                        </a:ext>
                      </a:extLst>
                    </a:blip>
                    <a:stretch>
                      <a:fillRect/>
                    </a:stretch>
                  </pic:blipFill>
                  <pic:spPr>
                    <a:xfrm>
                      <a:off x="0" y="0"/>
                      <a:ext cx="4584701" cy="2755900"/>
                    </a:xfrm>
                    <a:prstGeom prst="rect">
                      <a:avLst/>
                    </a:prstGeom>
                  </pic:spPr>
                </pic:pic>
              </a:graphicData>
            </a:graphic>
          </wp:inline>
        </w:drawing>
      </w:r>
    </w:p>
    <w:p w14:paraId="6B301518" w14:textId="77777777" w:rsidR="007119C9" w:rsidRPr="00286B78" w:rsidRDefault="007119C9" w:rsidP="00D57E1A">
      <w:pPr>
        <w:pStyle w:val="Heading3"/>
      </w:pPr>
      <w:bookmarkStart w:id="221" w:name="_Toc128133882"/>
      <w:r w:rsidRPr="00286B78">
        <w:t>Dementia</w:t>
      </w:r>
      <w:bookmarkEnd w:id="221"/>
    </w:p>
    <w:p w14:paraId="23D0A305" w14:textId="2C9BA9D2" w:rsidR="006007A9" w:rsidRPr="00D57E1A" w:rsidRDefault="007119C9" w:rsidP="00E20573">
      <w:pPr>
        <w:rPr>
          <w:rFonts w:cstheme="minorHAnsi"/>
        </w:rPr>
      </w:pPr>
      <w:r w:rsidRPr="00286B78">
        <w:rPr>
          <w:rFonts w:cstheme="minorHAnsi"/>
        </w:rPr>
        <w:t>The prevalence of diabetes reduced slightly during the covid waves in 2020 and 2021 due to the high number of deaths in this cohort group. The prevalence will increase but it is not projected to recover to the same rate as projected without the covid pandemic.</w:t>
      </w:r>
    </w:p>
    <w:p w14:paraId="6914BB21" w14:textId="77777777" w:rsidR="00403677" w:rsidRDefault="00403677" w:rsidP="00D57E1A">
      <w:pPr>
        <w:pStyle w:val="Heading1"/>
      </w:pPr>
      <w:bookmarkStart w:id="222" w:name="_Toc128133883"/>
      <w:r w:rsidRPr="5E4DB3C2">
        <w:t>Stakeholder Voice</w:t>
      </w:r>
      <w:bookmarkEnd w:id="222"/>
      <w:r>
        <w:t xml:space="preserve"> </w:t>
      </w:r>
    </w:p>
    <w:p w14:paraId="5B5BD43A" w14:textId="77777777" w:rsidR="00403677" w:rsidRPr="00147961" w:rsidRDefault="00403677" w:rsidP="00E20573">
      <w:pPr>
        <w:widowControl w:val="0"/>
        <w:shd w:val="clear" w:color="auto" w:fill="FFFFFF" w:themeFill="background1"/>
        <w:spacing w:before="240" w:after="240"/>
        <w:rPr>
          <w:b/>
          <w:bCs/>
          <w:sz w:val="28"/>
          <w:szCs w:val="28"/>
        </w:rPr>
      </w:pPr>
      <w:r w:rsidRPr="32F7F25D">
        <w:t xml:space="preserve">Stakeholder and user views provide rich qualitative evidence for the needs assessment process and examples of evidence of engagement and its outcomes can validate recommendations to service commissioners. Kent and Medway Listens is the largest ever engagement project in relation to the mental wellbeing (MWB) of seldom heard communities in Kent and Medway. </w:t>
      </w:r>
    </w:p>
    <w:p w14:paraId="6CE99CD8" w14:textId="77777777" w:rsidR="00403677" w:rsidRPr="00147961" w:rsidRDefault="00403677" w:rsidP="00D57E1A">
      <w:pPr>
        <w:pStyle w:val="Heading2"/>
      </w:pPr>
      <w:bookmarkStart w:id="223" w:name="_Toc128133884"/>
      <w:r w:rsidRPr="32F7F25D">
        <w:t>Kent and Medway Listens</w:t>
      </w:r>
      <w:bookmarkEnd w:id="223"/>
    </w:p>
    <w:p w14:paraId="5932FA43" w14:textId="77777777" w:rsidR="00403677" w:rsidRPr="00382EE5" w:rsidRDefault="00403677" w:rsidP="00E20573">
      <w:pPr>
        <w:widowControl w:val="0"/>
        <w:shd w:val="clear" w:color="auto" w:fill="FFFFFF" w:themeFill="background1"/>
        <w:spacing w:before="240" w:after="240"/>
      </w:pPr>
      <w:r w:rsidRPr="5E4DB3C2">
        <w:t>Kent County Council (KCC) worked in partnership with KMPT, NHS Kent and Medway and Medway Council to commission ‘Kent and Medway Listens’ which utilised a range of voluntary sector organisations to reach into local communities and hear the voices of individuals from a wide range of backgrounds. The aim was to hear the voices from communities and individuals who were unlikely to be known to any service in relation to their mental wellbeing. (</w:t>
      </w:r>
      <w:hyperlink r:id="rId192">
        <w:r w:rsidRPr="5E4DB3C2">
          <w:rPr>
            <w:rStyle w:val="Hyperlink"/>
          </w:rPr>
          <w:t>https://letstalk.kent.gov.uk/kentandmedwaylistens</w:t>
        </w:r>
      </w:hyperlink>
      <w:r w:rsidRPr="5E4DB3C2">
        <w:t>)</w:t>
      </w:r>
    </w:p>
    <w:p w14:paraId="13B7B67B" w14:textId="638A8648" w:rsidR="00403677" w:rsidRPr="00382EE5" w:rsidRDefault="00403677" w:rsidP="00E20573">
      <w:pPr>
        <w:widowControl w:val="0"/>
        <w:shd w:val="clear" w:color="auto" w:fill="FFFFFF" w:themeFill="background1"/>
        <w:spacing w:before="240" w:after="240"/>
      </w:pPr>
      <w:r w:rsidRPr="32F7F25D">
        <w:rPr>
          <w:color w:val="333333"/>
        </w:rPr>
        <w:t xml:space="preserve">KCC collaborated with Volunteer and Community Sector (VCS) partners across the four HCPs in Kent and Medway. In the West Kent HCP area, the partner was Involve Kent. The VCS partners held listening events and in-depth meaningful dialogue with seldom heard individuals. </w:t>
      </w:r>
    </w:p>
    <w:p w14:paraId="09E053DE" w14:textId="77777777" w:rsidR="00403677" w:rsidRDefault="00403677" w:rsidP="00E20573">
      <w:pPr>
        <w:widowControl w:val="0"/>
        <w:shd w:val="clear" w:color="auto" w:fill="FFFFFF" w:themeFill="background1"/>
        <w:spacing w:before="240" w:after="240"/>
      </w:pPr>
      <w:r w:rsidRPr="32F7F25D">
        <w:lastRenderedPageBreak/>
        <w:t>In West Kent data was collected from 428 community members to identify local priorities and target local communities in the West Kent HCP area. There was also a digital platform which provided anonymity of contributors, to encourage honest feedback and insights from local communities.</w:t>
      </w:r>
    </w:p>
    <w:p w14:paraId="094D1BDD" w14:textId="6F73A480" w:rsidR="00403677" w:rsidRPr="00382EE5" w:rsidRDefault="00403677" w:rsidP="00E20573">
      <w:pPr>
        <w:widowControl w:val="0"/>
        <w:spacing w:before="240" w:after="240"/>
      </w:pPr>
      <w:r w:rsidRPr="5E4DB3C2">
        <w:t>The following themes were identified, when members of the community were asked what is putting pressures on their mental wellbeing and the mental wellbeing of their family, friends, and communities. As a result of this work a mind map displaying all themes individuals disclosed that impact their mental wellbeing as prepared (see below).</w:t>
      </w:r>
    </w:p>
    <w:p w14:paraId="256B403E" w14:textId="4255C014" w:rsidR="00521E59" w:rsidRPr="00521E59" w:rsidRDefault="00521E59" w:rsidP="00521E59">
      <w:pPr>
        <w:rPr>
          <w:b/>
          <w:bCs/>
        </w:rPr>
      </w:pPr>
      <w:r w:rsidRPr="32F7F25D">
        <w:rPr>
          <w:b/>
          <w:bCs/>
        </w:rPr>
        <w:t>Figure 1</w:t>
      </w:r>
      <w:r>
        <w:rPr>
          <w:b/>
          <w:bCs/>
        </w:rPr>
        <w:t>30</w:t>
      </w:r>
      <w:r w:rsidRPr="32F7F25D">
        <w:rPr>
          <w:b/>
          <w:bCs/>
        </w:rPr>
        <w:t>: Mind Map of areas consulted upon.</w:t>
      </w:r>
    </w:p>
    <w:p w14:paraId="1C32FB50" w14:textId="118E8ABD" w:rsidR="00403677" w:rsidRDefault="00403677" w:rsidP="00403677">
      <w:pPr>
        <w:widowControl w:val="0"/>
        <w:spacing w:before="240" w:after="240"/>
      </w:pPr>
      <w:r>
        <w:rPr>
          <w:noProof/>
          <w:color w:val="2B579A"/>
          <w:shd w:val="clear" w:color="auto" w:fill="E6E6E6"/>
        </w:rPr>
        <w:drawing>
          <wp:inline distT="114300" distB="114300" distL="114300" distR="114300" wp14:anchorId="2B586CA3" wp14:editId="7A4C6108">
            <wp:extent cx="5731510" cy="3340735"/>
            <wp:effectExtent l="0" t="0" r="2540" b="0"/>
            <wp:docPr id="58" name="image5.png" descr="Mind map of pressures impacting metal wellbeing across Kent and Medway &#10;"/>
            <wp:cNvGraphicFramePr/>
            <a:graphic xmlns:a="http://schemas.openxmlformats.org/drawingml/2006/main">
              <a:graphicData uri="http://schemas.openxmlformats.org/drawingml/2006/picture">
                <pic:pic xmlns:pic="http://schemas.openxmlformats.org/drawingml/2006/picture">
                  <pic:nvPicPr>
                    <pic:cNvPr id="4" name="image5.png" descr="Mind map of pressures impacting metal wellbeing across Kent and Medway &#10;"/>
                    <pic:cNvPicPr preferRelativeResize="0"/>
                  </pic:nvPicPr>
                  <pic:blipFill>
                    <a:blip r:embed="rId193"/>
                    <a:srcRect/>
                    <a:stretch>
                      <a:fillRect/>
                    </a:stretch>
                  </pic:blipFill>
                  <pic:spPr>
                    <a:xfrm>
                      <a:off x="0" y="0"/>
                      <a:ext cx="5731510" cy="3340735"/>
                    </a:xfrm>
                    <a:prstGeom prst="rect">
                      <a:avLst/>
                    </a:prstGeom>
                    <a:ln/>
                  </pic:spPr>
                </pic:pic>
              </a:graphicData>
            </a:graphic>
          </wp:inline>
        </w:drawing>
      </w:r>
    </w:p>
    <w:p w14:paraId="2B167138" w14:textId="46025BDA" w:rsidR="00403677" w:rsidRDefault="00403677" w:rsidP="00E20573">
      <w:pPr>
        <w:widowControl w:val="0"/>
        <w:spacing w:before="240" w:after="240"/>
      </w:pPr>
      <w:r w:rsidRPr="32F7F25D">
        <w:t>During the process of the listening events, the impacts of COVID-19 such as loss of income</w:t>
      </w:r>
      <w:r w:rsidR="00E67D2C">
        <w:t xml:space="preserve"> and</w:t>
      </w:r>
      <w:r w:rsidRPr="32F7F25D">
        <w:t xml:space="preserve"> isolation</w:t>
      </w:r>
      <w:r w:rsidR="00E67D2C">
        <w:t>,</w:t>
      </w:r>
      <w:r w:rsidRPr="32F7F25D">
        <w:t xml:space="preserve"> in addition to the uncertainty </w:t>
      </w:r>
      <w:r w:rsidR="00E67D2C">
        <w:t xml:space="preserve">of the </w:t>
      </w:r>
      <w:r w:rsidR="0025515F">
        <w:t>disease itself</w:t>
      </w:r>
      <w:r w:rsidRPr="32F7F25D">
        <w:t xml:space="preserve"> were becoming more apparent. Community members were asked for </w:t>
      </w:r>
      <w:bookmarkStart w:id="224" w:name="_Int_uAWab6Fy"/>
      <w:r w:rsidRPr="32F7F25D">
        <w:t>possible solutions</w:t>
      </w:r>
      <w:bookmarkEnd w:id="224"/>
      <w:r w:rsidRPr="32F7F25D">
        <w:t xml:space="preserve"> to resolve the pressures impacting their mental wellbeing, as well as for their friends, family, and community. A dominant theme noted in the response was around providing more mental health and wellbeing support.</w:t>
      </w:r>
    </w:p>
    <w:p w14:paraId="17023382" w14:textId="77777777" w:rsidR="00403677" w:rsidRPr="00DF477D" w:rsidRDefault="00403677" w:rsidP="00403677">
      <w:pPr>
        <w:widowControl w:val="0"/>
        <w:rPr>
          <w:color w:val="333333"/>
        </w:rPr>
      </w:pPr>
      <w:r w:rsidRPr="00DF477D">
        <w:rPr>
          <w:color w:val="333333"/>
        </w:rPr>
        <w:t xml:space="preserve">Many community members felt very strongly about support being available within their local communities. </w:t>
      </w:r>
    </w:p>
    <w:p w14:paraId="4A7EC49D" w14:textId="77777777" w:rsidR="00403677" w:rsidRPr="00DF477D" w:rsidRDefault="00403677" w:rsidP="00E20573">
      <w:pPr>
        <w:widowControl w:val="0"/>
        <w:numPr>
          <w:ilvl w:val="0"/>
          <w:numId w:val="30"/>
        </w:numPr>
        <w:spacing w:before="240" w:after="240"/>
      </w:pPr>
      <w:r w:rsidRPr="00DF477D">
        <w:rPr>
          <w:i/>
          <w:iCs/>
          <w:color w:val="333333"/>
        </w:rPr>
        <w:t>‘We need more funds for very local groups that people can attend. It is imperative that groups can get together and meet and talk about their lives with people who live near them. ’‘</w:t>
      </w:r>
    </w:p>
    <w:p w14:paraId="7C499253" w14:textId="77777777" w:rsidR="00403677" w:rsidRPr="00382EE5" w:rsidRDefault="00403677" w:rsidP="00403677">
      <w:pPr>
        <w:widowControl w:val="0"/>
        <w:rPr>
          <w:color w:val="333333"/>
        </w:rPr>
      </w:pPr>
      <w:r w:rsidRPr="00DF477D">
        <w:rPr>
          <w:color w:val="333333"/>
        </w:rPr>
        <w:lastRenderedPageBreak/>
        <w:t>Moreover, health pressures played a massive part for many. And with the additional pressure of COVID-19 there were many requests to improve access, delays, and experiences of healthcare by individuals across Kent and Medway.</w:t>
      </w:r>
      <w:r w:rsidRPr="32F7F25D">
        <w:rPr>
          <w:color w:val="333333"/>
        </w:rPr>
        <w:t xml:space="preserve"> </w:t>
      </w:r>
    </w:p>
    <w:p w14:paraId="2D7F6B72" w14:textId="77777777" w:rsidR="00403677" w:rsidRPr="00382EE5" w:rsidRDefault="00403677" w:rsidP="00E20573">
      <w:pPr>
        <w:widowControl w:val="0"/>
        <w:spacing w:before="240" w:after="240"/>
      </w:pPr>
      <w:r w:rsidRPr="32F7F25D">
        <w:t xml:space="preserve">In conjunction with the VCS partners, the information was presented to over 240 system leaders in four HCP workshops and one </w:t>
      </w:r>
      <w:bookmarkStart w:id="225" w:name="_Int_MeUIBWq4"/>
      <w:r w:rsidRPr="32F7F25D">
        <w:t>ICS</w:t>
      </w:r>
      <w:bookmarkEnd w:id="225"/>
      <w:r w:rsidRPr="32F7F25D">
        <w:t xml:space="preserve"> level workshop. A series of recommendations were identified which are all contained on the above link to the initiative.</w:t>
      </w:r>
    </w:p>
    <w:p w14:paraId="0C49C078" w14:textId="77777777" w:rsidR="00403677" w:rsidRPr="00BD6284" w:rsidRDefault="00403677" w:rsidP="00E20573">
      <w:pPr>
        <w:widowControl w:val="0"/>
        <w:spacing w:before="240" w:after="240"/>
      </w:pPr>
      <w:r w:rsidRPr="00BD6284">
        <w:t>Involve Kent who managed the West Kent aspects of the survey commented that whilst it is clear that there were challenges with engaging with other communities in West Kent of a wider variety of demographic backgrounds, the project has demonstrated a need for improved mental health support and access to primary health care such as GP appointments and has shown that there is a general consensus among individuals and community groups to have more community activities and events in order to help recover from the ongoing physical and emotional strain of the covid pandemic.</w:t>
      </w:r>
    </w:p>
    <w:p w14:paraId="04697D16" w14:textId="10206654" w:rsidR="00403677" w:rsidRPr="00BD6284" w:rsidRDefault="00403677" w:rsidP="00E20573">
      <w:pPr>
        <w:widowControl w:val="0"/>
        <w:spacing w:before="240" w:after="240"/>
      </w:pPr>
      <w:r w:rsidRPr="15853314">
        <w:t xml:space="preserve">In conclusion, mental wellbeing is multifaceted, people of all backgrounds, ethnicities and ages have struggled to varying degrees and due to different pressures. COVID19 has given rise to further widening of health inequalities </w:t>
      </w:r>
      <w:r w:rsidR="00BB666F">
        <w:t>which</w:t>
      </w:r>
      <w:r w:rsidRPr="15853314">
        <w:t xml:space="preserve"> has directly impacted mental wellbeing. </w:t>
      </w:r>
    </w:p>
    <w:p w14:paraId="5DF05F07" w14:textId="77777777" w:rsidR="00403677" w:rsidRPr="00BD6284" w:rsidRDefault="00403677" w:rsidP="007A44C5">
      <w:pPr>
        <w:widowControl w:val="0"/>
        <w:numPr>
          <w:ilvl w:val="0"/>
          <w:numId w:val="10"/>
        </w:numPr>
        <w:spacing w:before="240" w:after="0"/>
      </w:pPr>
      <w:r w:rsidRPr="15853314">
        <w:t xml:space="preserve">More mental health and wellbeing support. </w:t>
      </w:r>
    </w:p>
    <w:p w14:paraId="697A658F" w14:textId="310852DE" w:rsidR="00403677" w:rsidRPr="00BD6284" w:rsidRDefault="00403677" w:rsidP="007A44C5">
      <w:pPr>
        <w:widowControl w:val="0"/>
        <w:numPr>
          <w:ilvl w:val="0"/>
          <w:numId w:val="10"/>
        </w:numPr>
        <w:spacing w:before="0" w:after="0"/>
      </w:pPr>
      <w:r w:rsidRPr="15853314">
        <w:t>More community</w:t>
      </w:r>
      <w:r w:rsidR="00433DF1" w:rsidRPr="15853314">
        <w:t>-</w:t>
      </w:r>
      <w:r w:rsidRPr="15853314">
        <w:t xml:space="preserve">based support and activities; and </w:t>
      </w:r>
    </w:p>
    <w:p w14:paraId="17970CDF" w14:textId="77777777" w:rsidR="00403677" w:rsidRPr="00BD6284" w:rsidRDefault="00403677" w:rsidP="007A44C5">
      <w:pPr>
        <w:widowControl w:val="0"/>
        <w:numPr>
          <w:ilvl w:val="0"/>
          <w:numId w:val="10"/>
        </w:numPr>
        <w:spacing w:before="0" w:after="240"/>
      </w:pPr>
      <w:r w:rsidRPr="15853314">
        <w:t xml:space="preserve">More face-to-face interactions for services and with loved ones by lifting restrictions. </w:t>
      </w:r>
    </w:p>
    <w:p w14:paraId="18D58C66" w14:textId="77777777" w:rsidR="00403677" w:rsidRPr="00382EE5" w:rsidRDefault="00403677" w:rsidP="00D57E1A">
      <w:pPr>
        <w:pStyle w:val="Heading2"/>
      </w:pPr>
      <w:bookmarkStart w:id="226" w:name="_Toc128133885"/>
      <w:r w:rsidRPr="00382EE5">
        <w:t>Community Insights and Asset Mapping Emerging Themes (March 2022)</w:t>
      </w:r>
      <w:bookmarkEnd w:id="226"/>
      <w:r w:rsidRPr="00382EE5">
        <w:t xml:space="preserve"> </w:t>
      </w:r>
    </w:p>
    <w:p w14:paraId="38DFDDE3" w14:textId="14309B77" w:rsidR="00403677" w:rsidRDefault="00403677" w:rsidP="00403677">
      <w:pPr>
        <w:widowControl w:val="0"/>
        <w:spacing w:after="0"/>
        <w:rPr>
          <w:b/>
          <w:bCs/>
        </w:rPr>
      </w:pPr>
      <w:proofErr w:type="spellStart"/>
      <w:r w:rsidRPr="15853314">
        <w:rPr>
          <w:b/>
          <w:bCs/>
        </w:rPr>
        <w:t>Activmob</w:t>
      </w:r>
      <w:proofErr w:type="spellEnd"/>
      <w:r w:rsidRPr="15853314">
        <w:rPr>
          <w:b/>
          <w:bCs/>
        </w:rPr>
        <w:t xml:space="preserve"> commissioned by Maidstone BC. </w:t>
      </w:r>
    </w:p>
    <w:p w14:paraId="7F502880" w14:textId="77777777" w:rsidR="00403677" w:rsidRPr="00382EE5" w:rsidRDefault="00403677" w:rsidP="00E20573">
      <w:pPr>
        <w:widowControl w:val="0"/>
      </w:pPr>
      <w:proofErr w:type="spellStart"/>
      <w:r w:rsidRPr="32F7F25D">
        <w:t>Activmob</w:t>
      </w:r>
      <w:proofErr w:type="spellEnd"/>
      <w:r w:rsidRPr="32F7F25D">
        <w:t xml:space="preserve"> engaged with various communities across several localities in the Maidstone Borough Council area in early 2022. They identified 14 local assets in Shepway, 16 local assets in Parkwood, 4 individual assets across both areas and 3 local charities were identified. </w:t>
      </w:r>
    </w:p>
    <w:p w14:paraId="412EAAF0" w14:textId="77777777" w:rsidR="00403677" w:rsidRPr="00382EE5" w:rsidRDefault="00403677" w:rsidP="00E20573">
      <w:pPr>
        <w:widowControl w:val="0"/>
      </w:pPr>
      <w:r w:rsidRPr="5E4DB3C2">
        <w:t xml:space="preserve">In conversations around the wider environment and the impact it has on communities and individuals there was an expectation that </w:t>
      </w:r>
      <w:proofErr w:type="spellStart"/>
      <w:r w:rsidRPr="5E4DB3C2">
        <w:t>Activmob</w:t>
      </w:r>
      <w:proofErr w:type="spellEnd"/>
      <w:r w:rsidRPr="5E4DB3C2">
        <w:t xml:space="preserve"> would hear about individual issues relating to safety, food poverty, money, and housing but in fact </w:t>
      </w:r>
      <w:bookmarkStart w:id="227" w:name="_Int_UncKPFWn"/>
      <w:r w:rsidRPr="5E4DB3C2">
        <w:t>nearly everyone</w:t>
      </w:r>
      <w:bookmarkEnd w:id="227"/>
      <w:r w:rsidRPr="5E4DB3C2">
        <w:t xml:space="preserve"> spoke about how these wider issues had had an impact upon them.</w:t>
      </w:r>
    </w:p>
    <w:p w14:paraId="36609D84" w14:textId="77777777" w:rsidR="00403677" w:rsidRPr="00382EE5" w:rsidRDefault="00403677" w:rsidP="00E20573">
      <w:pPr>
        <w:widowControl w:val="0"/>
        <w:numPr>
          <w:ilvl w:val="0"/>
          <w:numId w:val="31"/>
        </w:numPr>
        <w:spacing w:before="0" w:after="0"/>
      </w:pPr>
      <w:proofErr w:type="spellStart"/>
      <w:r w:rsidRPr="32F7F25D">
        <w:t>Activmob</w:t>
      </w:r>
      <w:proofErr w:type="spellEnd"/>
      <w:r w:rsidRPr="32F7F25D">
        <w:t xml:space="preserve"> heard from everyone real experiences causing them concern about their safety and housing.</w:t>
      </w:r>
    </w:p>
    <w:p w14:paraId="77EF110F" w14:textId="2813303B" w:rsidR="00403677" w:rsidRPr="00382EE5" w:rsidRDefault="00403677" w:rsidP="00E20573">
      <w:pPr>
        <w:widowControl w:val="0"/>
        <w:numPr>
          <w:ilvl w:val="0"/>
          <w:numId w:val="31"/>
        </w:numPr>
        <w:spacing w:before="0" w:after="0"/>
      </w:pPr>
      <w:r w:rsidRPr="32F7F25D">
        <w:t>Housing Association not trusted: people living in ‘</w:t>
      </w:r>
      <w:r w:rsidRPr="32F7F25D">
        <w:rPr>
          <w:i/>
          <w:iCs/>
        </w:rPr>
        <w:t>mouldy houses</w:t>
      </w:r>
      <w:r w:rsidRPr="32F7F25D">
        <w:t xml:space="preserve"> and new people being moved into homes with ‘</w:t>
      </w:r>
      <w:r w:rsidRPr="32F7F25D">
        <w:rPr>
          <w:i/>
          <w:iCs/>
        </w:rPr>
        <w:t xml:space="preserve">broken windows and </w:t>
      </w:r>
      <w:r w:rsidR="00C56D15" w:rsidRPr="740CDBE4">
        <w:rPr>
          <w:i/>
          <w:iCs/>
        </w:rPr>
        <w:t>doors</w:t>
      </w:r>
      <w:r w:rsidR="2AE93F9A">
        <w:t>.’</w:t>
      </w:r>
    </w:p>
    <w:p w14:paraId="296E6F20" w14:textId="77777777" w:rsidR="00403677" w:rsidRPr="00382EE5" w:rsidRDefault="00403677" w:rsidP="00403677">
      <w:pPr>
        <w:widowControl w:val="0"/>
        <w:spacing w:after="0"/>
      </w:pPr>
      <w:r w:rsidRPr="00382EE5">
        <w:t>In terms of food and shopping</w:t>
      </w:r>
    </w:p>
    <w:p w14:paraId="6E6BCD62" w14:textId="42AD7E98" w:rsidR="00403677" w:rsidRDefault="00403677" w:rsidP="007A44C5">
      <w:pPr>
        <w:widowControl w:val="0"/>
        <w:numPr>
          <w:ilvl w:val="0"/>
          <w:numId w:val="32"/>
        </w:numPr>
        <w:spacing w:before="0" w:after="0"/>
      </w:pPr>
      <w:r w:rsidRPr="00382EE5">
        <w:t>It is about feeding the kids</w:t>
      </w:r>
      <w:r w:rsidRPr="00382EE5">
        <w:rPr>
          <w:b/>
          <w:bCs/>
        </w:rPr>
        <w:t xml:space="preserve"> </w:t>
      </w:r>
      <w:r w:rsidRPr="00382EE5">
        <w:t>meals – and even the snacks are not there!</w:t>
      </w:r>
    </w:p>
    <w:p w14:paraId="14DE6B42" w14:textId="30A56CA0" w:rsidR="00D57E1A" w:rsidRPr="00382EE5" w:rsidRDefault="00D57E1A" w:rsidP="007A44C5">
      <w:pPr>
        <w:widowControl w:val="0"/>
        <w:numPr>
          <w:ilvl w:val="0"/>
          <w:numId w:val="32"/>
        </w:numPr>
        <w:spacing w:before="0" w:after="0"/>
      </w:pPr>
      <w:r w:rsidRPr="00D57E1A">
        <w:lastRenderedPageBreak/>
        <w:t xml:space="preserve">No one really trying to explain to us about healthy eating, its more about </w:t>
      </w:r>
      <w:r w:rsidR="00C56D15" w:rsidRPr="00D57E1A">
        <w:t>survival.</w:t>
      </w:r>
    </w:p>
    <w:p w14:paraId="4C4DF74A" w14:textId="071A9FA1" w:rsidR="00403677" w:rsidRPr="00382EE5" w:rsidRDefault="00403677" w:rsidP="00D57E1A">
      <w:pPr>
        <w:widowControl w:val="0"/>
        <w:numPr>
          <w:ilvl w:val="0"/>
          <w:numId w:val="32"/>
        </w:numPr>
        <w:spacing w:before="0" w:after="0"/>
      </w:pPr>
      <w:r w:rsidRPr="00382EE5">
        <w:t>Reality - food is an ‘emotional thing’ ‘</w:t>
      </w:r>
      <w:r w:rsidRPr="00382EE5">
        <w:rPr>
          <w:i/>
          <w:iCs/>
        </w:rPr>
        <w:t xml:space="preserve">when you have had </w:t>
      </w:r>
      <w:bookmarkStart w:id="228" w:name="_Int_Hjbf2YAg"/>
      <w:r w:rsidRPr="00382EE5">
        <w:rPr>
          <w:i/>
          <w:iCs/>
        </w:rPr>
        <w:t>a bad day</w:t>
      </w:r>
      <w:bookmarkEnd w:id="228"/>
      <w:r w:rsidRPr="00382EE5">
        <w:rPr>
          <w:i/>
          <w:iCs/>
        </w:rPr>
        <w:t xml:space="preserve"> you eat the </w:t>
      </w:r>
      <w:bookmarkStart w:id="229" w:name="_Int_HU8DT40E"/>
      <w:r w:rsidRPr="00382EE5">
        <w:rPr>
          <w:i/>
          <w:iCs/>
        </w:rPr>
        <w:t xml:space="preserve">bad </w:t>
      </w:r>
      <w:r w:rsidR="00C56D15" w:rsidRPr="00382EE5">
        <w:rPr>
          <w:i/>
          <w:iCs/>
        </w:rPr>
        <w:t>stuff</w:t>
      </w:r>
      <w:bookmarkEnd w:id="229"/>
      <w:r w:rsidR="2987438C">
        <w:t>.”</w:t>
      </w:r>
    </w:p>
    <w:p w14:paraId="6614AF64" w14:textId="77777777" w:rsidR="00403677" w:rsidRPr="00382EE5" w:rsidRDefault="00403677" w:rsidP="00403677">
      <w:pPr>
        <w:widowControl w:val="0"/>
        <w:spacing w:after="0"/>
      </w:pPr>
      <w:r w:rsidRPr="00382EE5">
        <w:t>In terms of accessing green spaces, activities, and active travel</w:t>
      </w:r>
    </w:p>
    <w:p w14:paraId="4299838B" w14:textId="60956DC1" w:rsidR="00403677" w:rsidRPr="00382EE5" w:rsidRDefault="00403677" w:rsidP="007A44C5">
      <w:pPr>
        <w:widowControl w:val="0"/>
        <w:numPr>
          <w:ilvl w:val="0"/>
          <w:numId w:val="33"/>
        </w:numPr>
        <w:spacing w:before="0" w:after="0"/>
      </w:pPr>
      <w:r w:rsidRPr="00382EE5">
        <w:t xml:space="preserve">Not much locally to </w:t>
      </w:r>
      <w:r w:rsidR="00C56D15" w:rsidRPr="00382EE5">
        <w:t>do.</w:t>
      </w:r>
    </w:p>
    <w:p w14:paraId="16583AC6" w14:textId="0E142F4A" w:rsidR="00403677" w:rsidRPr="00382EE5" w:rsidRDefault="00403677" w:rsidP="007A44C5">
      <w:pPr>
        <w:widowControl w:val="0"/>
        <w:numPr>
          <w:ilvl w:val="0"/>
          <w:numId w:val="33"/>
        </w:numPr>
        <w:spacing w:before="0" w:after="0"/>
      </w:pPr>
      <w:r w:rsidRPr="00382EE5">
        <w:t xml:space="preserve">Do not know what is </w:t>
      </w:r>
      <w:r w:rsidR="00C56D15" w:rsidRPr="00382EE5">
        <w:t>available.</w:t>
      </w:r>
    </w:p>
    <w:p w14:paraId="51D37826" w14:textId="0F1E1536" w:rsidR="00403677" w:rsidRPr="00382EE5" w:rsidRDefault="00403677" w:rsidP="007A44C5">
      <w:pPr>
        <w:widowControl w:val="0"/>
        <w:numPr>
          <w:ilvl w:val="0"/>
          <w:numId w:val="33"/>
        </w:numPr>
        <w:spacing w:before="0" w:after="0"/>
      </w:pPr>
      <w:r w:rsidRPr="00382EE5">
        <w:t xml:space="preserve">Not SAFE to use local green spaces and </w:t>
      </w:r>
      <w:r w:rsidR="00C56D15" w:rsidRPr="00382EE5">
        <w:t>parks.</w:t>
      </w:r>
      <w:r w:rsidRPr="00382EE5">
        <w:t xml:space="preserve"> </w:t>
      </w:r>
    </w:p>
    <w:p w14:paraId="38B528D1" w14:textId="77777777" w:rsidR="00403677" w:rsidRPr="00382EE5" w:rsidRDefault="00403677" w:rsidP="007A44C5">
      <w:pPr>
        <w:widowControl w:val="0"/>
        <w:numPr>
          <w:ilvl w:val="0"/>
          <w:numId w:val="33"/>
        </w:numPr>
        <w:spacing w:before="0" w:after="0"/>
      </w:pPr>
      <w:r w:rsidRPr="00382EE5">
        <w:t>Mote Park – good</w:t>
      </w:r>
      <w:r w:rsidRPr="00382EE5">
        <w:rPr>
          <w:b/>
          <w:bCs/>
        </w:rPr>
        <w:t xml:space="preserve"> </w:t>
      </w:r>
      <w:r w:rsidRPr="00382EE5">
        <w:t>but too far from Park Wood and parking expensive</w:t>
      </w:r>
    </w:p>
    <w:p w14:paraId="18EB99B1" w14:textId="77777777" w:rsidR="00403677" w:rsidRPr="00382EE5" w:rsidRDefault="00403677" w:rsidP="007A44C5">
      <w:pPr>
        <w:widowControl w:val="0"/>
        <w:numPr>
          <w:ilvl w:val="0"/>
          <w:numId w:val="33"/>
        </w:numPr>
        <w:spacing w:before="0" w:after="0"/>
      </w:pPr>
      <w:r w:rsidRPr="00382EE5">
        <w:t>Cost</w:t>
      </w:r>
    </w:p>
    <w:p w14:paraId="2173E4E2" w14:textId="44CD7C08" w:rsidR="00403677" w:rsidRPr="00382EE5" w:rsidRDefault="00403677" w:rsidP="007A44C5">
      <w:pPr>
        <w:widowControl w:val="0"/>
        <w:numPr>
          <w:ilvl w:val="0"/>
          <w:numId w:val="33"/>
        </w:numPr>
        <w:spacing w:before="0" w:after="0"/>
      </w:pPr>
      <w:r w:rsidRPr="00382EE5">
        <w:t xml:space="preserve">Not baby or children friendly – concern about your baby crying when you get </w:t>
      </w:r>
      <w:r w:rsidR="00653625" w:rsidRPr="00382EE5">
        <w:t>there.</w:t>
      </w:r>
    </w:p>
    <w:p w14:paraId="5607D7DD" w14:textId="6D1FCCD7" w:rsidR="00403677" w:rsidRPr="00382EE5" w:rsidRDefault="00403677" w:rsidP="00403677">
      <w:pPr>
        <w:widowControl w:val="0"/>
        <w:numPr>
          <w:ilvl w:val="0"/>
          <w:numId w:val="33"/>
        </w:numPr>
        <w:spacing w:before="0" w:after="0"/>
      </w:pPr>
      <w:r w:rsidRPr="00382EE5">
        <w:t xml:space="preserve">Things have gone i.e., Heather House, Boxing Club </w:t>
      </w:r>
    </w:p>
    <w:p w14:paraId="05F1294F" w14:textId="77777777" w:rsidR="00403677" w:rsidRPr="00382EE5" w:rsidRDefault="00403677" w:rsidP="00403677">
      <w:pPr>
        <w:widowControl w:val="0"/>
      </w:pPr>
      <w:r w:rsidRPr="00382EE5">
        <w:rPr>
          <w:b/>
          <w:bCs/>
        </w:rPr>
        <w:t>The work recognised that there are opportunities:</w:t>
      </w:r>
    </w:p>
    <w:p w14:paraId="0FCA5E05" w14:textId="77777777" w:rsidR="00403677" w:rsidRPr="00382EE5" w:rsidRDefault="00403677" w:rsidP="00403677">
      <w:pPr>
        <w:widowControl w:val="0"/>
      </w:pPr>
      <w:r w:rsidRPr="00382EE5">
        <w:rPr>
          <w:b/>
          <w:bCs/>
        </w:rPr>
        <w:t>MUST DO’s</w:t>
      </w:r>
    </w:p>
    <w:p w14:paraId="6185A0A2" w14:textId="77777777" w:rsidR="00403677" w:rsidRPr="00382EE5" w:rsidRDefault="00403677" w:rsidP="00403677">
      <w:pPr>
        <w:widowControl w:val="0"/>
      </w:pPr>
      <w:r w:rsidRPr="00382EE5">
        <w:t>What can the stakeholder group work on together</w:t>
      </w:r>
      <w:r w:rsidRPr="00382EE5">
        <w:rPr>
          <w:b/>
          <w:bCs/>
        </w:rPr>
        <w:t xml:space="preserve"> </w:t>
      </w:r>
      <w:r w:rsidRPr="00382EE5">
        <w:t>to do something for the families living ‘hand to mouth’ to improve their wider environment</w:t>
      </w:r>
      <w:r w:rsidRPr="00382EE5">
        <w:rPr>
          <w:b/>
          <w:bCs/>
        </w:rPr>
        <w:t xml:space="preserve"> </w:t>
      </w:r>
      <w:r w:rsidRPr="00382EE5">
        <w:t>that is impacting on their overall health and wellbeing?</w:t>
      </w:r>
    </w:p>
    <w:p w14:paraId="5E70573E" w14:textId="77777777" w:rsidR="00403677" w:rsidRPr="00382EE5" w:rsidRDefault="00403677" w:rsidP="00403677">
      <w:pPr>
        <w:widowControl w:val="0"/>
      </w:pPr>
      <w:r w:rsidRPr="00382EE5">
        <w:t>How do we enable the stakeholders to understand the ‘reality’ of life</w:t>
      </w:r>
      <w:r w:rsidRPr="00382EE5">
        <w:rPr>
          <w:b/>
          <w:bCs/>
        </w:rPr>
        <w:t xml:space="preserve"> </w:t>
      </w:r>
      <w:r w:rsidRPr="00382EE5">
        <w:t>and how they could make it better?</w:t>
      </w:r>
    </w:p>
    <w:p w14:paraId="16CFD10C" w14:textId="77777777" w:rsidR="00403677" w:rsidRPr="00382EE5" w:rsidRDefault="00403677" w:rsidP="00403677">
      <w:pPr>
        <w:widowControl w:val="0"/>
      </w:pPr>
      <w:r w:rsidRPr="00382EE5">
        <w:rPr>
          <w:b/>
          <w:bCs/>
        </w:rPr>
        <w:t>OTHER OPPORTUNITIES:</w:t>
      </w:r>
    </w:p>
    <w:p w14:paraId="3D9385F0" w14:textId="77777777" w:rsidR="00403677" w:rsidRPr="00382EE5" w:rsidRDefault="00403677" w:rsidP="00403677">
      <w:pPr>
        <w:widowControl w:val="0"/>
      </w:pPr>
      <w:r w:rsidRPr="00382EE5">
        <w:t>Work with the trusted assets and residents</w:t>
      </w:r>
      <w:r w:rsidRPr="00382EE5">
        <w:rPr>
          <w:b/>
          <w:bCs/>
        </w:rPr>
        <w:t xml:space="preserve"> </w:t>
      </w:r>
      <w:r w:rsidRPr="00382EE5">
        <w:t>who know the gaps and are working supporting local people to find solutions that could work.</w:t>
      </w:r>
    </w:p>
    <w:p w14:paraId="35BD9045" w14:textId="07A696FD" w:rsidR="00403677" w:rsidRPr="00382EE5" w:rsidRDefault="00403677" w:rsidP="00403677">
      <w:pPr>
        <w:widowControl w:val="0"/>
      </w:pPr>
      <w:r w:rsidRPr="00382EE5">
        <w:t xml:space="preserve">Something for young people (many interviewees felt this was a priority) </w:t>
      </w:r>
    </w:p>
    <w:p w14:paraId="44547FB5" w14:textId="77777777" w:rsidR="00403677" w:rsidRPr="00382EE5" w:rsidRDefault="00403677" w:rsidP="00D57E1A">
      <w:pPr>
        <w:pStyle w:val="Heading2"/>
      </w:pPr>
      <w:bookmarkStart w:id="230" w:name="_Toc128133886"/>
      <w:r w:rsidRPr="5E4DB3C2">
        <w:t>Connect Well West Kent (Involve Kent)</w:t>
      </w:r>
      <w:bookmarkEnd w:id="230"/>
    </w:p>
    <w:p w14:paraId="78B41805" w14:textId="77777777" w:rsidR="00403677" w:rsidRPr="00382EE5" w:rsidRDefault="00403677" w:rsidP="00E20573">
      <w:r w:rsidRPr="00382EE5">
        <w:t>The Connect Well West Kent (CWWK) programme delivered by Involve Kent, is specifically the work to address health inequalities, and to feed into the Kent and Medway social prescribing strategy. It also has a significant engagement dimension.</w:t>
      </w:r>
    </w:p>
    <w:p w14:paraId="300A6CC8" w14:textId="06B7CB05" w:rsidR="00403677" w:rsidRPr="00382EE5" w:rsidRDefault="00403677" w:rsidP="00E20573">
      <w:pPr>
        <w:rPr>
          <w:iCs/>
        </w:rPr>
      </w:pPr>
      <w:r w:rsidRPr="00382EE5">
        <w:rPr>
          <w:iCs/>
        </w:rPr>
        <w:t xml:space="preserve">The programme, which supports 18 – 55-year-olds, is closely aligned to the Kent County Council funded social prescribing contract for West Kent ‘Community Navigation’ delivered by Involve, which supports people over 55. The </w:t>
      </w:r>
      <w:bookmarkStart w:id="231" w:name="_Int_UzoB1YrM"/>
      <w:r w:rsidRPr="00382EE5">
        <w:rPr>
          <w:iCs/>
        </w:rPr>
        <w:t>ICB</w:t>
      </w:r>
      <w:bookmarkEnd w:id="231"/>
      <w:r w:rsidRPr="00382EE5">
        <w:rPr>
          <w:iCs/>
        </w:rPr>
        <w:t xml:space="preserve"> invests in Community Navigation in every area of Kent except West Kent; and Involve state that this programme aims to address this disparity in funding where possible. </w:t>
      </w:r>
    </w:p>
    <w:p w14:paraId="1AFBFCF7" w14:textId="77777777" w:rsidR="00403677" w:rsidRPr="00382EE5" w:rsidRDefault="00403677" w:rsidP="00E20573">
      <w:pPr>
        <w:rPr>
          <w:iCs/>
        </w:rPr>
      </w:pPr>
      <w:r w:rsidRPr="00382EE5">
        <w:rPr>
          <w:iCs/>
        </w:rPr>
        <w:t xml:space="preserve">The purpose of the programme is to flex and respond to changing and emerging needs in West Kent, enabling proactive and swift response to social and economic issues impacting health, working collaboratively with the West Kent Health and Care Partnership (HCP) and its members. </w:t>
      </w:r>
    </w:p>
    <w:p w14:paraId="50244E12" w14:textId="77777777" w:rsidR="00403677" w:rsidRDefault="00403677" w:rsidP="00E20573">
      <w:r w:rsidRPr="32F7F25D">
        <w:lastRenderedPageBreak/>
        <w:t xml:space="preserve">This programme aimed to understand how people with complex health and social issues who were not accessing services to address their needs could be successfully engaged in social prescribing and supported. This has included attending foodbanks, soup kitchens and homeless support services weekly/fortnightly, to meet with and talk to people accessing these services. </w:t>
      </w:r>
    </w:p>
    <w:p w14:paraId="3907FD9B" w14:textId="5B345ED0" w:rsidR="00403677" w:rsidRPr="00D57E1A" w:rsidRDefault="00403677" w:rsidP="00E20573">
      <w:pPr>
        <w:rPr>
          <w:b/>
          <w:bCs/>
        </w:rPr>
      </w:pPr>
      <w:r w:rsidRPr="32F7F25D">
        <w:t xml:space="preserve">The CWWK programme provides direct, practical outreach and support to enable people experiencing inequality and adversity to access the services and support they are entitled to, addressing barriers, providing personalised support, and integrating services around individual’s unique needs. </w:t>
      </w:r>
    </w:p>
    <w:p w14:paraId="1F6FEBB7" w14:textId="77777777" w:rsidR="007151E9" w:rsidRDefault="007151E9" w:rsidP="00D57E1A">
      <w:pPr>
        <w:pStyle w:val="Heading1"/>
        <w:rPr>
          <w:rFonts w:eastAsiaTheme="minorEastAsia"/>
        </w:rPr>
      </w:pPr>
      <w:bookmarkStart w:id="232" w:name="_Toc128133887"/>
      <w:r w:rsidRPr="5E4DB3C2">
        <w:rPr>
          <w:rFonts w:eastAsiaTheme="minorEastAsia"/>
        </w:rPr>
        <w:t>Conclusions</w:t>
      </w:r>
      <w:bookmarkEnd w:id="232"/>
    </w:p>
    <w:p w14:paraId="23B2857A" w14:textId="77777777" w:rsidR="007151E9" w:rsidRDefault="007151E9" w:rsidP="00D57E1A">
      <w:pPr>
        <w:pStyle w:val="Heading2"/>
        <w:rPr>
          <w:rFonts w:eastAsiaTheme="minorEastAsia"/>
        </w:rPr>
      </w:pPr>
      <w:bookmarkStart w:id="233" w:name="_Toc128133888"/>
      <w:r w:rsidRPr="5E4DB3C2">
        <w:rPr>
          <w:rFonts w:eastAsiaTheme="minorEastAsia"/>
        </w:rPr>
        <w:t>Key health indicator results</w:t>
      </w:r>
      <w:bookmarkEnd w:id="233"/>
    </w:p>
    <w:p w14:paraId="12B7636D" w14:textId="31ADF5B5" w:rsidR="007151E9" w:rsidRDefault="007151E9" w:rsidP="00E20573">
      <w:pPr>
        <w:pStyle w:val="paragraph"/>
        <w:numPr>
          <w:ilvl w:val="0"/>
          <w:numId w:val="36"/>
        </w:numPr>
        <w:spacing w:before="0" w:beforeAutospacing="0" w:after="0" w:afterAutospacing="0" w:line="276" w:lineRule="auto"/>
        <w:rPr>
          <w:rFonts w:asciiTheme="minorHAnsi" w:eastAsiaTheme="minorEastAsia" w:hAnsiTheme="minorHAnsi" w:cstheme="minorBidi"/>
        </w:rPr>
      </w:pPr>
      <w:r w:rsidRPr="640406B7">
        <w:rPr>
          <w:rFonts w:asciiTheme="minorHAnsi" w:eastAsiaTheme="minorEastAsia" w:hAnsiTheme="minorHAnsi" w:cstheme="minorBidi"/>
        </w:rPr>
        <w:t xml:space="preserve">The elderly population in West Kent is set to increase </w:t>
      </w:r>
      <w:bookmarkStart w:id="234" w:name="_Int_NsshOICw"/>
      <w:r w:rsidRPr="640406B7">
        <w:rPr>
          <w:rFonts w:asciiTheme="minorHAnsi" w:eastAsiaTheme="minorEastAsia" w:hAnsiTheme="minorHAnsi" w:cstheme="minorBidi"/>
        </w:rPr>
        <w:t>substantially over</w:t>
      </w:r>
      <w:bookmarkEnd w:id="234"/>
      <w:r w:rsidRPr="640406B7">
        <w:rPr>
          <w:rFonts w:asciiTheme="minorHAnsi" w:eastAsiaTheme="minorEastAsia" w:hAnsiTheme="minorHAnsi" w:cstheme="minorBidi"/>
        </w:rPr>
        <w:t xml:space="preserve"> the next 20 years, by up to 7</w:t>
      </w:r>
      <w:r w:rsidR="00C56D15" w:rsidRPr="640406B7">
        <w:rPr>
          <w:rFonts w:asciiTheme="minorHAnsi" w:eastAsiaTheme="minorEastAsia" w:hAnsiTheme="minorHAnsi" w:cstheme="minorBidi"/>
        </w:rPr>
        <w:t xml:space="preserve">9% in ages 85+ </w:t>
      </w:r>
      <w:r w:rsidRPr="640406B7">
        <w:rPr>
          <w:rFonts w:asciiTheme="minorHAnsi" w:eastAsiaTheme="minorEastAsia" w:hAnsiTheme="minorHAnsi" w:cstheme="minorBidi"/>
        </w:rPr>
        <w:t xml:space="preserve">with Maidstone district population generating the largest increases. This implies the need for a broader consistent integrated approach towards </w:t>
      </w:r>
      <w:hyperlink r:id="rId194">
        <w:r w:rsidRPr="640406B7">
          <w:rPr>
            <w:rStyle w:val="Hyperlink"/>
            <w:rFonts w:asciiTheme="minorHAnsi" w:eastAsiaTheme="minorEastAsia" w:hAnsiTheme="minorHAnsi" w:cstheme="minorBidi"/>
          </w:rPr>
          <w:t>primary prevention, secondary prevention and tertiary prevention</w:t>
        </w:r>
      </w:hyperlink>
      <w:r w:rsidRPr="640406B7">
        <w:rPr>
          <w:rFonts w:asciiTheme="minorHAnsi" w:eastAsiaTheme="minorEastAsia" w:hAnsiTheme="minorHAnsi" w:cstheme="minorBidi"/>
        </w:rPr>
        <w:t xml:space="preserve"> for frailty, falls, fracture, multimorbidity and dementia care for the elderly.</w:t>
      </w:r>
    </w:p>
    <w:p w14:paraId="206E18BA" w14:textId="14BDE2E5" w:rsidR="007151E9" w:rsidRDefault="007151E9" w:rsidP="00E20573">
      <w:pPr>
        <w:pStyle w:val="paragraph"/>
        <w:numPr>
          <w:ilvl w:val="0"/>
          <w:numId w:val="36"/>
        </w:numPr>
        <w:spacing w:before="0" w:beforeAutospacing="0" w:after="0" w:afterAutospacing="0" w:line="276" w:lineRule="auto"/>
      </w:pPr>
      <w:r w:rsidRPr="640406B7">
        <w:rPr>
          <w:rFonts w:asciiTheme="minorHAnsi" w:eastAsiaTheme="minorEastAsia" w:hAnsiTheme="minorHAnsi" w:cstheme="minorBidi"/>
        </w:rPr>
        <w:t xml:space="preserve">Life expectancy in females has reduced slightly in West Kent over that last 4 years to 83.2. </w:t>
      </w:r>
      <w:r w:rsidRPr="640406B7">
        <w:rPr>
          <w:rFonts w:asciiTheme="minorHAnsi" w:eastAsiaTheme="minorEastAsia" w:hAnsiTheme="minorHAnsi" w:cstheme="minorBidi"/>
          <w:color w:val="000000" w:themeColor="text1"/>
        </w:rPr>
        <w:t>Maidstone had lowest average life expectancy of the West Kent districts at 79.9 years. Fortunately, all four West Kent districts are all lower than the Kent average for premature mortality from all causes, with Maidstone district the highest at 308.6 per 100,000 aged 0-74 and Sevenoaks lowest at 275.3 per 100,000. N</w:t>
      </w:r>
      <w:r w:rsidRPr="640406B7">
        <w:rPr>
          <w:rFonts w:ascii="Calibri" w:eastAsia="Calibri" w:hAnsi="Calibri" w:cs="Calibri"/>
          <w:color w:val="000000" w:themeColor="text1"/>
        </w:rPr>
        <w:t xml:space="preserve">et migration is expected to average around 3,300 per year across the 4 districts. West Kent HCP has managed to increase the number of total full time equivalent </w:t>
      </w:r>
      <w:bookmarkStart w:id="235" w:name="_Int_ntE3h10Z"/>
      <w:r w:rsidRPr="640406B7">
        <w:rPr>
          <w:rFonts w:ascii="Calibri" w:eastAsia="Calibri" w:hAnsi="Calibri" w:cs="Calibri"/>
          <w:color w:val="000000" w:themeColor="text1"/>
        </w:rPr>
        <w:t>GPs</w:t>
      </w:r>
      <w:bookmarkEnd w:id="235"/>
      <w:r w:rsidRPr="640406B7">
        <w:rPr>
          <w:rFonts w:ascii="Calibri" w:eastAsia="Calibri" w:hAnsi="Calibri" w:cs="Calibri"/>
          <w:color w:val="000000" w:themeColor="text1"/>
        </w:rPr>
        <w:t xml:space="preserve"> per 100,000 patients during the four</w:t>
      </w:r>
      <w:r w:rsidR="00DF3463" w:rsidRPr="640406B7">
        <w:rPr>
          <w:rFonts w:ascii="Calibri" w:eastAsia="Calibri" w:hAnsi="Calibri" w:cs="Calibri"/>
          <w:color w:val="000000" w:themeColor="text1"/>
        </w:rPr>
        <w:t>-</w:t>
      </w:r>
      <w:r w:rsidRPr="640406B7">
        <w:rPr>
          <w:rFonts w:ascii="Calibri" w:eastAsia="Calibri" w:hAnsi="Calibri" w:cs="Calibri"/>
          <w:color w:val="000000" w:themeColor="text1"/>
        </w:rPr>
        <w:t>year period September 2018 to August 2022</w:t>
      </w:r>
    </w:p>
    <w:p w14:paraId="3AB76007" w14:textId="186C43AD" w:rsidR="007151E9" w:rsidRDefault="007151E9" w:rsidP="00E20573">
      <w:pPr>
        <w:pStyle w:val="paragraph"/>
        <w:numPr>
          <w:ilvl w:val="0"/>
          <w:numId w:val="36"/>
        </w:numPr>
        <w:spacing w:before="0" w:beforeAutospacing="0" w:after="0" w:afterAutospacing="0" w:line="276" w:lineRule="auto"/>
        <w:rPr>
          <w:rFonts w:asciiTheme="minorHAnsi" w:eastAsiaTheme="minorEastAsia" w:hAnsiTheme="minorHAnsi" w:cstheme="minorBidi"/>
        </w:rPr>
      </w:pPr>
      <w:r w:rsidRPr="640406B7">
        <w:rPr>
          <w:rFonts w:asciiTheme="minorHAnsi" w:eastAsiaTheme="minorEastAsia" w:hAnsiTheme="minorHAnsi" w:cstheme="minorBidi"/>
        </w:rPr>
        <w:t xml:space="preserve">Health service demand has since rebounded post COVID creating pressures on the system for winter. Overall health inequalities have persisted (some indicators slightly worsened) as a COVID particularly related to school disruption, learning and unemployment. West Kent districts perform worse than the England average across indicator such as intentional self-harm, diagnosis rates for dementia, </w:t>
      </w:r>
      <w:r w:rsidR="00FE4646" w:rsidRPr="640406B7">
        <w:rPr>
          <w:rFonts w:asciiTheme="minorHAnsi" w:eastAsiaTheme="minorEastAsia" w:hAnsiTheme="minorHAnsi" w:cstheme="minorBidi"/>
        </w:rPr>
        <w:t>d</w:t>
      </w:r>
      <w:r w:rsidRPr="640406B7">
        <w:rPr>
          <w:rFonts w:asciiTheme="minorHAnsi" w:eastAsiaTheme="minorEastAsia" w:hAnsiTheme="minorHAnsi" w:cstheme="minorBidi"/>
        </w:rPr>
        <w:t>iabetes</w:t>
      </w:r>
      <w:r w:rsidR="5A9B2798" w:rsidRPr="740CDBE4">
        <w:rPr>
          <w:rFonts w:asciiTheme="minorHAnsi" w:eastAsiaTheme="minorEastAsia" w:hAnsiTheme="minorHAnsi" w:cstheme="minorBidi"/>
        </w:rPr>
        <w:t>,</w:t>
      </w:r>
      <w:r w:rsidRPr="640406B7">
        <w:rPr>
          <w:rFonts w:asciiTheme="minorHAnsi" w:eastAsiaTheme="minorEastAsia" w:hAnsiTheme="minorHAnsi" w:cstheme="minorBidi"/>
        </w:rPr>
        <w:t xml:space="preserve"> and smoking status at time of pregnancy. </w:t>
      </w:r>
    </w:p>
    <w:p w14:paraId="27EBB8D2" w14:textId="77777777" w:rsidR="007151E9" w:rsidRDefault="007151E9" w:rsidP="00E20573">
      <w:pPr>
        <w:pStyle w:val="paragraph"/>
        <w:numPr>
          <w:ilvl w:val="0"/>
          <w:numId w:val="36"/>
        </w:numPr>
        <w:spacing w:before="0" w:beforeAutospacing="0" w:after="0" w:afterAutospacing="0" w:line="276" w:lineRule="auto"/>
        <w:rPr>
          <w:rFonts w:ascii="Calibri" w:eastAsia="Calibri" w:hAnsi="Calibri" w:cs="Calibri"/>
        </w:rPr>
      </w:pPr>
      <w:r w:rsidRPr="640406B7">
        <w:rPr>
          <w:rFonts w:ascii="Calibri" w:eastAsia="Calibri" w:hAnsi="Calibri" w:cs="Calibri"/>
          <w:color w:val="000000" w:themeColor="text1"/>
        </w:rPr>
        <w:t xml:space="preserve">In West Kent, obesity and severe obesity have increased in Tonbridge and Malling and Sevenoaks districts since the previous year, alongside similar levels of physical inactivity in these areas. </w:t>
      </w:r>
      <w:r w:rsidRPr="640406B7">
        <w:rPr>
          <w:rFonts w:ascii="Calibri" w:eastAsia="Calibri" w:hAnsi="Calibri" w:cs="Calibri"/>
        </w:rPr>
        <w:t xml:space="preserve">Obesity is associated with health inequalities, and a considerable and effective </w:t>
      </w:r>
      <w:hyperlink r:id="rId195">
        <w:r w:rsidRPr="640406B7">
          <w:rPr>
            <w:rStyle w:val="Hyperlink"/>
            <w:rFonts w:ascii="Calibri" w:eastAsia="Calibri" w:hAnsi="Calibri" w:cs="Calibri"/>
          </w:rPr>
          <w:t>population-level approach whole systems approach to obesity prevention</w:t>
        </w:r>
      </w:hyperlink>
      <w:r w:rsidRPr="640406B7">
        <w:rPr>
          <w:rFonts w:ascii="Calibri" w:eastAsia="Calibri" w:hAnsi="Calibri" w:cs="Calibri"/>
        </w:rPr>
        <w:t xml:space="preserve"> is in progress. Addressing the wider determinants of health will not only tackle obesity but could reduce health inequalities and prevent noncommunicable diseases and reduce </w:t>
      </w:r>
      <w:r w:rsidRPr="640406B7">
        <w:rPr>
          <w:rFonts w:ascii="Calibri" w:eastAsia="Calibri" w:hAnsi="Calibri" w:cs="Calibri"/>
        </w:rPr>
        <w:lastRenderedPageBreak/>
        <w:t>premature deaths. The obesity prevention and management plan are to be incorporated with the West Kent health inequalities strategy.</w:t>
      </w:r>
    </w:p>
    <w:p w14:paraId="191E26AF" w14:textId="263826CC" w:rsidR="007151E9" w:rsidRDefault="007151E9" w:rsidP="00E20573">
      <w:pPr>
        <w:pStyle w:val="paragraph"/>
        <w:numPr>
          <w:ilvl w:val="0"/>
          <w:numId w:val="36"/>
        </w:numPr>
        <w:spacing w:before="0" w:beforeAutospacing="0" w:after="0" w:afterAutospacing="0" w:line="276" w:lineRule="auto"/>
        <w:rPr>
          <w:rFonts w:ascii="Calibri" w:eastAsia="Calibri" w:hAnsi="Calibri" w:cs="Arial"/>
        </w:rPr>
      </w:pPr>
      <w:r w:rsidRPr="640406B7">
        <w:rPr>
          <w:rFonts w:ascii="Calibri" w:eastAsia="Calibri" w:hAnsi="Calibri" w:cs="Arial"/>
        </w:rPr>
        <w:t xml:space="preserve">Most mental </w:t>
      </w:r>
      <w:r w:rsidR="00DE6082" w:rsidRPr="640406B7">
        <w:rPr>
          <w:rFonts w:ascii="Calibri" w:eastAsia="Calibri" w:hAnsi="Calibri" w:cs="Arial"/>
        </w:rPr>
        <w:t>i</w:t>
      </w:r>
      <w:r w:rsidRPr="640406B7">
        <w:rPr>
          <w:rFonts w:ascii="Calibri" w:eastAsia="Calibri" w:hAnsi="Calibri" w:cs="Arial"/>
        </w:rPr>
        <w:t xml:space="preserve">ll health indicators such as </w:t>
      </w:r>
      <w:r w:rsidR="00DE6082" w:rsidRPr="640406B7">
        <w:rPr>
          <w:rFonts w:ascii="Calibri" w:eastAsia="Calibri" w:hAnsi="Calibri" w:cs="Arial"/>
        </w:rPr>
        <w:t xml:space="preserve">the </w:t>
      </w:r>
      <w:r w:rsidRPr="640406B7">
        <w:rPr>
          <w:rFonts w:ascii="Calibri" w:eastAsia="Calibri" w:hAnsi="Calibri" w:cs="Arial"/>
        </w:rPr>
        <w:t xml:space="preserve">prevalence </w:t>
      </w:r>
      <w:r w:rsidR="00DE6082" w:rsidRPr="640406B7">
        <w:rPr>
          <w:rFonts w:ascii="Calibri" w:eastAsia="Calibri" w:hAnsi="Calibri" w:cs="Arial"/>
        </w:rPr>
        <w:t>of</w:t>
      </w:r>
      <w:r w:rsidRPr="640406B7">
        <w:rPr>
          <w:rFonts w:ascii="Calibri" w:eastAsia="Calibri" w:hAnsi="Calibri" w:cs="Arial"/>
        </w:rPr>
        <w:t xml:space="preserve"> depression, psychosis, serious mental illness</w:t>
      </w:r>
      <w:r w:rsidR="03021688" w:rsidRPr="740CDBE4">
        <w:rPr>
          <w:rFonts w:ascii="Calibri" w:eastAsia="Calibri" w:hAnsi="Calibri" w:cs="Arial"/>
        </w:rPr>
        <w:t>,</w:t>
      </w:r>
      <w:r w:rsidRPr="640406B7">
        <w:rPr>
          <w:rFonts w:ascii="Calibri" w:eastAsia="Calibri" w:hAnsi="Calibri" w:cs="Arial"/>
        </w:rPr>
        <w:t xml:space="preserve"> and suicide rates have increased across West Kent but most are not significantly different from the Kent or England averages, but there is significant variation across PCNs.</w:t>
      </w:r>
    </w:p>
    <w:p w14:paraId="34BECB9C" w14:textId="77777777" w:rsidR="007151E9" w:rsidRDefault="007151E9" w:rsidP="00E20573">
      <w:pPr>
        <w:pStyle w:val="paragraph"/>
        <w:numPr>
          <w:ilvl w:val="0"/>
          <w:numId w:val="36"/>
        </w:numPr>
        <w:spacing w:before="0" w:beforeAutospacing="0" w:after="0" w:afterAutospacing="0" w:line="276" w:lineRule="auto"/>
        <w:rPr>
          <w:rFonts w:asciiTheme="minorHAnsi" w:eastAsiaTheme="minorEastAsia" w:hAnsiTheme="minorHAnsi" w:cstheme="minorBidi"/>
          <w:color w:val="000000" w:themeColor="text1"/>
        </w:rPr>
      </w:pPr>
      <w:r w:rsidRPr="640406B7">
        <w:rPr>
          <w:rFonts w:asciiTheme="minorHAnsi" w:eastAsiaTheme="minorEastAsia" w:hAnsiTheme="minorHAnsi" w:cstheme="minorBidi"/>
          <w:color w:val="000000" w:themeColor="text1"/>
        </w:rPr>
        <w:t xml:space="preserve">Maidstone council area has the highest diagnostic rates of </w:t>
      </w:r>
      <w:bookmarkStart w:id="236" w:name="_Int_2UoDX5Fw"/>
      <w:r w:rsidRPr="640406B7">
        <w:rPr>
          <w:rFonts w:asciiTheme="minorHAnsi" w:eastAsiaTheme="minorEastAsia" w:hAnsiTheme="minorHAnsi" w:cstheme="minorBidi"/>
          <w:color w:val="000000" w:themeColor="text1"/>
        </w:rPr>
        <w:t>STIs</w:t>
      </w:r>
      <w:bookmarkEnd w:id="236"/>
      <w:r w:rsidRPr="640406B7">
        <w:rPr>
          <w:rFonts w:asciiTheme="minorHAnsi" w:eastAsiaTheme="minorEastAsia" w:hAnsiTheme="minorHAnsi" w:cstheme="minorBidi"/>
          <w:color w:val="000000" w:themeColor="text1"/>
        </w:rPr>
        <w:t xml:space="preserve"> and teenage pregnancy rates in West Kent but screening and testing levels have still not reached pre-pandemic levels.</w:t>
      </w:r>
    </w:p>
    <w:p w14:paraId="1695F6D1" w14:textId="3C3AA964" w:rsidR="007151E9" w:rsidRDefault="007151E9" w:rsidP="045A98DE">
      <w:pPr>
        <w:pStyle w:val="paragraph"/>
        <w:numPr>
          <w:ilvl w:val="0"/>
          <w:numId w:val="36"/>
        </w:numPr>
        <w:spacing w:before="0" w:beforeAutospacing="0" w:after="0" w:afterAutospacing="0" w:line="276" w:lineRule="auto"/>
      </w:pPr>
      <w:r w:rsidRPr="045A98DE">
        <w:rPr>
          <w:rFonts w:asciiTheme="minorHAnsi" w:eastAsiaTheme="minorEastAsia" w:hAnsiTheme="minorHAnsi" w:cstheme="minorBidi"/>
          <w:color w:val="000000" w:themeColor="text1"/>
        </w:rPr>
        <w:t xml:space="preserve">Learning disabilities (LD) such as Autism Spectrum Condition (ASC) and </w:t>
      </w:r>
      <w:bookmarkStart w:id="237" w:name="_Int_OTP4O6FX"/>
      <w:r w:rsidRPr="045A98DE">
        <w:rPr>
          <w:rFonts w:asciiTheme="minorHAnsi" w:eastAsiaTheme="minorEastAsia" w:hAnsiTheme="minorHAnsi" w:cstheme="minorBidi"/>
          <w:color w:val="000000" w:themeColor="text1"/>
        </w:rPr>
        <w:t>Attention Deficit Hyperactivity Disorder</w:t>
      </w:r>
      <w:bookmarkEnd w:id="237"/>
      <w:r w:rsidRPr="045A98DE">
        <w:rPr>
          <w:rFonts w:asciiTheme="minorHAnsi" w:eastAsiaTheme="minorEastAsia" w:hAnsiTheme="minorHAnsi" w:cstheme="minorBidi"/>
          <w:color w:val="000000" w:themeColor="text1"/>
        </w:rPr>
        <w:t xml:space="preserve"> (ADHD) diagnostic and prescribing services continue to face significant capacity issues due to large waiting lists and a surge in demand resulting in long wait times for some patients, </w:t>
      </w:r>
      <w:bookmarkStart w:id="238" w:name="_Int_loUZL2SH"/>
      <w:r w:rsidRPr="045A98DE">
        <w:rPr>
          <w:rFonts w:asciiTheme="minorHAnsi" w:eastAsiaTheme="minorEastAsia" w:hAnsiTheme="minorHAnsi" w:cstheme="minorBidi"/>
          <w:color w:val="000000" w:themeColor="text1"/>
        </w:rPr>
        <w:t>similar to</w:t>
      </w:r>
      <w:bookmarkEnd w:id="238"/>
      <w:r w:rsidRPr="045A98DE">
        <w:rPr>
          <w:rFonts w:asciiTheme="minorHAnsi" w:eastAsiaTheme="minorEastAsia" w:hAnsiTheme="minorHAnsi" w:cstheme="minorBidi"/>
          <w:color w:val="000000" w:themeColor="text1"/>
        </w:rPr>
        <w:t xml:space="preserve"> pre-pandemic levels. If unchecked waiting lists </w:t>
      </w:r>
      <w:r w:rsidR="747CA899" w:rsidRPr="045A98DE">
        <w:rPr>
          <w:rFonts w:asciiTheme="minorHAnsi" w:eastAsiaTheme="minorEastAsia" w:hAnsiTheme="minorHAnsi" w:cstheme="minorBidi"/>
          <w:color w:val="000000" w:themeColor="text1"/>
        </w:rPr>
        <w:t xml:space="preserve">for Kent and Medway </w:t>
      </w:r>
      <w:r w:rsidRPr="045A98DE">
        <w:rPr>
          <w:rFonts w:asciiTheme="minorHAnsi" w:eastAsiaTheme="minorEastAsia" w:hAnsiTheme="minorHAnsi" w:cstheme="minorBidi"/>
          <w:color w:val="000000" w:themeColor="text1"/>
        </w:rPr>
        <w:t xml:space="preserve">are projected hit more than 27,000 by 2025. Up to 20% of people with LD have underlying conditions such as </w:t>
      </w:r>
      <w:r w:rsidR="00A47DA7" w:rsidRPr="045A98DE">
        <w:rPr>
          <w:rFonts w:asciiTheme="minorHAnsi" w:eastAsiaTheme="minorEastAsia" w:hAnsiTheme="minorHAnsi" w:cstheme="minorBidi"/>
          <w:color w:val="000000" w:themeColor="text1"/>
        </w:rPr>
        <w:t xml:space="preserve">epilepsy </w:t>
      </w:r>
      <w:r w:rsidRPr="045A98DE">
        <w:rPr>
          <w:rFonts w:asciiTheme="minorHAnsi" w:eastAsiaTheme="minorEastAsia" w:hAnsiTheme="minorHAnsi" w:cstheme="minorBidi"/>
          <w:color w:val="000000" w:themeColor="text1"/>
        </w:rPr>
        <w:t xml:space="preserve">and </w:t>
      </w:r>
      <w:r w:rsidR="00A47DA7" w:rsidRPr="045A98DE">
        <w:rPr>
          <w:rFonts w:asciiTheme="minorHAnsi" w:eastAsiaTheme="minorEastAsia" w:hAnsiTheme="minorHAnsi" w:cstheme="minorBidi"/>
          <w:color w:val="000000" w:themeColor="text1"/>
        </w:rPr>
        <w:t>depression</w:t>
      </w:r>
      <w:r w:rsidRPr="045A98DE">
        <w:rPr>
          <w:rFonts w:asciiTheme="minorHAnsi" w:eastAsiaTheme="minorEastAsia" w:hAnsiTheme="minorHAnsi" w:cstheme="minorBidi"/>
          <w:color w:val="000000" w:themeColor="text1"/>
        </w:rPr>
        <w:t xml:space="preserve">, picked up during </w:t>
      </w:r>
      <w:r w:rsidR="008C4298" w:rsidRPr="045A98DE">
        <w:rPr>
          <w:rFonts w:asciiTheme="minorHAnsi" w:eastAsiaTheme="minorEastAsia" w:hAnsiTheme="minorHAnsi" w:cstheme="minorBidi"/>
          <w:color w:val="000000" w:themeColor="text1"/>
        </w:rPr>
        <w:t xml:space="preserve">the </w:t>
      </w:r>
      <w:r w:rsidRPr="045A98DE">
        <w:rPr>
          <w:rFonts w:asciiTheme="minorHAnsi" w:eastAsiaTheme="minorEastAsia" w:hAnsiTheme="minorHAnsi" w:cstheme="minorBidi"/>
          <w:color w:val="000000" w:themeColor="text1"/>
        </w:rPr>
        <w:t>Health Check</w:t>
      </w:r>
      <w:r w:rsidR="008C4298" w:rsidRPr="045A98DE">
        <w:rPr>
          <w:rFonts w:asciiTheme="minorHAnsi" w:eastAsiaTheme="minorEastAsia" w:hAnsiTheme="minorHAnsi" w:cstheme="minorBidi"/>
          <w:color w:val="000000" w:themeColor="text1"/>
        </w:rPr>
        <w:t xml:space="preserve"> process</w:t>
      </w:r>
      <w:r w:rsidRPr="045A98DE">
        <w:rPr>
          <w:rFonts w:asciiTheme="minorHAnsi" w:eastAsiaTheme="minorEastAsia" w:hAnsiTheme="minorHAnsi" w:cstheme="minorBidi"/>
          <w:color w:val="000000" w:themeColor="text1"/>
        </w:rPr>
        <w:t xml:space="preserve">. Ways to improve health check take-up can be found at </w:t>
      </w:r>
      <w:hyperlink r:id="rId196">
        <w:r w:rsidRPr="045A98DE">
          <w:rPr>
            <w:rStyle w:val="Hyperlink"/>
            <w:rFonts w:asciiTheme="minorHAnsi" w:eastAsiaTheme="minorEastAsia" w:hAnsiTheme="minorHAnsi" w:cstheme="minorBidi"/>
          </w:rPr>
          <w:t>www.healthcheck.nhs.uk</w:t>
        </w:r>
      </w:hyperlink>
    </w:p>
    <w:p w14:paraId="00A147AB" w14:textId="1B5D40E5" w:rsidR="007151E9" w:rsidRPr="00867245" w:rsidRDefault="007151E9" w:rsidP="640406B7">
      <w:pPr>
        <w:pStyle w:val="paragraph"/>
        <w:numPr>
          <w:ilvl w:val="0"/>
          <w:numId w:val="36"/>
        </w:numPr>
        <w:spacing w:before="0" w:beforeAutospacing="0" w:after="0" w:afterAutospacing="0" w:line="276" w:lineRule="auto"/>
        <w:rPr>
          <w:rFonts w:ascii="Calibri" w:eastAsia="Calibri" w:hAnsi="Calibri" w:cs="Calibri"/>
          <w:color w:val="000000" w:themeColor="text1"/>
        </w:rPr>
      </w:pPr>
      <w:r w:rsidRPr="640406B7">
        <w:rPr>
          <w:rFonts w:asciiTheme="minorHAnsi" w:eastAsiaTheme="minorEastAsia" w:hAnsiTheme="minorHAnsi" w:cstheme="minorBidi"/>
          <w:color w:val="000000" w:themeColor="text1"/>
        </w:rPr>
        <w:t>Universal claimant counts across West Kent have fallen back to pre-pandemic levels but there is significant variation by ward for each district. Local authority housing registers have been steadily declining and now fallen to their lowest levels in 20 years</w:t>
      </w:r>
      <w:r w:rsidR="00EC10F8" w:rsidRPr="640406B7">
        <w:rPr>
          <w:rFonts w:asciiTheme="minorHAnsi" w:eastAsiaTheme="minorEastAsia" w:hAnsiTheme="minorHAnsi" w:cstheme="minorBidi"/>
          <w:color w:val="000000" w:themeColor="text1"/>
        </w:rPr>
        <w:t>,</w:t>
      </w:r>
      <w:r w:rsidRPr="640406B7">
        <w:rPr>
          <w:rFonts w:asciiTheme="minorHAnsi" w:eastAsiaTheme="minorEastAsia" w:hAnsiTheme="minorHAnsi" w:cstheme="minorBidi"/>
          <w:color w:val="000000" w:themeColor="text1"/>
        </w:rPr>
        <w:t xml:space="preserve"> although this </w:t>
      </w:r>
      <w:bookmarkStart w:id="239" w:name="_Int_ask4PKZg"/>
      <w:r w:rsidRPr="640406B7">
        <w:rPr>
          <w:rFonts w:asciiTheme="minorHAnsi" w:eastAsiaTheme="minorEastAsia" w:hAnsiTheme="minorHAnsi" w:cstheme="minorBidi"/>
          <w:color w:val="000000" w:themeColor="text1"/>
        </w:rPr>
        <w:t>seems to be</w:t>
      </w:r>
      <w:bookmarkEnd w:id="239"/>
      <w:r w:rsidRPr="640406B7">
        <w:rPr>
          <w:rFonts w:asciiTheme="minorHAnsi" w:eastAsiaTheme="minorEastAsia" w:hAnsiTheme="minorHAnsi" w:cstheme="minorBidi"/>
          <w:color w:val="000000" w:themeColor="text1"/>
        </w:rPr>
        <w:t xml:space="preserve"> due to a policy change on how many registers people can be on rather than a reduction in demand for social housing. </w:t>
      </w:r>
      <w:r w:rsidRPr="640406B7">
        <w:rPr>
          <w:rFonts w:ascii="Calibri" w:eastAsia="Calibri" w:hAnsi="Calibri" w:cs="Calibri"/>
          <w:color w:val="000000" w:themeColor="text1"/>
        </w:rPr>
        <w:t xml:space="preserve">Heating bills are rising significantly and whilst Government support is in place it is expected to be modified in 2023. Lower income households are more likely to respond to higher energy prices by cutting energy use below safe levels. This could have direct implications for the </w:t>
      </w:r>
      <w:bookmarkStart w:id="240" w:name="_Int_bEl8Wh6K"/>
      <w:r w:rsidRPr="640406B7">
        <w:rPr>
          <w:rFonts w:ascii="Calibri" w:eastAsia="Calibri" w:hAnsi="Calibri" w:cs="Calibri"/>
          <w:color w:val="000000" w:themeColor="text1"/>
        </w:rPr>
        <w:t>up and coming</w:t>
      </w:r>
      <w:bookmarkEnd w:id="240"/>
      <w:r w:rsidRPr="640406B7">
        <w:rPr>
          <w:rFonts w:ascii="Calibri" w:eastAsia="Calibri" w:hAnsi="Calibri" w:cs="Calibri"/>
          <w:color w:val="000000" w:themeColor="text1"/>
        </w:rPr>
        <w:t xml:space="preserve"> winter of 20</w:t>
      </w:r>
      <w:r w:rsidR="00983F31" w:rsidRPr="640406B7">
        <w:rPr>
          <w:rFonts w:ascii="Calibri" w:eastAsia="Calibri" w:hAnsi="Calibri" w:cs="Calibri"/>
          <w:color w:val="000000" w:themeColor="text1"/>
        </w:rPr>
        <w:t>2</w:t>
      </w:r>
      <w:r w:rsidRPr="640406B7">
        <w:rPr>
          <w:rFonts w:ascii="Calibri" w:eastAsia="Calibri" w:hAnsi="Calibri" w:cs="Calibri"/>
          <w:color w:val="000000" w:themeColor="text1"/>
        </w:rPr>
        <w:t>2/23. An estimated 21.5% of all excess winter deaths can be attributed due to homes being cold</w:t>
      </w:r>
      <w:r w:rsidR="407BF481" w:rsidRPr="640406B7">
        <w:rPr>
          <w:rFonts w:ascii="Calibri" w:eastAsia="Calibri" w:hAnsi="Calibri" w:cs="Calibri"/>
          <w:color w:val="000000" w:themeColor="text1"/>
        </w:rPr>
        <w:t xml:space="preserve"> (</w:t>
      </w:r>
      <w:bookmarkStart w:id="241" w:name="_Int_jGCKglaJ"/>
      <w:r w:rsidR="407BF481" w:rsidRPr="640406B7">
        <w:rPr>
          <w:rFonts w:ascii="Calibri" w:eastAsia="Calibri" w:hAnsi="Calibri" w:cs="Calibri"/>
          <w:color w:val="000000" w:themeColor="text1"/>
        </w:rPr>
        <w:t>PHE</w:t>
      </w:r>
      <w:bookmarkEnd w:id="241"/>
      <w:r w:rsidR="407BF481" w:rsidRPr="640406B7">
        <w:rPr>
          <w:rFonts w:ascii="Calibri" w:eastAsia="Calibri" w:hAnsi="Calibri" w:cs="Calibri"/>
          <w:color w:val="000000" w:themeColor="text1"/>
        </w:rPr>
        <w:t xml:space="preserve"> 2014)</w:t>
      </w:r>
      <w:r w:rsidRPr="640406B7">
        <w:rPr>
          <w:rFonts w:ascii="Calibri" w:eastAsia="Calibri" w:hAnsi="Calibri" w:cs="Calibri"/>
          <w:color w:val="000000" w:themeColor="text1"/>
        </w:rPr>
        <w:t>. Death rates could rise 2.8% for every Celsius degree drop in the external temperature for those in the coldest 10% of homes compared with the 0.9% in the warmest homes</w:t>
      </w:r>
      <w:r w:rsidR="1F7DF3E1" w:rsidRPr="640406B7">
        <w:rPr>
          <w:rFonts w:ascii="Calibri" w:eastAsia="Calibri" w:hAnsi="Calibri" w:cs="Calibri"/>
          <w:color w:val="000000" w:themeColor="text1"/>
        </w:rPr>
        <w:t xml:space="preserve"> (NICE 2015)</w:t>
      </w:r>
      <w:r w:rsidRPr="640406B7">
        <w:rPr>
          <w:rFonts w:ascii="Calibri" w:eastAsia="Calibri" w:hAnsi="Calibri" w:cs="Calibri"/>
          <w:color w:val="000000" w:themeColor="text1"/>
        </w:rPr>
        <w:t>.</w:t>
      </w:r>
    </w:p>
    <w:p w14:paraId="46472BDC" w14:textId="77777777" w:rsidR="007151E9" w:rsidRDefault="007151E9" w:rsidP="00D57E1A">
      <w:pPr>
        <w:pStyle w:val="Heading2"/>
        <w:rPr>
          <w:rFonts w:eastAsiaTheme="minorEastAsia"/>
        </w:rPr>
      </w:pPr>
      <w:bookmarkStart w:id="242" w:name="_Toc128133889"/>
      <w:r w:rsidRPr="5E4DB3C2">
        <w:rPr>
          <w:rFonts w:eastAsiaTheme="minorEastAsia"/>
        </w:rPr>
        <w:t>JSNA Cohort model simulation outputs</w:t>
      </w:r>
      <w:r>
        <w:rPr>
          <w:rFonts w:eastAsiaTheme="minorEastAsia"/>
        </w:rPr>
        <w:t xml:space="preserve"> specific to West Kent HCP</w:t>
      </w:r>
      <w:bookmarkEnd w:id="242"/>
    </w:p>
    <w:p w14:paraId="336A6E5E" w14:textId="77777777" w:rsidR="007151E9" w:rsidRDefault="007151E9" w:rsidP="00E20573">
      <w:pPr>
        <w:pStyle w:val="paragraph"/>
        <w:numPr>
          <w:ilvl w:val="0"/>
          <w:numId w:val="35"/>
        </w:numPr>
        <w:spacing w:before="0" w:beforeAutospacing="0" w:after="0" w:afterAutospacing="0" w:line="276" w:lineRule="auto"/>
        <w:rPr>
          <w:rFonts w:asciiTheme="minorHAnsi" w:hAnsiTheme="minorHAnsi" w:cstheme="minorBidi"/>
        </w:rPr>
      </w:pPr>
      <w:r w:rsidRPr="32F7F25D">
        <w:rPr>
          <w:rFonts w:asciiTheme="minorHAnsi" w:hAnsiTheme="minorHAnsi" w:cstheme="minorBidi"/>
        </w:rPr>
        <w:t>The factors contributing to demographic change, and therefore to the shape of future health needs, include:</w:t>
      </w:r>
    </w:p>
    <w:p w14:paraId="1518CA1E" w14:textId="77777777" w:rsidR="007151E9" w:rsidRDefault="007151E9" w:rsidP="00E20573">
      <w:pPr>
        <w:pStyle w:val="paragraph"/>
        <w:numPr>
          <w:ilvl w:val="1"/>
          <w:numId w:val="35"/>
        </w:numPr>
        <w:spacing w:before="0" w:beforeAutospacing="0" w:after="0" w:afterAutospacing="0" w:line="276" w:lineRule="auto"/>
        <w:rPr>
          <w:rFonts w:asciiTheme="minorHAnsi" w:hAnsiTheme="minorHAnsi" w:cstheme="minorBidi"/>
        </w:rPr>
      </w:pPr>
      <w:r w:rsidRPr="5E4DB3C2">
        <w:rPr>
          <w:rFonts w:asciiTheme="minorHAnsi" w:hAnsiTheme="minorHAnsi" w:cstheme="minorBidi"/>
        </w:rPr>
        <w:t xml:space="preserve">Natural demographic growth contributing to the ageing process leading to increases in the </w:t>
      </w:r>
      <w:bookmarkStart w:id="243" w:name="_Int_cS1wqYTl"/>
      <w:r w:rsidRPr="5E4DB3C2">
        <w:rPr>
          <w:rFonts w:asciiTheme="minorHAnsi" w:hAnsiTheme="minorHAnsi" w:cstheme="minorBidi"/>
        </w:rPr>
        <w:t>very old</w:t>
      </w:r>
      <w:bookmarkEnd w:id="243"/>
      <w:r w:rsidRPr="5E4DB3C2">
        <w:rPr>
          <w:rFonts w:asciiTheme="minorHAnsi" w:hAnsiTheme="minorHAnsi" w:cstheme="minorBidi"/>
        </w:rPr>
        <w:t xml:space="preserve"> who are likely to be frail.</w:t>
      </w:r>
    </w:p>
    <w:p w14:paraId="730E9CB0" w14:textId="44B359D3" w:rsidR="007151E9" w:rsidRDefault="007151E9" w:rsidP="00E20573">
      <w:pPr>
        <w:pStyle w:val="paragraph"/>
        <w:numPr>
          <w:ilvl w:val="1"/>
          <w:numId w:val="35"/>
        </w:numPr>
        <w:spacing w:before="0" w:beforeAutospacing="0" w:after="0" w:afterAutospacing="0" w:line="276" w:lineRule="auto"/>
        <w:rPr>
          <w:rFonts w:asciiTheme="minorHAnsi" w:hAnsiTheme="minorHAnsi" w:cstheme="minorBidi"/>
        </w:rPr>
      </w:pPr>
      <w:r w:rsidRPr="5E4DB3C2">
        <w:rPr>
          <w:rFonts w:asciiTheme="minorHAnsi" w:hAnsiTheme="minorHAnsi" w:cstheme="minorBidi"/>
        </w:rPr>
        <w:t xml:space="preserve">Net-migration in the short term adds </w:t>
      </w:r>
      <w:bookmarkStart w:id="244" w:name="_Int_mrkWPOl6"/>
      <w:r w:rsidRPr="5E4DB3C2">
        <w:rPr>
          <w:rFonts w:asciiTheme="minorHAnsi" w:hAnsiTheme="minorHAnsi" w:cstheme="minorBidi"/>
        </w:rPr>
        <w:t>relatively young</w:t>
      </w:r>
      <w:bookmarkEnd w:id="244"/>
      <w:r w:rsidRPr="5E4DB3C2">
        <w:rPr>
          <w:rFonts w:asciiTheme="minorHAnsi" w:hAnsiTheme="minorHAnsi" w:cstheme="minorBidi"/>
        </w:rPr>
        <w:t xml:space="preserve"> and therefore overall healthy people.</w:t>
      </w:r>
    </w:p>
    <w:p w14:paraId="129E0A32" w14:textId="637DD659" w:rsidR="007151E9" w:rsidRDefault="007151E9" w:rsidP="00E20573">
      <w:pPr>
        <w:pStyle w:val="paragraph"/>
        <w:numPr>
          <w:ilvl w:val="1"/>
          <w:numId w:val="35"/>
        </w:numPr>
        <w:spacing w:before="0" w:beforeAutospacing="0" w:after="0" w:afterAutospacing="0" w:line="276" w:lineRule="auto"/>
        <w:rPr>
          <w:rFonts w:asciiTheme="minorHAnsi" w:hAnsiTheme="minorHAnsi" w:cstheme="minorBidi"/>
        </w:rPr>
      </w:pPr>
      <w:r w:rsidRPr="5E4DB3C2">
        <w:rPr>
          <w:rFonts w:asciiTheme="minorHAnsi" w:hAnsiTheme="minorHAnsi" w:cstheme="minorBidi"/>
        </w:rPr>
        <w:t xml:space="preserve">Prevalence of risk factors impacting on incidence of specific health conditions, leading to an increase in people with specific or multiple conditions </w:t>
      </w:r>
    </w:p>
    <w:p w14:paraId="53F9D630" w14:textId="77777777" w:rsidR="007151E9" w:rsidRDefault="007151E9" w:rsidP="00E20573">
      <w:pPr>
        <w:pStyle w:val="paragraph"/>
        <w:numPr>
          <w:ilvl w:val="1"/>
          <w:numId w:val="35"/>
        </w:numPr>
        <w:spacing w:before="0" w:beforeAutospacing="0" w:after="0" w:afterAutospacing="0" w:line="276" w:lineRule="auto"/>
        <w:rPr>
          <w:rFonts w:asciiTheme="minorHAnsi" w:hAnsiTheme="minorHAnsi" w:cstheme="minorBidi"/>
        </w:rPr>
      </w:pPr>
      <w:r w:rsidRPr="5E4DB3C2">
        <w:rPr>
          <w:rFonts w:asciiTheme="minorHAnsi" w:hAnsiTheme="minorHAnsi" w:cstheme="minorBidi"/>
        </w:rPr>
        <w:t xml:space="preserve">Underlying risk factors continuing to have a positive impact on health outcomes – annual year on year 0.5% reduction in smoking prevalence, reduction in </w:t>
      </w:r>
      <w:r w:rsidRPr="5E4DB3C2">
        <w:rPr>
          <w:rFonts w:asciiTheme="minorHAnsi" w:hAnsiTheme="minorHAnsi" w:cstheme="minorBidi"/>
        </w:rPr>
        <w:lastRenderedPageBreak/>
        <w:t>harmful alcohol intake and ACE reductions alongside reversal of rising levels of obesity through a combination of national and local interventions.</w:t>
      </w:r>
    </w:p>
    <w:p w14:paraId="329AC7DB" w14:textId="77777777" w:rsidR="007151E9" w:rsidRDefault="007151E9" w:rsidP="00E20573">
      <w:pPr>
        <w:pStyle w:val="paragraph"/>
        <w:numPr>
          <w:ilvl w:val="0"/>
          <w:numId w:val="35"/>
        </w:numPr>
        <w:spacing w:before="0" w:beforeAutospacing="0" w:after="0" w:afterAutospacing="0" w:line="276" w:lineRule="auto"/>
        <w:rPr>
          <w:rFonts w:asciiTheme="minorHAnsi" w:hAnsiTheme="minorHAnsi" w:cstheme="minorBidi"/>
        </w:rPr>
      </w:pPr>
      <w:r w:rsidRPr="32F7F25D">
        <w:rPr>
          <w:rFonts w:asciiTheme="minorHAnsi" w:hAnsiTheme="minorHAnsi" w:cstheme="minorBidi"/>
        </w:rPr>
        <w:t xml:space="preserve">The relative contribution of the different assumptions underlying best case scenario suggest that: </w:t>
      </w:r>
    </w:p>
    <w:p w14:paraId="76F1DCEB" w14:textId="77777777" w:rsidR="007151E9" w:rsidRPr="00F506AE" w:rsidRDefault="007151E9" w:rsidP="00E20573">
      <w:pPr>
        <w:pStyle w:val="paragraph"/>
        <w:numPr>
          <w:ilvl w:val="1"/>
          <w:numId w:val="35"/>
        </w:numPr>
        <w:spacing w:before="0" w:beforeAutospacing="0" w:after="0" w:afterAutospacing="0" w:line="276" w:lineRule="auto"/>
        <w:rPr>
          <w:rFonts w:asciiTheme="minorHAnsi" w:hAnsiTheme="minorHAnsi" w:cstheme="minorHAnsi"/>
        </w:rPr>
      </w:pPr>
      <w:r w:rsidRPr="00F506AE">
        <w:rPr>
          <w:rFonts w:asciiTheme="minorHAnsi" w:hAnsiTheme="minorHAnsi" w:cstheme="minorHAnsi"/>
        </w:rPr>
        <w:t>The benefits of reduced levels of smoking continue to increase over the next 25 years, but also because the benefits of having given up, or preferably never having started to smoke, are often only fully realised in later life.</w:t>
      </w:r>
    </w:p>
    <w:p w14:paraId="37B524B3" w14:textId="77777777" w:rsidR="007151E9" w:rsidRPr="00F506AE" w:rsidRDefault="007151E9" w:rsidP="00E20573">
      <w:pPr>
        <w:pStyle w:val="paragraph"/>
        <w:numPr>
          <w:ilvl w:val="1"/>
          <w:numId w:val="35"/>
        </w:numPr>
        <w:spacing w:before="0" w:beforeAutospacing="0" w:after="0" w:afterAutospacing="0" w:line="276" w:lineRule="auto"/>
        <w:rPr>
          <w:rFonts w:asciiTheme="minorHAnsi" w:hAnsiTheme="minorHAnsi" w:cstheme="minorBidi"/>
        </w:rPr>
      </w:pPr>
      <w:r w:rsidRPr="740CDBE4">
        <w:rPr>
          <w:rFonts w:asciiTheme="minorHAnsi" w:hAnsiTheme="minorHAnsi" w:cstheme="minorBidi"/>
        </w:rPr>
        <w:t xml:space="preserve">However, prevalence of health conditions in the population continues to rise as a proportion of the </w:t>
      </w:r>
      <w:bookmarkStart w:id="245" w:name="_Int_zBlc6jVt"/>
      <w:r w:rsidRPr="740CDBE4">
        <w:rPr>
          <w:rFonts w:asciiTheme="minorHAnsi" w:hAnsiTheme="minorHAnsi" w:cstheme="minorBidi"/>
        </w:rPr>
        <w:t>whole population</w:t>
      </w:r>
      <w:bookmarkEnd w:id="245"/>
      <w:r w:rsidRPr="740CDBE4">
        <w:rPr>
          <w:rFonts w:asciiTheme="minorHAnsi" w:hAnsiTheme="minorHAnsi" w:cstheme="minorBidi"/>
        </w:rPr>
        <w:t xml:space="preserve">. </w:t>
      </w:r>
    </w:p>
    <w:p w14:paraId="3B4DAE49" w14:textId="77777777" w:rsidR="007151E9" w:rsidRPr="00F506AE" w:rsidRDefault="007151E9" w:rsidP="00E20573">
      <w:pPr>
        <w:pStyle w:val="paragraph"/>
        <w:numPr>
          <w:ilvl w:val="1"/>
          <w:numId w:val="35"/>
        </w:numPr>
        <w:spacing w:before="0" w:beforeAutospacing="0" w:after="0" w:afterAutospacing="0" w:line="276" w:lineRule="auto"/>
        <w:rPr>
          <w:rFonts w:asciiTheme="minorHAnsi" w:hAnsiTheme="minorHAnsi" w:cstheme="minorHAnsi"/>
        </w:rPr>
      </w:pPr>
      <w:r w:rsidRPr="00F506AE">
        <w:rPr>
          <w:rFonts w:asciiTheme="minorHAnsi" w:hAnsiTheme="minorHAnsi" w:cstheme="minorHAnsi"/>
        </w:rPr>
        <w:t>The addition of reduced levels of obesity, hazardous and harmful drinking and improvements in adverse childhood experiences further reduce the levels of, at a population level.</w:t>
      </w:r>
    </w:p>
    <w:p w14:paraId="2E23F665" w14:textId="2F89D73C" w:rsidR="007151E9" w:rsidRPr="00962091" w:rsidRDefault="007151E9" w:rsidP="00E20573">
      <w:pPr>
        <w:pStyle w:val="paragraph"/>
        <w:numPr>
          <w:ilvl w:val="1"/>
          <w:numId w:val="35"/>
        </w:numPr>
        <w:spacing w:before="0" w:beforeAutospacing="0" w:after="0" w:afterAutospacing="0" w:line="276" w:lineRule="auto"/>
        <w:rPr>
          <w:rFonts w:asciiTheme="minorHAnsi" w:eastAsiaTheme="minorEastAsia" w:hAnsiTheme="minorHAnsi" w:cstheme="minorBidi"/>
        </w:rPr>
      </w:pPr>
      <w:r w:rsidRPr="740CDBE4">
        <w:rPr>
          <w:rFonts w:asciiTheme="minorHAnsi" w:eastAsiaTheme="minorEastAsia" w:hAnsiTheme="minorHAnsi" w:cstheme="minorBidi"/>
        </w:rPr>
        <w:t xml:space="preserve">There is </w:t>
      </w:r>
      <w:bookmarkStart w:id="246" w:name="_Int_QZiTdZV8"/>
      <w:r w:rsidRPr="740CDBE4">
        <w:rPr>
          <w:rFonts w:asciiTheme="minorHAnsi" w:eastAsiaTheme="minorEastAsia" w:hAnsiTheme="minorHAnsi" w:cstheme="minorBidi"/>
        </w:rPr>
        <w:t>approximately a</w:t>
      </w:r>
      <w:bookmarkEnd w:id="246"/>
      <w:r w:rsidRPr="740CDBE4">
        <w:rPr>
          <w:rFonts w:asciiTheme="minorHAnsi" w:eastAsiaTheme="minorEastAsia" w:hAnsiTheme="minorHAnsi" w:cstheme="minorBidi"/>
        </w:rPr>
        <w:t xml:space="preserve"> 0.3% reduction in frailty when assessing the impact of improvements in all four risk factors. However, frailty will continue to increase significantly, by 40% between 2018 and 2043. </w:t>
      </w:r>
      <w:r w:rsidRPr="740CDBE4">
        <w:rPr>
          <w:rFonts w:asciiTheme="minorHAnsi" w:hAnsiTheme="minorHAnsi" w:cstheme="minorBidi"/>
        </w:rPr>
        <w:t>The continued growth is explained best by the increasing older population rising. So, a function of reduced incidence of conditions in younger age groups leads to an older population that will increase multiple conditions and frailty cohorts. They will be healthier for longer but still flow into multiple and frailty cohorts in the older age groups.</w:t>
      </w:r>
      <w:r w:rsidRPr="740CDBE4">
        <w:rPr>
          <w:rFonts w:asciiTheme="minorHAnsi" w:eastAsiaTheme="minorEastAsia" w:hAnsiTheme="minorHAnsi" w:cstheme="minorBidi"/>
        </w:rPr>
        <w:t xml:space="preserve"> The ‘best case’ in the longer term is to see the numbers who have a health condition increase, particularly in the multiple condition and frail cohorts. However, the impact of all 4 interventions combined would see the growth for multiple conditions slow from 2030 onwards.</w:t>
      </w:r>
    </w:p>
    <w:p w14:paraId="34B04C4C" w14:textId="77777777" w:rsidR="007151E9" w:rsidRDefault="007151E9" w:rsidP="00D57E1A">
      <w:pPr>
        <w:pStyle w:val="Heading2"/>
        <w:rPr>
          <w:sz w:val="24"/>
          <w:szCs w:val="24"/>
        </w:rPr>
      </w:pPr>
      <w:bookmarkStart w:id="247" w:name="_Toc128133890"/>
      <w:r w:rsidRPr="5E4DB3C2">
        <w:t>Stakeholder Voice</w:t>
      </w:r>
      <w:bookmarkEnd w:id="247"/>
    </w:p>
    <w:p w14:paraId="6A6BBDA6" w14:textId="1BBF28A1" w:rsidR="007151E9" w:rsidRDefault="007151E9" w:rsidP="00E20573">
      <w:pPr>
        <w:pStyle w:val="BodyText"/>
        <w:numPr>
          <w:ilvl w:val="0"/>
          <w:numId w:val="34"/>
        </w:numPr>
        <w:spacing w:before="60" w:line="276" w:lineRule="auto"/>
        <w:jc w:val="left"/>
        <w:rPr>
          <w:rFonts w:asciiTheme="minorHAnsi" w:hAnsiTheme="minorHAnsi" w:cstheme="minorBidi"/>
          <w:sz w:val="24"/>
          <w:szCs w:val="24"/>
        </w:rPr>
      </w:pPr>
      <w:r w:rsidRPr="32F7F25D">
        <w:rPr>
          <w:rFonts w:asciiTheme="minorHAnsi" w:hAnsiTheme="minorHAnsi" w:cstheme="minorBidi"/>
          <w:sz w:val="24"/>
          <w:szCs w:val="24"/>
        </w:rPr>
        <w:t>‘Kent and Medway Listens’ is an engagement project set up over the last year by KCC, Medway Council and Kent &amp; Medway Partnership NHS Trust involving almost 4</w:t>
      </w:r>
      <w:r w:rsidR="00BE31AE">
        <w:rPr>
          <w:rFonts w:asciiTheme="minorHAnsi" w:hAnsiTheme="minorHAnsi" w:cstheme="minorBidi"/>
          <w:sz w:val="24"/>
          <w:szCs w:val="24"/>
        </w:rPr>
        <w:t>,</w:t>
      </w:r>
      <w:r w:rsidRPr="32F7F25D">
        <w:rPr>
          <w:rFonts w:asciiTheme="minorHAnsi" w:hAnsiTheme="minorHAnsi" w:cstheme="minorBidi"/>
          <w:sz w:val="24"/>
          <w:szCs w:val="24"/>
        </w:rPr>
        <w:t>000 participants to understand the pressures impacting mental wellbeing of the local population, particularly seldom heard communities. Involve Kent managed the West Kent aspects of the survey.</w:t>
      </w:r>
    </w:p>
    <w:p w14:paraId="4257726E" w14:textId="77777777" w:rsidR="007151E9" w:rsidRDefault="007151E9" w:rsidP="00E20573">
      <w:pPr>
        <w:pStyle w:val="BodyText"/>
        <w:numPr>
          <w:ilvl w:val="0"/>
          <w:numId w:val="34"/>
        </w:numPr>
        <w:spacing w:before="60" w:line="276" w:lineRule="auto"/>
        <w:jc w:val="left"/>
        <w:rPr>
          <w:rFonts w:asciiTheme="minorHAnsi" w:hAnsiTheme="minorHAnsi" w:cstheme="minorBidi"/>
          <w:sz w:val="24"/>
          <w:szCs w:val="24"/>
        </w:rPr>
      </w:pPr>
      <w:r w:rsidRPr="32F7F25D">
        <w:rPr>
          <w:rFonts w:asciiTheme="minorHAnsi" w:hAnsiTheme="minorHAnsi" w:cstheme="minorBidi"/>
          <w:sz w:val="24"/>
          <w:szCs w:val="24"/>
        </w:rPr>
        <w:t>Key themes that emerged include</w:t>
      </w:r>
    </w:p>
    <w:p w14:paraId="2FCDB9BB" w14:textId="3171A842" w:rsidR="007151E9" w:rsidRDefault="007151E9" w:rsidP="00E20573">
      <w:pPr>
        <w:pStyle w:val="BodyText"/>
        <w:numPr>
          <w:ilvl w:val="1"/>
          <w:numId w:val="34"/>
        </w:numPr>
        <w:spacing w:before="60" w:line="276" w:lineRule="auto"/>
        <w:jc w:val="left"/>
        <w:rPr>
          <w:rFonts w:asciiTheme="minorHAnsi" w:hAnsiTheme="minorHAnsi" w:cstheme="minorBidi"/>
          <w:sz w:val="24"/>
          <w:szCs w:val="24"/>
        </w:rPr>
      </w:pPr>
      <w:r w:rsidRPr="5E4DB3C2">
        <w:rPr>
          <w:rFonts w:asciiTheme="minorHAnsi" w:hAnsiTheme="minorHAnsi" w:cstheme="minorBidi"/>
          <w:sz w:val="24"/>
          <w:szCs w:val="24"/>
        </w:rPr>
        <w:t>Wider determinants of health such as growing financial concerns, poor housing</w:t>
      </w:r>
      <w:r w:rsidR="5B522AC2" w:rsidRPr="740CDBE4">
        <w:rPr>
          <w:rFonts w:asciiTheme="minorHAnsi" w:hAnsiTheme="minorHAnsi" w:cstheme="minorBidi"/>
          <w:sz w:val="24"/>
          <w:szCs w:val="24"/>
        </w:rPr>
        <w:t>,</w:t>
      </w:r>
      <w:r w:rsidRPr="5E4DB3C2">
        <w:rPr>
          <w:rFonts w:asciiTheme="minorHAnsi" w:hAnsiTheme="minorHAnsi" w:cstheme="minorBidi"/>
          <w:sz w:val="24"/>
          <w:szCs w:val="24"/>
        </w:rPr>
        <w:t xml:space="preserve"> and the inability to access health services were impacting mental wellbeing.</w:t>
      </w:r>
    </w:p>
    <w:p w14:paraId="025B17A0" w14:textId="77777777" w:rsidR="007151E9" w:rsidRDefault="007151E9" w:rsidP="00E20573">
      <w:pPr>
        <w:pStyle w:val="BodyText"/>
        <w:numPr>
          <w:ilvl w:val="1"/>
          <w:numId w:val="34"/>
        </w:numPr>
        <w:spacing w:before="60" w:line="276" w:lineRule="auto"/>
        <w:jc w:val="left"/>
        <w:rPr>
          <w:rFonts w:asciiTheme="minorHAnsi" w:hAnsiTheme="minorHAnsi" w:cstheme="minorBidi"/>
          <w:sz w:val="24"/>
          <w:szCs w:val="24"/>
        </w:rPr>
      </w:pPr>
      <w:r w:rsidRPr="5E4DB3C2">
        <w:rPr>
          <w:rFonts w:asciiTheme="minorHAnsi" w:hAnsiTheme="minorHAnsi" w:cstheme="minorBidi"/>
          <w:sz w:val="24"/>
          <w:szCs w:val="24"/>
        </w:rPr>
        <w:t>Local communities expressed distrust with the system borne out of lack of change, the frustration around siloed working and wider societal issues such as racism.</w:t>
      </w:r>
    </w:p>
    <w:p w14:paraId="7BA5FCAF" w14:textId="77777777" w:rsidR="007151E9" w:rsidRDefault="007151E9" w:rsidP="00E20573">
      <w:pPr>
        <w:pStyle w:val="BodyText"/>
        <w:numPr>
          <w:ilvl w:val="1"/>
          <w:numId w:val="34"/>
        </w:numPr>
        <w:spacing w:before="60" w:line="276" w:lineRule="auto"/>
        <w:jc w:val="left"/>
        <w:rPr>
          <w:rFonts w:asciiTheme="minorHAnsi" w:hAnsiTheme="minorHAnsi" w:cstheme="minorBidi"/>
          <w:sz w:val="24"/>
          <w:szCs w:val="24"/>
        </w:rPr>
      </w:pPr>
      <w:r w:rsidRPr="5E4DB3C2">
        <w:rPr>
          <w:rFonts w:asciiTheme="minorHAnsi" w:hAnsiTheme="minorHAnsi" w:cstheme="minorBidi"/>
          <w:sz w:val="24"/>
          <w:szCs w:val="24"/>
        </w:rPr>
        <w:t>VCS partner organisations expressed difficulty in providing much needed services due to the short-term funding opportunities from commissioners.</w:t>
      </w:r>
    </w:p>
    <w:p w14:paraId="29DBC22F" w14:textId="77777777" w:rsidR="007151E9" w:rsidRDefault="007151E9" w:rsidP="00E20573">
      <w:pPr>
        <w:pStyle w:val="BodyText"/>
        <w:numPr>
          <w:ilvl w:val="0"/>
          <w:numId w:val="34"/>
        </w:numPr>
        <w:spacing w:before="60" w:line="276" w:lineRule="auto"/>
        <w:jc w:val="left"/>
        <w:rPr>
          <w:rFonts w:asciiTheme="minorHAnsi" w:hAnsiTheme="minorHAnsi" w:cstheme="minorBidi"/>
          <w:sz w:val="24"/>
          <w:szCs w:val="24"/>
        </w:rPr>
      </w:pPr>
      <w:r w:rsidRPr="32F7F25D">
        <w:rPr>
          <w:rFonts w:asciiTheme="minorHAnsi" w:hAnsiTheme="minorHAnsi" w:cstheme="minorBidi"/>
          <w:sz w:val="24"/>
          <w:szCs w:val="24"/>
        </w:rPr>
        <w:lastRenderedPageBreak/>
        <w:t xml:space="preserve">These themes indicate a need for a system wide approach to tackle health inequalities on an individual and population level. Collaborating with voluntary organisations highlighted the need for an integrated and sustainable approach to address the wider determinants of health. </w:t>
      </w:r>
    </w:p>
    <w:p w14:paraId="5707ED02" w14:textId="49391591" w:rsidR="007151E9" w:rsidRPr="00867245" w:rsidRDefault="007151E9" w:rsidP="00E20573">
      <w:pPr>
        <w:pStyle w:val="BodyText"/>
        <w:numPr>
          <w:ilvl w:val="0"/>
          <w:numId w:val="34"/>
        </w:numPr>
        <w:spacing w:before="60" w:line="276" w:lineRule="auto"/>
        <w:jc w:val="left"/>
        <w:rPr>
          <w:rFonts w:asciiTheme="minorHAnsi" w:eastAsiaTheme="minorEastAsia" w:hAnsiTheme="minorHAnsi" w:cstheme="minorBidi"/>
          <w:sz w:val="24"/>
          <w:szCs w:val="24"/>
        </w:rPr>
      </w:pPr>
      <w:proofErr w:type="spellStart"/>
      <w:r w:rsidRPr="32F7F25D">
        <w:rPr>
          <w:rFonts w:asciiTheme="minorHAnsi" w:eastAsiaTheme="minorEastAsia" w:hAnsiTheme="minorHAnsi" w:cstheme="minorBidi"/>
          <w:sz w:val="24"/>
          <w:szCs w:val="24"/>
        </w:rPr>
        <w:t>Activmob</w:t>
      </w:r>
      <w:proofErr w:type="spellEnd"/>
      <w:r w:rsidRPr="32F7F25D">
        <w:rPr>
          <w:rFonts w:asciiTheme="minorHAnsi" w:eastAsiaTheme="minorEastAsia" w:hAnsiTheme="minorHAnsi" w:cstheme="minorBidi"/>
          <w:sz w:val="24"/>
          <w:szCs w:val="24"/>
        </w:rPr>
        <w:t xml:space="preserve"> undertook several listening exercises on people’s health in Parkwood and Shepway wards of Maidstone district. Themes such as anti-social behaviour and safety issues in using communal green spaces, poor housing conditions and lack of </w:t>
      </w:r>
      <w:bookmarkStart w:id="248" w:name="_Int_mGfXKg2w"/>
      <w:r w:rsidRPr="32F7F25D">
        <w:rPr>
          <w:rFonts w:asciiTheme="minorHAnsi" w:eastAsiaTheme="minorEastAsia" w:hAnsiTheme="minorHAnsi" w:cstheme="minorBidi"/>
          <w:sz w:val="24"/>
          <w:szCs w:val="24"/>
        </w:rPr>
        <w:t>good food</w:t>
      </w:r>
      <w:bookmarkEnd w:id="248"/>
      <w:r w:rsidRPr="32F7F25D">
        <w:rPr>
          <w:rFonts w:asciiTheme="minorHAnsi" w:eastAsiaTheme="minorEastAsia" w:hAnsiTheme="minorHAnsi" w:cstheme="minorBidi"/>
          <w:sz w:val="24"/>
          <w:szCs w:val="24"/>
        </w:rPr>
        <w:t xml:space="preserve"> were amongst many that were picked up. These findings contributed to the development of the ‘Community Larder’ pilot in the above two wards funded by the ICB to reduce health inequalities.</w:t>
      </w:r>
    </w:p>
    <w:p w14:paraId="6F07B828" w14:textId="0BDF0CCE" w:rsidR="008D20D1" w:rsidRDefault="008D20D1" w:rsidP="00D57E1A">
      <w:pPr>
        <w:pStyle w:val="Heading1"/>
      </w:pPr>
      <w:bookmarkStart w:id="249" w:name="_Toc128133891"/>
      <w:r w:rsidRPr="15853314">
        <w:t>Recommendations</w:t>
      </w:r>
      <w:bookmarkEnd w:id="249"/>
    </w:p>
    <w:p w14:paraId="1630B911" w14:textId="020F2350" w:rsidR="008D20D1" w:rsidRDefault="008D20D1" w:rsidP="00D57E1A">
      <w:pPr>
        <w:pStyle w:val="Heading2"/>
        <w:rPr>
          <w:rFonts w:eastAsia="Calibri"/>
        </w:rPr>
      </w:pPr>
      <w:bookmarkStart w:id="250" w:name="_Toc128133892"/>
      <w:r w:rsidRPr="15853314">
        <w:rPr>
          <w:rFonts w:eastAsia="Calibri"/>
        </w:rPr>
        <w:t>Identifying Priorities</w:t>
      </w:r>
      <w:bookmarkEnd w:id="250"/>
    </w:p>
    <w:p w14:paraId="66387ACB" w14:textId="77777777" w:rsidR="008D20D1" w:rsidRDefault="008D20D1" w:rsidP="00E20573">
      <w:pPr>
        <w:rPr>
          <w:rFonts w:ascii="Calibri" w:eastAsia="Calibri" w:hAnsi="Calibri" w:cs="Calibri"/>
        </w:rPr>
      </w:pPr>
      <w:r w:rsidRPr="15853314">
        <w:rPr>
          <w:rFonts w:ascii="Calibri" w:eastAsia="Calibri" w:hAnsi="Calibri" w:cs="Calibri"/>
        </w:rPr>
        <w:t xml:space="preserve">Public Health to work with the WK HCP to agree key priorities for action that would be developed under People, Place, Prevention, Policy &amp; Practice themes, ensuring focus on wider health determinants. Partnership arrangements should minimise duplication of existing Kent and Medway work and must align with current local approaches. </w:t>
      </w:r>
    </w:p>
    <w:p w14:paraId="1FCBB1BD" w14:textId="77777777" w:rsidR="008D20D1" w:rsidRDefault="008D20D1" w:rsidP="00E20573">
      <w:pPr>
        <w:rPr>
          <w:rFonts w:ascii="Calibri" w:eastAsia="Calibri" w:hAnsi="Calibri" w:cs="Calibri"/>
        </w:rPr>
      </w:pPr>
      <w:bookmarkStart w:id="251" w:name="_Int_nIpraJus"/>
      <w:r w:rsidRPr="15853314">
        <w:rPr>
          <w:rFonts w:ascii="Calibri" w:eastAsia="Calibri" w:hAnsi="Calibri" w:cs="Calibri"/>
        </w:rPr>
        <w:t>Possible areas</w:t>
      </w:r>
      <w:bookmarkEnd w:id="251"/>
      <w:r w:rsidRPr="15853314">
        <w:rPr>
          <w:rFonts w:ascii="Calibri" w:eastAsia="Calibri" w:hAnsi="Calibri" w:cs="Calibri"/>
        </w:rPr>
        <w:t xml:space="preserve"> of focus to explore with West Kent include:</w:t>
      </w:r>
    </w:p>
    <w:p w14:paraId="646E5A07" w14:textId="381A7BA7" w:rsidR="008D20D1" w:rsidRPr="00F506AE" w:rsidRDefault="008D20D1" w:rsidP="00D57E1A">
      <w:pPr>
        <w:pStyle w:val="Heading3"/>
        <w:numPr>
          <w:ilvl w:val="0"/>
          <w:numId w:val="0"/>
        </w:numPr>
      </w:pPr>
      <w:bookmarkStart w:id="252" w:name="_Toc128133893"/>
      <w:r w:rsidRPr="00F506AE">
        <w:t>PRIORITIES</w:t>
      </w:r>
      <w:r>
        <w:t>:</w:t>
      </w:r>
      <w:bookmarkEnd w:id="252"/>
    </w:p>
    <w:p w14:paraId="7880AB7C" w14:textId="77777777" w:rsidR="008D20D1" w:rsidRDefault="008D20D1" w:rsidP="00E20573">
      <w:pPr>
        <w:rPr>
          <w:rFonts w:ascii="Calibri" w:eastAsia="Calibri" w:hAnsi="Calibri" w:cs="Calibri"/>
        </w:rPr>
      </w:pPr>
      <w:r w:rsidRPr="15853314">
        <w:rPr>
          <w:rFonts w:ascii="Calibri" w:eastAsia="Calibri" w:hAnsi="Calibri" w:cs="Calibri"/>
        </w:rPr>
        <w:t xml:space="preserve">      </w:t>
      </w:r>
      <w:r w:rsidRPr="15853314">
        <w:rPr>
          <w:rFonts w:ascii="Calibri" w:eastAsia="Calibri" w:hAnsi="Calibri" w:cs="Calibri"/>
          <w:b/>
          <w:bCs/>
        </w:rPr>
        <w:t>POPULATIONS &amp; CONDITIONS</w:t>
      </w:r>
    </w:p>
    <w:p w14:paraId="7B3FB84B" w14:textId="311A4D9B" w:rsidR="008D20D1" w:rsidRPr="00F506AE" w:rsidRDefault="008D20D1" w:rsidP="00E20573">
      <w:pPr>
        <w:pStyle w:val="ListParagraph"/>
        <w:numPr>
          <w:ilvl w:val="0"/>
          <w:numId w:val="37"/>
        </w:numPr>
        <w:rPr>
          <w:rFonts w:ascii="Calibri" w:eastAsia="Calibri" w:hAnsi="Calibri" w:cs="Calibri"/>
          <w:sz w:val="24"/>
          <w:szCs w:val="24"/>
        </w:rPr>
      </w:pPr>
      <w:r>
        <w:rPr>
          <w:rFonts w:ascii="Calibri" w:eastAsia="Calibri" w:hAnsi="Calibri" w:cs="Calibri"/>
          <w:sz w:val="24"/>
          <w:szCs w:val="24"/>
        </w:rPr>
        <w:t xml:space="preserve">Integrated </w:t>
      </w:r>
      <w:r w:rsidR="000973F7">
        <w:rPr>
          <w:rFonts w:ascii="Calibri" w:eastAsia="Calibri" w:hAnsi="Calibri" w:cs="Calibri"/>
          <w:sz w:val="24"/>
          <w:szCs w:val="24"/>
        </w:rPr>
        <w:t>f</w:t>
      </w:r>
      <w:r w:rsidR="000973F7" w:rsidRPr="00F506AE">
        <w:rPr>
          <w:rFonts w:ascii="Calibri" w:eastAsia="Calibri" w:hAnsi="Calibri" w:cs="Calibri"/>
          <w:sz w:val="24"/>
          <w:szCs w:val="24"/>
        </w:rPr>
        <w:t>railty</w:t>
      </w:r>
      <w:r>
        <w:rPr>
          <w:rFonts w:ascii="Calibri" w:eastAsia="Calibri" w:hAnsi="Calibri" w:cs="Calibri"/>
          <w:sz w:val="24"/>
          <w:szCs w:val="24"/>
        </w:rPr>
        <w:t xml:space="preserve"> support and falls </w:t>
      </w:r>
      <w:r w:rsidR="001C00C4">
        <w:rPr>
          <w:rFonts w:ascii="Calibri" w:eastAsia="Calibri" w:hAnsi="Calibri" w:cs="Calibri"/>
          <w:sz w:val="24"/>
          <w:szCs w:val="24"/>
        </w:rPr>
        <w:t>prevention.</w:t>
      </w:r>
    </w:p>
    <w:p w14:paraId="568E0603" w14:textId="77777777" w:rsidR="008D20D1" w:rsidRDefault="008D20D1" w:rsidP="00E20573">
      <w:pPr>
        <w:pStyle w:val="ListParagraph"/>
        <w:numPr>
          <w:ilvl w:val="0"/>
          <w:numId w:val="37"/>
        </w:numPr>
        <w:rPr>
          <w:rFonts w:ascii="Calibri" w:eastAsia="Calibri" w:hAnsi="Calibri" w:cs="Calibri"/>
          <w:sz w:val="24"/>
          <w:szCs w:val="24"/>
        </w:rPr>
      </w:pPr>
      <w:r w:rsidRPr="00F506AE">
        <w:rPr>
          <w:rFonts w:ascii="Calibri" w:eastAsia="Calibri" w:hAnsi="Calibri" w:cs="Calibri"/>
          <w:sz w:val="24"/>
          <w:szCs w:val="24"/>
        </w:rPr>
        <w:t xml:space="preserve">Mental Health </w:t>
      </w:r>
      <w:r>
        <w:rPr>
          <w:rFonts w:ascii="Calibri" w:eastAsia="Calibri" w:hAnsi="Calibri" w:cs="Calibri"/>
          <w:sz w:val="24"/>
          <w:szCs w:val="24"/>
        </w:rPr>
        <w:t xml:space="preserve">support in the community </w:t>
      </w:r>
      <w:r w:rsidRPr="00F506AE">
        <w:rPr>
          <w:rFonts w:ascii="Calibri" w:eastAsia="Calibri" w:hAnsi="Calibri" w:cs="Calibri"/>
          <w:sz w:val="24"/>
          <w:szCs w:val="24"/>
        </w:rPr>
        <w:t>– adults and children</w:t>
      </w:r>
    </w:p>
    <w:p w14:paraId="2189892B" w14:textId="77777777" w:rsidR="008D20D1" w:rsidRDefault="008D20D1" w:rsidP="00E20573">
      <w:pPr>
        <w:pStyle w:val="ListParagraph"/>
        <w:numPr>
          <w:ilvl w:val="0"/>
          <w:numId w:val="37"/>
        </w:numPr>
        <w:rPr>
          <w:rFonts w:ascii="Calibri" w:eastAsia="Calibri" w:hAnsi="Calibri" w:cs="Calibri"/>
          <w:sz w:val="24"/>
          <w:szCs w:val="24"/>
        </w:rPr>
      </w:pPr>
      <w:r>
        <w:rPr>
          <w:rFonts w:ascii="Calibri" w:eastAsia="Calibri" w:hAnsi="Calibri" w:cs="Calibri"/>
          <w:sz w:val="24"/>
          <w:szCs w:val="24"/>
        </w:rPr>
        <w:t>Dementia diagnosis &amp; support</w:t>
      </w:r>
    </w:p>
    <w:p w14:paraId="345FF590" w14:textId="77777777" w:rsidR="008D20D1" w:rsidRPr="00F506AE" w:rsidRDefault="008D20D1" w:rsidP="00E20573">
      <w:pPr>
        <w:ind w:left="360"/>
        <w:rPr>
          <w:rFonts w:ascii="Calibri" w:eastAsia="Calibri" w:hAnsi="Calibri" w:cs="Calibri"/>
          <w:b/>
          <w:bCs/>
        </w:rPr>
      </w:pPr>
      <w:r w:rsidRPr="15853314">
        <w:rPr>
          <w:rFonts w:ascii="Calibri" w:eastAsia="Calibri" w:hAnsi="Calibri" w:cs="Calibri"/>
          <w:b/>
          <w:bCs/>
        </w:rPr>
        <w:t>PREVENTION</w:t>
      </w:r>
    </w:p>
    <w:p w14:paraId="605C5EF7" w14:textId="77777777" w:rsidR="008D20D1" w:rsidRDefault="008D20D1" w:rsidP="00E20573">
      <w:pPr>
        <w:pStyle w:val="ListParagraph"/>
        <w:numPr>
          <w:ilvl w:val="0"/>
          <w:numId w:val="37"/>
        </w:numPr>
        <w:rPr>
          <w:rFonts w:ascii="Calibri" w:eastAsia="Calibri" w:hAnsi="Calibri" w:cs="Calibri"/>
          <w:sz w:val="24"/>
          <w:szCs w:val="24"/>
        </w:rPr>
      </w:pPr>
      <w:r w:rsidRPr="00F506AE">
        <w:rPr>
          <w:rFonts w:ascii="Calibri" w:eastAsia="Calibri" w:hAnsi="Calibri" w:cs="Calibri"/>
          <w:sz w:val="24"/>
          <w:szCs w:val="24"/>
        </w:rPr>
        <w:t>Screening for cancer and health</w:t>
      </w:r>
      <w:r>
        <w:rPr>
          <w:rFonts w:ascii="Calibri" w:eastAsia="Calibri" w:hAnsi="Calibri" w:cs="Calibri"/>
          <w:sz w:val="24"/>
          <w:szCs w:val="24"/>
        </w:rPr>
        <w:t xml:space="preserve"> </w:t>
      </w:r>
      <w:r w:rsidRPr="00F506AE">
        <w:rPr>
          <w:rFonts w:ascii="Calibri" w:eastAsia="Calibri" w:hAnsi="Calibri" w:cs="Calibri"/>
          <w:sz w:val="24"/>
          <w:szCs w:val="24"/>
        </w:rPr>
        <w:t xml:space="preserve">checks for vulnerable groups </w:t>
      </w:r>
      <w:r>
        <w:rPr>
          <w:rFonts w:ascii="Calibri" w:eastAsia="Calibri" w:hAnsi="Calibri" w:cs="Calibri"/>
          <w:sz w:val="24"/>
          <w:szCs w:val="24"/>
        </w:rPr>
        <w:t>(MH, LD Homeless)</w:t>
      </w:r>
      <w:r w:rsidRPr="00F506AE">
        <w:rPr>
          <w:rFonts w:ascii="Calibri" w:eastAsia="Calibri" w:hAnsi="Calibri" w:cs="Calibri"/>
          <w:sz w:val="24"/>
          <w:szCs w:val="24"/>
        </w:rPr>
        <w:t xml:space="preserve"> </w:t>
      </w:r>
    </w:p>
    <w:p w14:paraId="52B418C6" w14:textId="77777777" w:rsidR="008D20D1" w:rsidRDefault="008D20D1" w:rsidP="00E20573">
      <w:pPr>
        <w:pStyle w:val="ListParagraph"/>
        <w:numPr>
          <w:ilvl w:val="0"/>
          <w:numId w:val="37"/>
        </w:numPr>
        <w:rPr>
          <w:rFonts w:ascii="Calibri" w:eastAsia="Calibri" w:hAnsi="Calibri" w:cs="Calibri"/>
          <w:sz w:val="24"/>
          <w:szCs w:val="24"/>
        </w:rPr>
      </w:pPr>
      <w:r>
        <w:rPr>
          <w:rFonts w:ascii="Calibri" w:eastAsia="Calibri" w:hAnsi="Calibri" w:cs="Calibri"/>
          <w:sz w:val="24"/>
          <w:szCs w:val="24"/>
        </w:rPr>
        <w:t>Obesity and healthy eating</w:t>
      </w:r>
    </w:p>
    <w:p w14:paraId="6227451C" w14:textId="0D7930A9" w:rsidR="008D20D1" w:rsidRDefault="008D20D1" w:rsidP="00E20573">
      <w:pPr>
        <w:pStyle w:val="ListParagraph"/>
        <w:numPr>
          <w:ilvl w:val="0"/>
          <w:numId w:val="37"/>
        </w:numPr>
        <w:rPr>
          <w:rFonts w:ascii="Calibri" w:eastAsia="Calibri" w:hAnsi="Calibri" w:cs="Calibri"/>
          <w:sz w:val="24"/>
          <w:szCs w:val="24"/>
        </w:rPr>
      </w:pPr>
      <w:r>
        <w:rPr>
          <w:rFonts w:ascii="Calibri" w:eastAsia="Calibri" w:hAnsi="Calibri" w:cs="Calibri"/>
          <w:sz w:val="24"/>
          <w:szCs w:val="24"/>
        </w:rPr>
        <w:t xml:space="preserve">Focus on Maidstone’s areas of deprivation – including cost of living </w:t>
      </w:r>
      <w:r w:rsidR="001C00C4">
        <w:rPr>
          <w:rFonts w:ascii="Calibri" w:eastAsia="Calibri" w:hAnsi="Calibri" w:cs="Calibri"/>
          <w:sz w:val="24"/>
          <w:szCs w:val="24"/>
        </w:rPr>
        <w:t>challenges.</w:t>
      </w:r>
    </w:p>
    <w:p w14:paraId="17933391" w14:textId="77777777" w:rsidR="008D20D1" w:rsidRPr="00F506AE" w:rsidRDefault="008D20D1" w:rsidP="00E20573">
      <w:pPr>
        <w:ind w:left="360"/>
        <w:rPr>
          <w:rFonts w:ascii="Calibri" w:eastAsia="Calibri" w:hAnsi="Calibri" w:cs="Calibri"/>
          <w:b/>
          <w:bCs/>
        </w:rPr>
      </w:pPr>
      <w:r w:rsidRPr="15853314">
        <w:rPr>
          <w:rFonts w:ascii="Calibri" w:eastAsia="Calibri" w:hAnsi="Calibri" w:cs="Calibri"/>
          <w:b/>
          <w:bCs/>
        </w:rPr>
        <w:t>ENABLERS</w:t>
      </w:r>
    </w:p>
    <w:p w14:paraId="052E06D7" w14:textId="77777777" w:rsidR="008D20D1" w:rsidRDefault="008D20D1" w:rsidP="00E20573">
      <w:pPr>
        <w:pStyle w:val="ListParagraph"/>
        <w:numPr>
          <w:ilvl w:val="0"/>
          <w:numId w:val="37"/>
        </w:numPr>
        <w:rPr>
          <w:rFonts w:ascii="Calibri" w:eastAsia="Calibri" w:hAnsi="Calibri" w:cs="Calibri"/>
          <w:sz w:val="24"/>
          <w:szCs w:val="24"/>
        </w:rPr>
      </w:pPr>
      <w:r>
        <w:rPr>
          <w:rFonts w:ascii="Calibri" w:eastAsia="Calibri" w:hAnsi="Calibri" w:cs="Calibri"/>
          <w:sz w:val="24"/>
          <w:szCs w:val="24"/>
        </w:rPr>
        <w:t xml:space="preserve">Workforce challenges </w:t>
      </w:r>
    </w:p>
    <w:p w14:paraId="51C90C51" w14:textId="77777777" w:rsidR="008D20D1" w:rsidRDefault="008D20D1" w:rsidP="00E20573">
      <w:pPr>
        <w:pStyle w:val="ListParagraph"/>
        <w:numPr>
          <w:ilvl w:val="0"/>
          <w:numId w:val="37"/>
        </w:numPr>
        <w:rPr>
          <w:rFonts w:ascii="Calibri" w:eastAsia="Calibri" w:hAnsi="Calibri" w:cs="Calibri"/>
          <w:sz w:val="24"/>
          <w:szCs w:val="24"/>
        </w:rPr>
      </w:pPr>
      <w:r>
        <w:rPr>
          <w:rFonts w:ascii="Calibri" w:eastAsia="Calibri" w:hAnsi="Calibri" w:cs="Calibri"/>
          <w:sz w:val="24"/>
          <w:szCs w:val="24"/>
        </w:rPr>
        <w:t xml:space="preserve">Access to primary care support </w:t>
      </w:r>
    </w:p>
    <w:p w14:paraId="28EA71B1" w14:textId="0C154E6F" w:rsidR="008D20D1" w:rsidRDefault="008D20D1" w:rsidP="00E20573">
      <w:pPr>
        <w:pStyle w:val="ListParagraph"/>
        <w:numPr>
          <w:ilvl w:val="0"/>
          <w:numId w:val="37"/>
        </w:numPr>
        <w:rPr>
          <w:rFonts w:ascii="Calibri" w:eastAsia="Calibri" w:hAnsi="Calibri" w:cs="Calibri"/>
          <w:sz w:val="24"/>
          <w:szCs w:val="24"/>
        </w:rPr>
      </w:pPr>
      <w:r>
        <w:rPr>
          <w:rFonts w:ascii="Calibri" w:eastAsia="Calibri" w:hAnsi="Calibri" w:cs="Calibri"/>
          <w:sz w:val="24"/>
          <w:szCs w:val="24"/>
        </w:rPr>
        <w:t xml:space="preserve">Integrated neighbourhood </w:t>
      </w:r>
      <w:r w:rsidR="0066361C">
        <w:rPr>
          <w:rFonts w:ascii="Calibri" w:eastAsia="Calibri" w:hAnsi="Calibri" w:cs="Calibri"/>
          <w:sz w:val="24"/>
          <w:szCs w:val="24"/>
        </w:rPr>
        <w:t>teams</w:t>
      </w:r>
    </w:p>
    <w:p w14:paraId="45186D37" w14:textId="77777777" w:rsidR="008D20D1" w:rsidRPr="00F506AE" w:rsidRDefault="008D20D1" w:rsidP="00E20573">
      <w:pPr>
        <w:pStyle w:val="ListParagraph"/>
        <w:numPr>
          <w:ilvl w:val="0"/>
          <w:numId w:val="37"/>
        </w:numPr>
        <w:rPr>
          <w:rFonts w:ascii="Calibri" w:eastAsia="Calibri" w:hAnsi="Calibri" w:cs="Calibri"/>
          <w:sz w:val="24"/>
          <w:szCs w:val="24"/>
        </w:rPr>
      </w:pPr>
      <w:r>
        <w:rPr>
          <w:rFonts w:ascii="Calibri" w:eastAsia="Calibri" w:hAnsi="Calibri" w:cs="Calibri"/>
          <w:sz w:val="24"/>
          <w:szCs w:val="24"/>
        </w:rPr>
        <w:t xml:space="preserve">Discharge &amp; Flow </w:t>
      </w:r>
    </w:p>
    <w:p w14:paraId="6CE3CD81" w14:textId="77777777" w:rsidR="008D20D1" w:rsidRDefault="008D20D1" w:rsidP="00867245">
      <w:pPr>
        <w:pStyle w:val="Heading2"/>
        <w:rPr>
          <w:rFonts w:eastAsia="Calibri"/>
        </w:rPr>
      </w:pPr>
      <w:bookmarkStart w:id="253" w:name="_Toc128133894"/>
      <w:r w:rsidRPr="32F7F25D">
        <w:rPr>
          <w:rFonts w:eastAsia="Calibri"/>
        </w:rPr>
        <w:lastRenderedPageBreak/>
        <w:t>Health Promotion</w:t>
      </w:r>
      <w:bookmarkEnd w:id="253"/>
    </w:p>
    <w:p w14:paraId="7A4FBC74" w14:textId="231B54C3" w:rsidR="008D20D1" w:rsidRDefault="008D20D1" w:rsidP="00E20573">
      <w:pPr>
        <w:rPr>
          <w:rFonts w:ascii="Calibri" w:eastAsia="Calibri" w:hAnsi="Calibri" w:cs="Calibri"/>
        </w:rPr>
      </w:pPr>
      <w:r w:rsidRPr="32F7F25D">
        <w:rPr>
          <w:rFonts w:ascii="Calibri" w:eastAsia="Calibri" w:hAnsi="Calibri" w:cs="Calibri"/>
        </w:rPr>
        <w:t xml:space="preserve">Apply health in all policies to promote an environment that will make healthy options easier for the West Kent population </w:t>
      </w:r>
      <w:r w:rsidR="006D7B54" w:rsidRPr="32F7F25D">
        <w:rPr>
          <w:rFonts w:ascii="Calibri" w:eastAsia="Calibri" w:hAnsi="Calibri" w:cs="Calibri"/>
        </w:rPr>
        <w:t>e.g.,</w:t>
      </w:r>
      <w:r w:rsidRPr="32F7F25D">
        <w:rPr>
          <w:rFonts w:ascii="Calibri" w:eastAsia="Calibri" w:hAnsi="Calibri" w:cs="Calibri"/>
        </w:rPr>
        <w:t xml:space="preserve"> using the local planning policies to provide access to quality open and blue spaces or </w:t>
      </w:r>
      <w:r w:rsidRPr="32F7F25D">
        <w:rPr>
          <w:rFonts w:ascii="Calibri" w:eastAsia="Times New Roman" w:hAnsi="Calibri" w:cs="Calibri"/>
        </w:rPr>
        <w:t xml:space="preserve">incorporating messages on falls into other relevant awareness-raising campaigns such as Winter Wellbeing. </w:t>
      </w:r>
      <w:r w:rsidRPr="32F7F25D">
        <w:rPr>
          <w:rFonts w:ascii="Calibri" w:eastAsia="Calibri" w:hAnsi="Calibri" w:cs="Calibri"/>
        </w:rPr>
        <w:t>Work with districts and wellbeing providers so that people are signposted to the right recovery servicers, advocacy, and support at the right time.</w:t>
      </w:r>
    </w:p>
    <w:p w14:paraId="5FFDB23D" w14:textId="417F0D1A" w:rsidR="008D20D1" w:rsidRDefault="008D20D1" w:rsidP="00E20573">
      <w:r w:rsidRPr="32F7F25D">
        <w:rPr>
          <w:rFonts w:ascii="Calibri" w:eastAsia="Calibri" w:hAnsi="Calibri" w:cs="Calibri"/>
        </w:rPr>
        <w:t>Working with schools, workplaces</w:t>
      </w:r>
      <w:r w:rsidR="481F61F2" w:rsidRPr="740CDBE4">
        <w:rPr>
          <w:rFonts w:ascii="Calibri" w:eastAsia="Calibri" w:hAnsi="Calibri" w:cs="Calibri"/>
        </w:rPr>
        <w:t>,</w:t>
      </w:r>
      <w:r w:rsidRPr="32F7F25D">
        <w:rPr>
          <w:rFonts w:ascii="Calibri" w:eastAsia="Calibri" w:hAnsi="Calibri" w:cs="Calibri"/>
        </w:rPr>
        <w:t xml:space="preserve"> and communities to promote physical activities and healthy eating among </w:t>
      </w:r>
      <w:r w:rsidR="00211BEF">
        <w:rPr>
          <w:rFonts w:ascii="Calibri" w:eastAsia="Calibri" w:hAnsi="Calibri" w:cs="Calibri"/>
        </w:rPr>
        <w:t xml:space="preserve">the </w:t>
      </w:r>
      <w:r w:rsidRPr="32F7F25D">
        <w:rPr>
          <w:rFonts w:ascii="Calibri" w:eastAsia="Calibri" w:hAnsi="Calibri" w:cs="Calibri"/>
        </w:rPr>
        <w:t>West Kent population.</w:t>
      </w:r>
    </w:p>
    <w:p w14:paraId="2FB1CA27" w14:textId="020B2E2B" w:rsidR="008D20D1" w:rsidRDefault="008D20D1" w:rsidP="00E20573">
      <w:pPr>
        <w:spacing w:after="0" w:line="240" w:lineRule="auto"/>
        <w:rPr>
          <w:rFonts w:ascii="Calibri" w:eastAsia="Times New Roman" w:hAnsi="Calibri" w:cs="Calibri"/>
        </w:rPr>
      </w:pPr>
      <w:r w:rsidRPr="32F7F25D">
        <w:rPr>
          <w:rFonts w:ascii="Calibri" w:eastAsia="Times New Roman" w:hAnsi="Calibri" w:cs="Calibri"/>
        </w:rPr>
        <w:t xml:space="preserve">Consider a ‘Champion’ role </w:t>
      </w:r>
      <w:r w:rsidR="001C00C4" w:rsidRPr="32F7F25D">
        <w:rPr>
          <w:rFonts w:ascii="Calibri" w:eastAsia="Times New Roman" w:hAnsi="Calibri" w:cs="Calibri"/>
        </w:rPr>
        <w:t>e.g.,</w:t>
      </w:r>
      <w:r w:rsidRPr="32F7F25D">
        <w:rPr>
          <w:rFonts w:ascii="Calibri" w:eastAsia="Times New Roman" w:hAnsi="Calibri" w:cs="Calibri"/>
        </w:rPr>
        <w:t xml:space="preserve"> Falls Prevention in adult social care teams to raise awareness within teams and act as a first port of call for signposting to local services.   </w:t>
      </w:r>
    </w:p>
    <w:p w14:paraId="52A517C1" w14:textId="77777777" w:rsidR="008D20D1" w:rsidRDefault="008D20D1" w:rsidP="00867245">
      <w:pPr>
        <w:pStyle w:val="Heading2"/>
        <w:rPr>
          <w:rFonts w:eastAsia="Calibri"/>
        </w:rPr>
      </w:pPr>
      <w:bookmarkStart w:id="254" w:name="_Toc128133895"/>
      <w:r w:rsidRPr="32F7F25D">
        <w:rPr>
          <w:rFonts w:eastAsia="Calibri"/>
        </w:rPr>
        <w:t>Integrated Care delivery</w:t>
      </w:r>
      <w:bookmarkEnd w:id="254"/>
    </w:p>
    <w:p w14:paraId="228D1BEF" w14:textId="577D4818" w:rsidR="008D20D1" w:rsidRDefault="008D20D1" w:rsidP="00E20573">
      <w:r w:rsidRPr="32F7F25D">
        <w:rPr>
          <w:rFonts w:ascii="Calibri" w:eastAsia="Calibri" w:hAnsi="Calibri" w:cs="Calibri"/>
        </w:rPr>
        <w:t xml:space="preserve">Address childhood obesity through the commissioning of </w:t>
      </w:r>
      <w:r w:rsidR="00537F9D">
        <w:rPr>
          <w:rFonts w:ascii="Calibri" w:eastAsia="Calibri" w:hAnsi="Calibri" w:cs="Calibri"/>
        </w:rPr>
        <w:t xml:space="preserve">a </w:t>
      </w:r>
      <w:r w:rsidRPr="32F7F25D">
        <w:rPr>
          <w:rFonts w:ascii="Calibri" w:eastAsia="Calibri" w:hAnsi="Calibri" w:cs="Calibri"/>
        </w:rPr>
        <w:t>multicomponent family weight management service, align actions with maternity, health visiting and school nursing to promote uptake.</w:t>
      </w:r>
    </w:p>
    <w:p w14:paraId="1A756AFB" w14:textId="1154E209" w:rsidR="008D20D1" w:rsidRDefault="1D650B97" w:rsidP="00E20573">
      <w:pPr>
        <w:rPr>
          <w:rFonts w:ascii="Calibri" w:eastAsia="Calibri" w:hAnsi="Calibri" w:cs="Calibri"/>
        </w:rPr>
      </w:pPr>
      <w:r w:rsidRPr="740CDBE4">
        <w:rPr>
          <w:rFonts w:ascii="Calibri" w:eastAsia="Calibri" w:hAnsi="Calibri" w:cs="Calibri"/>
        </w:rPr>
        <w:t>Review t</w:t>
      </w:r>
      <w:r w:rsidR="00647BCE" w:rsidRPr="740CDBE4">
        <w:rPr>
          <w:rFonts w:ascii="Calibri" w:eastAsia="Calibri" w:hAnsi="Calibri" w:cs="Calibri"/>
        </w:rPr>
        <w:t>he</w:t>
      </w:r>
      <w:r w:rsidR="00647BCE" w:rsidRPr="347D5DEF">
        <w:rPr>
          <w:rFonts w:ascii="Calibri" w:eastAsia="Calibri" w:hAnsi="Calibri" w:cs="Calibri"/>
        </w:rPr>
        <w:t xml:space="preserve"> </w:t>
      </w:r>
      <w:r w:rsidR="00647BCE">
        <w:rPr>
          <w:rFonts w:ascii="Calibri" w:eastAsia="Calibri" w:hAnsi="Calibri" w:cs="Calibri"/>
        </w:rPr>
        <w:t xml:space="preserve">recording and </w:t>
      </w:r>
      <w:r w:rsidR="00647BCE" w:rsidRPr="347D5DEF">
        <w:rPr>
          <w:rFonts w:ascii="Calibri" w:eastAsia="Calibri" w:hAnsi="Calibri" w:cs="Calibri"/>
        </w:rPr>
        <w:t>management of depression</w:t>
      </w:r>
      <w:r w:rsidR="50C43D77" w:rsidRPr="740CDBE4">
        <w:rPr>
          <w:rFonts w:ascii="Calibri" w:eastAsia="Calibri" w:hAnsi="Calibri" w:cs="Calibri"/>
        </w:rPr>
        <w:t xml:space="preserve"> (QOF)</w:t>
      </w:r>
      <w:r w:rsidR="00647BCE" w:rsidRPr="347D5DEF">
        <w:rPr>
          <w:rFonts w:ascii="Calibri" w:eastAsia="Calibri" w:hAnsi="Calibri" w:cs="Calibri"/>
        </w:rPr>
        <w:t xml:space="preserve"> and serious mental illness in primary care</w:t>
      </w:r>
      <w:r w:rsidR="00647BCE">
        <w:rPr>
          <w:rFonts w:ascii="Calibri" w:eastAsia="Calibri" w:hAnsi="Calibri" w:cs="Calibri"/>
        </w:rPr>
        <w:t xml:space="preserve"> (PCN)</w:t>
      </w:r>
      <w:r w:rsidR="008D20D1" w:rsidRPr="32F7F25D">
        <w:rPr>
          <w:rFonts w:ascii="Calibri" w:eastAsia="Calibri" w:hAnsi="Calibri" w:cs="Calibri"/>
        </w:rPr>
        <w:t>: support practices to provide and support faster access to psychological and wellbeing services. All providers to work together to create a better, seamless mental health services where barriers to care are minimised, particularly for those with drug and alcohol problems and a learning disability. Good support and recovery plans should be created for vulnerable patients with complex mental health problems linked to a multidisciplinary team.</w:t>
      </w:r>
    </w:p>
    <w:p w14:paraId="2595D9C8" w14:textId="77777777" w:rsidR="008D20D1" w:rsidRDefault="008D20D1" w:rsidP="00E20573">
      <w:r>
        <w:rPr>
          <w:rFonts w:ascii="Calibri" w:eastAsia="Calibri" w:hAnsi="Calibri" w:cs="Calibri"/>
        </w:rPr>
        <w:t xml:space="preserve">Given the low rates of dementia detection the HCP should </w:t>
      </w:r>
      <w:r>
        <w:t>explore opportunities to further enhance work of Kent and Medway ICB and KCC jointly commissioned dementia co-ordinators who can support pathway navigation for early diagnosis and signpost/refer into wider community services.</w:t>
      </w:r>
    </w:p>
    <w:p w14:paraId="5A36042D" w14:textId="08BE86BE" w:rsidR="008D20D1" w:rsidRDefault="008D20D1" w:rsidP="008D20D1">
      <w:pPr>
        <w:spacing w:after="0"/>
        <w:textAlignment w:val="baseline"/>
      </w:pPr>
      <w:r>
        <w:t>Greater analysis is needed to understand the variation in osteoporosis QOF recording rates to understand detection/treatment gaps and identify areas for improvement.  This should link into the wider falls prevention work that is ongoing in West Kent.</w:t>
      </w:r>
    </w:p>
    <w:p w14:paraId="654B242A" w14:textId="58602B8A" w:rsidR="008D20D1" w:rsidRDefault="008D20D1" w:rsidP="00E20573">
      <w:r>
        <w:t>A population health management approach could be considered for the ‘younger frail’ (aged 50-65) to identify and proactively signpost individuals at risk into West Kent health and wellbeing services, within a social prescribing model.</w:t>
      </w:r>
    </w:p>
    <w:p w14:paraId="304CBD92" w14:textId="6BA68705" w:rsidR="00AE38E9" w:rsidRDefault="00B5535C" w:rsidP="00E20573">
      <w:r>
        <w:rPr>
          <w:rFonts w:cstheme="minorHAnsi"/>
        </w:rPr>
        <w:t xml:space="preserve">Commission </w:t>
      </w:r>
      <w:r>
        <w:t>an initiative to target improved screening for hypertension in several areas of high deprivation within West Kent focused upon relevant PCNs.</w:t>
      </w:r>
    </w:p>
    <w:p w14:paraId="6429B6FC" w14:textId="79DF0D67" w:rsidR="008D20D1" w:rsidRDefault="008D20D1" w:rsidP="00867245">
      <w:pPr>
        <w:pStyle w:val="Heading2"/>
        <w:rPr>
          <w:rFonts w:eastAsia="Calibri"/>
        </w:rPr>
      </w:pPr>
      <w:bookmarkStart w:id="255" w:name="_Int_x3Fkl4w5"/>
      <w:bookmarkStart w:id="256" w:name="_Toc128133896"/>
      <w:r w:rsidRPr="32F7F25D">
        <w:rPr>
          <w:rFonts w:eastAsia="Calibri"/>
        </w:rPr>
        <w:lastRenderedPageBreak/>
        <w:t>MECC</w:t>
      </w:r>
      <w:bookmarkEnd w:id="255"/>
      <w:r w:rsidRPr="32F7F25D">
        <w:rPr>
          <w:rFonts w:eastAsia="Calibri"/>
        </w:rPr>
        <w:t xml:space="preserve"> training</w:t>
      </w:r>
      <w:bookmarkEnd w:id="256"/>
    </w:p>
    <w:p w14:paraId="3E0C670C" w14:textId="214CA5FE" w:rsidR="008D20D1" w:rsidRDefault="008D20D1" w:rsidP="00E20573">
      <w:pPr>
        <w:rPr>
          <w:rFonts w:ascii="Calibri" w:eastAsia="Calibri" w:hAnsi="Calibri" w:cs="Calibri"/>
        </w:rPr>
      </w:pPr>
      <w:r w:rsidRPr="32F7F25D">
        <w:rPr>
          <w:rFonts w:ascii="Calibri" w:eastAsia="Calibri" w:hAnsi="Calibri" w:cs="Calibri"/>
        </w:rPr>
        <w:t>Workforce education and training to prioritise relevant front-line health and care staff to undertake core MECC training to ensure they have the skills and confidence to hold conversations with at risk individuals and families about healthy behaviour change</w:t>
      </w:r>
      <w:r w:rsidR="008F0FD0">
        <w:rPr>
          <w:rFonts w:ascii="Calibri" w:eastAsia="Calibri" w:hAnsi="Calibri" w:cs="Calibri"/>
        </w:rPr>
        <w:t>,</w:t>
      </w:r>
      <w:r w:rsidRPr="32F7F25D">
        <w:rPr>
          <w:rFonts w:ascii="Calibri" w:eastAsia="Calibri" w:hAnsi="Calibri" w:cs="Calibri"/>
        </w:rPr>
        <w:t xml:space="preserve"> particularly around healthy weight</w:t>
      </w:r>
      <w:r w:rsidR="2DF52E20" w:rsidRPr="740CDBE4">
        <w:rPr>
          <w:rFonts w:ascii="Calibri" w:eastAsia="Calibri" w:hAnsi="Calibri" w:cs="Calibri"/>
        </w:rPr>
        <w:t>,</w:t>
      </w:r>
      <w:r w:rsidRPr="32F7F25D">
        <w:rPr>
          <w:rFonts w:ascii="Calibri" w:eastAsia="Calibri" w:hAnsi="Calibri" w:cs="Calibri"/>
        </w:rPr>
        <w:t xml:space="preserve"> and signpost to appropriate support services. Maximise the potential of the health coaches, social prescribers</w:t>
      </w:r>
      <w:r w:rsidR="1A7C005E" w:rsidRPr="740CDBE4">
        <w:rPr>
          <w:rFonts w:ascii="Calibri" w:eastAsia="Calibri" w:hAnsi="Calibri" w:cs="Calibri"/>
        </w:rPr>
        <w:t>,</w:t>
      </w:r>
      <w:r w:rsidRPr="32F7F25D">
        <w:rPr>
          <w:rFonts w:ascii="Calibri" w:eastAsia="Calibri" w:hAnsi="Calibri" w:cs="Calibri"/>
        </w:rPr>
        <w:t xml:space="preserve"> and community champions by offering relevant training to equip them with skills to hold conversations with people.</w:t>
      </w:r>
    </w:p>
    <w:p w14:paraId="7CD9FC5D" w14:textId="77777777" w:rsidR="008D20D1" w:rsidRDefault="008D20D1" w:rsidP="00867245">
      <w:pPr>
        <w:pStyle w:val="Heading2"/>
        <w:rPr>
          <w:rFonts w:eastAsia="Calibri"/>
        </w:rPr>
      </w:pPr>
      <w:bookmarkStart w:id="257" w:name="_Toc128133897"/>
      <w:r w:rsidRPr="32F7F25D">
        <w:rPr>
          <w:rFonts w:eastAsia="Calibri"/>
        </w:rPr>
        <w:t>Research Innovation and Improvement</w:t>
      </w:r>
      <w:bookmarkEnd w:id="257"/>
    </w:p>
    <w:p w14:paraId="51B38727" w14:textId="63B0D3B8" w:rsidR="008D20D1" w:rsidRDefault="008D20D1" w:rsidP="00E20573">
      <w:pPr>
        <w:rPr>
          <w:rFonts w:ascii="Calibri" w:eastAsia="Calibri" w:hAnsi="Calibri" w:cs="Calibri"/>
        </w:rPr>
      </w:pPr>
      <w:r w:rsidRPr="32F7F25D">
        <w:rPr>
          <w:rFonts w:ascii="Calibri" w:eastAsia="Calibri" w:hAnsi="Calibri" w:cs="Calibri"/>
        </w:rPr>
        <w:t xml:space="preserve">Understand the “best buy” interventions based on evidence and best practice to meet Kent’s localities needs. Encourage data sharing and access building on the work by the </w:t>
      </w:r>
      <w:hyperlink r:id="rId197">
        <w:r w:rsidRPr="32F7F25D">
          <w:rPr>
            <w:rStyle w:val="Hyperlink"/>
            <w:rFonts w:ascii="Calibri" w:eastAsia="Calibri" w:hAnsi="Calibri" w:cs="Calibri"/>
          </w:rPr>
          <w:t>Shared Health &amp; Care Analytics Board</w:t>
        </w:r>
      </w:hyperlink>
      <w:r w:rsidRPr="32F7F25D">
        <w:rPr>
          <w:rFonts w:ascii="Calibri" w:eastAsia="Calibri" w:hAnsi="Calibri" w:cs="Calibri"/>
        </w:rPr>
        <w:t xml:space="preserve"> including relevant data on local need</w:t>
      </w:r>
      <w:r w:rsidR="008E0D7F">
        <w:rPr>
          <w:rFonts w:ascii="Calibri" w:eastAsia="Calibri" w:hAnsi="Calibri" w:cs="Calibri"/>
        </w:rPr>
        <w:t>. This would be</w:t>
      </w:r>
      <w:r w:rsidRPr="32F7F25D">
        <w:rPr>
          <w:rFonts w:ascii="Calibri" w:eastAsia="Calibri" w:hAnsi="Calibri" w:cs="Calibri"/>
        </w:rPr>
        <w:t xml:space="preserve"> between </w:t>
      </w:r>
      <w:r w:rsidR="008E0D7F">
        <w:rPr>
          <w:rFonts w:ascii="Calibri" w:eastAsia="Calibri" w:hAnsi="Calibri" w:cs="Calibri"/>
        </w:rPr>
        <w:t>local aut</w:t>
      </w:r>
      <w:r w:rsidR="001E6D2A">
        <w:rPr>
          <w:rFonts w:ascii="Calibri" w:eastAsia="Calibri" w:hAnsi="Calibri" w:cs="Calibri"/>
        </w:rPr>
        <w:t>horities</w:t>
      </w:r>
      <w:r w:rsidR="008E0D7F" w:rsidRPr="32F7F25D">
        <w:rPr>
          <w:rFonts w:ascii="Calibri" w:eastAsia="Calibri" w:hAnsi="Calibri" w:cs="Calibri"/>
        </w:rPr>
        <w:t xml:space="preserve"> </w:t>
      </w:r>
      <w:r w:rsidRPr="32F7F25D">
        <w:rPr>
          <w:rFonts w:ascii="Calibri" w:eastAsia="Calibri" w:hAnsi="Calibri" w:cs="Calibri"/>
        </w:rPr>
        <w:t xml:space="preserve">and </w:t>
      </w:r>
      <w:r w:rsidR="001E6D2A">
        <w:rPr>
          <w:rFonts w:ascii="Calibri" w:eastAsia="Calibri" w:hAnsi="Calibri" w:cs="Calibri"/>
        </w:rPr>
        <w:t xml:space="preserve">the </w:t>
      </w:r>
      <w:r w:rsidRPr="32F7F25D">
        <w:rPr>
          <w:rFonts w:ascii="Calibri" w:eastAsia="Calibri" w:hAnsi="Calibri" w:cs="Calibri"/>
        </w:rPr>
        <w:t>NHS</w:t>
      </w:r>
      <w:r w:rsidR="001E6D2A">
        <w:rPr>
          <w:rFonts w:ascii="Calibri" w:eastAsia="Calibri" w:hAnsi="Calibri" w:cs="Calibri"/>
        </w:rPr>
        <w:t>,</w:t>
      </w:r>
      <w:r w:rsidRPr="32F7F25D">
        <w:rPr>
          <w:rFonts w:ascii="Calibri" w:eastAsia="Calibri" w:hAnsi="Calibri" w:cs="Calibri"/>
        </w:rPr>
        <w:t xml:space="preserve"> building on best practice examples such as the Financial Hardship programme, </w:t>
      </w:r>
      <w:r w:rsidR="0003421B">
        <w:rPr>
          <w:rFonts w:ascii="Calibri" w:eastAsia="Calibri" w:hAnsi="Calibri" w:cs="Calibri"/>
        </w:rPr>
        <w:t xml:space="preserve">and </w:t>
      </w:r>
      <w:r w:rsidRPr="32F7F25D">
        <w:rPr>
          <w:rFonts w:ascii="Calibri" w:eastAsia="Calibri" w:hAnsi="Calibri" w:cs="Calibri"/>
        </w:rPr>
        <w:t>the NHS led Population Health Management programme to enable proper local health needs assessment, effective service planning, evaluation, targeting and measurement of success. Undertake regular equity audits and deep dive analyses on depression and anxiety NHS counselling services linked to specialist psychological provision across West Kent.</w:t>
      </w:r>
    </w:p>
    <w:p w14:paraId="6F54B74F" w14:textId="77777777" w:rsidR="008D20D1" w:rsidRDefault="008D20D1" w:rsidP="00867245">
      <w:pPr>
        <w:pStyle w:val="Heading2"/>
      </w:pPr>
      <w:bookmarkStart w:id="258" w:name="_Toc128133898"/>
      <w:r w:rsidRPr="32F7F25D">
        <w:t>Engagement and Insight</w:t>
      </w:r>
      <w:bookmarkEnd w:id="258"/>
    </w:p>
    <w:p w14:paraId="325BF115" w14:textId="6A42C409" w:rsidR="00C61873" w:rsidRPr="00867245" w:rsidRDefault="008D20D1" w:rsidP="00E20573">
      <w:pPr>
        <w:pStyle w:val="NormalWeb"/>
        <w:spacing w:line="276" w:lineRule="auto"/>
        <w:rPr>
          <w:rFonts w:asciiTheme="minorHAnsi" w:hAnsiTheme="minorHAnsi" w:cs="Arial"/>
          <w:color w:val="000000" w:themeColor="text1"/>
        </w:rPr>
      </w:pPr>
      <w:r w:rsidRPr="32F7F25D">
        <w:rPr>
          <w:rFonts w:asciiTheme="minorHAnsi" w:hAnsiTheme="minorHAnsi" w:cs="Arial"/>
          <w:color w:val="000000" w:themeColor="text1"/>
        </w:rPr>
        <w:t xml:space="preserve">There is a need to continue </w:t>
      </w:r>
      <w:r>
        <w:rPr>
          <w:rFonts w:asciiTheme="minorHAnsi" w:hAnsiTheme="minorHAnsi" w:cs="Arial"/>
          <w:color w:val="000000" w:themeColor="text1"/>
        </w:rPr>
        <w:t>to</w:t>
      </w:r>
      <w:r w:rsidRPr="32F7F25D">
        <w:rPr>
          <w:rFonts w:asciiTheme="minorHAnsi" w:hAnsiTheme="minorHAnsi" w:cs="Arial"/>
          <w:color w:val="000000" w:themeColor="text1"/>
        </w:rPr>
        <w:t xml:space="preserve"> develop stakeholder voice </w:t>
      </w:r>
      <w:r>
        <w:rPr>
          <w:rFonts w:asciiTheme="minorHAnsi" w:hAnsiTheme="minorHAnsi" w:cs="Arial"/>
          <w:color w:val="000000" w:themeColor="text1"/>
        </w:rPr>
        <w:t>(including smaller population cohort</w:t>
      </w:r>
      <w:r w:rsidR="00FC7B3F">
        <w:rPr>
          <w:rFonts w:asciiTheme="minorHAnsi" w:hAnsiTheme="minorHAnsi" w:cs="Arial"/>
          <w:color w:val="000000" w:themeColor="text1"/>
        </w:rPr>
        <w:t>s</w:t>
      </w:r>
      <w:r>
        <w:rPr>
          <w:rFonts w:asciiTheme="minorHAnsi" w:hAnsiTheme="minorHAnsi" w:cs="Arial"/>
          <w:color w:val="000000" w:themeColor="text1"/>
        </w:rPr>
        <w:t xml:space="preserve"> that do not usually engage in health and care activity) </w:t>
      </w:r>
      <w:r w:rsidRPr="32F7F25D">
        <w:rPr>
          <w:rFonts w:asciiTheme="minorHAnsi" w:hAnsiTheme="minorHAnsi" w:cs="Arial"/>
          <w:color w:val="000000" w:themeColor="text1"/>
        </w:rPr>
        <w:t>not only with patients/clients and carers but also with service providers, teaching staff, clinicians, local authorities, the voluntary sector, social care</w:t>
      </w:r>
      <w:r w:rsidR="66F937EE" w:rsidRPr="740CDBE4">
        <w:rPr>
          <w:rFonts w:asciiTheme="minorHAnsi" w:hAnsiTheme="minorHAnsi" w:cs="Arial"/>
          <w:color w:val="000000" w:themeColor="text1"/>
        </w:rPr>
        <w:t>,</w:t>
      </w:r>
      <w:r w:rsidRPr="32F7F25D">
        <w:rPr>
          <w:rFonts w:asciiTheme="minorHAnsi" w:hAnsiTheme="minorHAnsi" w:cs="Arial"/>
          <w:color w:val="000000" w:themeColor="text1"/>
        </w:rPr>
        <w:t xml:space="preserve"> and other health care staff to enable better insights into service delivery and quality in the West Kent HCP area.</w:t>
      </w:r>
    </w:p>
    <w:sectPr w:rsidR="00C61873" w:rsidRPr="00867245" w:rsidSect="0004540E">
      <w:headerReference w:type="even" r:id="rId198"/>
      <w:headerReference w:type="first" r:id="rId19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4092CE" w14:textId="77777777" w:rsidR="000A0D06" w:rsidRDefault="000A0D06" w:rsidP="00CE57B9">
      <w:pPr>
        <w:spacing w:after="0" w:line="240" w:lineRule="auto"/>
      </w:pPr>
      <w:r>
        <w:separator/>
      </w:r>
    </w:p>
  </w:endnote>
  <w:endnote w:type="continuationSeparator" w:id="0">
    <w:p w14:paraId="22EEC07D" w14:textId="77777777" w:rsidR="000A0D06" w:rsidRDefault="000A0D06" w:rsidP="00CE57B9">
      <w:pPr>
        <w:spacing w:after="0" w:line="240" w:lineRule="auto"/>
      </w:pPr>
      <w:r>
        <w:continuationSeparator/>
      </w:r>
    </w:p>
  </w:endnote>
  <w:endnote w:type="continuationNotice" w:id="1">
    <w:p w14:paraId="12A69AAE" w14:textId="77777777" w:rsidR="000A0D06" w:rsidRDefault="000A0D0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ova Light">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68D2E" w14:textId="77777777" w:rsidR="00FC0630" w:rsidRPr="004837FE" w:rsidRDefault="00FC0630" w:rsidP="00FC0630">
    <w:pPr>
      <w:pStyle w:val="Footer"/>
      <w:rPr>
        <w:color w:val="2D7C82"/>
        <w:sz w:val="22"/>
        <w:szCs w:val="22"/>
      </w:rPr>
    </w:pPr>
    <w:r w:rsidRPr="004837FE">
      <w:rPr>
        <w:b/>
        <w:noProof/>
        <w:sz w:val="26"/>
        <w:szCs w:val="26"/>
      </w:rPr>
      <mc:AlternateContent>
        <mc:Choice Requires="wps">
          <w:drawing>
            <wp:anchor distT="0" distB="0" distL="114300" distR="114300" simplePos="0" relativeHeight="251658242" behindDoc="0" locked="0" layoutInCell="1" allowOverlap="1" wp14:anchorId="31352C92" wp14:editId="33E2889B">
              <wp:simplePos x="0" y="0"/>
              <wp:positionH relativeFrom="column">
                <wp:posOffset>258890</wp:posOffset>
              </wp:positionH>
              <wp:positionV relativeFrom="paragraph">
                <wp:posOffset>111125</wp:posOffset>
              </wp:positionV>
              <wp:extent cx="5760000" cy="0"/>
              <wp:effectExtent l="0" t="0" r="12700" b="1905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w="12700">
                        <a:solidFill>
                          <a:srgbClr val="A7558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7DDBDB" id="Straight Connector 10" o:spid="_x0000_s1026" alt="&quot;&quot;"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8.75pt" to="473.9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" strokecolor="#a75585" strokeweight="1pt"/>
          </w:pict>
        </mc:Fallback>
      </mc:AlternateContent>
    </w:r>
    <w:r w:rsidRPr="004837FE">
      <w:rPr>
        <w:color w:val="2D7C82"/>
        <w:sz w:val="22"/>
        <w:szCs w:val="22"/>
      </w:rPr>
      <w:fldChar w:fldCharType="begin"/>
    </w:r>
    <w:r w:rsidRPr="004837FE">
      <w:rPr>
        <w:color w:val="2D7C82"/>
        <w:sz w:val="22"/>
        <w:szCs w:val="22"/>
      </w:rPr>
      <w:instrText xml:space="preserve"> PAGE   \* MERGEFORMAT </w:instrText>
    </w:r>
    <w:r w:rsidRPr="004837FE">
      <w:rPr>
        <w:color w:val="2D7C82"/>
        <w:sz w:val="22"/>
        <w:szCs w:val="22"/>
      </w:rPr>
      <w:fldChar w:fldCharType="separate"/>
    </w:r>
    <w:r w:rsidR="00364A70">
      <w:rPr>
        <w:noProof/>
        <w:color w:val="2D7C82"/>
        <w:sz w:val="22"/>
        <w:szCs w:val="22"/>
      </w:rPr>
      <w:t>4</w:t>
    </w:r>
    <w:r w:rsidRPr="004837FE">
      <w:rPr>
        <w:noProof/>
        <w:color w:val="2D7C82"/>
        <w:sz w:val="22"/>
        <w:szCs w:val="22"/>
      </w:rPr>
      <w:fldChar w:fldCharType="end"/>
    </w:r>
  </w:p>
  <w:p w14:paraId="2631071A" w14:textId="36BC9F8A" w:rsidR="00F27D34" w:rsidRDefault="00FC0630" w:rsidP="00FC0630">
    <w:pPr>
      <w:pStyle w:val="Footer"/>
      <w:tabs>
        <w:tab w:val="clear" w:pos="4513"/>
        <w:tab w:val="right" w:pos="8931"/>
      </w:tabs>
      <w:spacing w:before="0"/>
      <w:rPr>
        <w:sz w:val="20"/>
        <w:szCs w:val="20"/>
      </w:rPr>
    </w:pPr>
    <w:r>
      <w:rPr>
        <w:sz w:val="20"/>
        <w:szCs w:val="20"/>
      </w:rPr>
      <w:tab/>
    </w:r>
    <w:r w:rsidR="00F27D34">
      <w:rPr>
        <w:sz w:val="20"/>
        <w:szCs w:val="20"/>
      </w:rPr>
      <w:t>West Kent Needs Assessment 202</w:t>
    </w:r>
    <w:r w:rsidR="00077DA8">
      <w:rPr>
        <w:sz w:val="20"/>
        <w:szCs w:val="20"/>
      </w:rPr>
      <w:t>3</w:t>
    </w:r>
  </w:p>
  <w:p w14:paraId="1332E2CC" w14:textId="187A4836" w:rsidR="00896CDF" w:rsidRPr="007D15F5" w:rsidRDefault="00896CDF" w:rsidP="00FC0630">
    <w:pPr>
      <w:pStyle w:val="Footer"/>
      <w:tabs>
        <w:tab w:val="clear" w:pos="4513"/>
        <w:tab w:val="right" w:pos="8931"/>
      </w:tabs>
      <w:spacing w:before="0"/>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3633456"/>
      <w:docPartObj>
        <w:docPartGallery w:val="Page Numbers (Bottom of Page)"/>
        <w:docPartUnique/>
      </w:docPartObj>
    </w:sdtPr>
    <w:sdtEndPr>
      <w:rPr>
        <w:noProof/>
        <w:color w:val="2D7C82"/>
        <w:sz w:val="22"/>
        <w:szCs w:val="22"/>
      </w:rPr>
    </w:sdtEndPr>
    <w:sdtContent>
      <w:p w14:paraId="2A9E86DF" w14:textId="77777777" w:rsidR="009043C3" w:rsidRPr="004837FE" w:rsidRDefault="009043C3">
        <w:pPr>
          <w:pStyle w:val="Footer"/>
          <w:jc w:val="right"/>
          <w:rPr>
            <w:color w:val="2D7C82"/>
            <w:sz w:val="22"/>
            <w:szCs w:val="22"/>
          </w:rPr>
        </w:pPr>
        <w:r w:rsidRPr="004837FE">
          <w:rPr>
            <w:b/>
            <w:noProof/>
            <w:sz w:val="26"/>
            <w:szCs w:val="26"/>
          </w:rPr>
          <mc:AlternateContent>
            <mc:Choice Requires="wps">
              <w:drawing>
                <wp:anchor distT="0" distB="0" distL="114300" distR="114300" simplePos="0" relativeHeight="251658240" behindDoc="0" locked="0" layoutInCell="1" allowOverlap="1" wp14:anchorId="55843457" wp14:editId="149F7BA0">
                  <wp:simplePos x="0" y="0"/>
                  <wp:positionH relativeFrom="column">
                    <wp:posOffset>-320040</wp:posOffset>
                  </wp:positionH>
                  <wp:positionV relativeFrom="paragraph">
                    <wp:posOffset>111548</wp:posOffset>
                  </wp:positionV>
                  <wp:extent cx="5760000" cy="0"/>
                  <wp:effectExtent l="0" t="0" r="12700" b="19050"/>
                  <wp:wrapNone/>
                  <wp:docPr id="26" name="Straight Connector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w="12700">
                            <a:solidFill>
                              <a:srgbClr val="A7558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EFBAD3" id="Straight Connector 26" o:spid="_x0000_s1026" alt="&quot;&quot;"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8.8pt" to="428.3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" strokecolor="#a75585" strokeweight="1pt"/>
              </w:pict>
            </mc:Fallback>
          </mc:AlternateContent>
        </w:r>
        <w:r w:rsidRPr="004837FE">
          <w:rPr>
            <w:color w:val="2D7C82"/>
            <w:sz w:val="22"/>
            <w:szCs w:val="22"/>
          </w:rPr>
          <w:fldChar w:fldCharType="begin"/>
        </w:r>
        <w:r w:rsidRPr="004837FE">
          <w:rPr>
            <w:color w:val="2D7C82"/>
            <w:sz w:val="22"/>
            <w:szCs w:val="22"/>
          </w:rPr>
          <w:instrText xml:space="preserve"> PAGE   \* MERGEFORMAT </w:instrText>
        </w:r>
        <w:r w:rsidRPr="004837FE">
          <w:rPr>
            <w:color w:val="2D7C82"/>
            <w:sz w:val="22"/>
            <w:szCs w:val="22"/>
          </w:rPr>
          <w:fldChar w:fldCharType="separate"/>
        </w:r>
        <w:r w:rsidR="00364A70">
          <w:rPr>
            <w:noProof/>
            <w:color w:val="2D7C82"/>
            <w:sz w:val="22"/>
            <w:szCs w:val="22"/>
          </w:rPr>
          <w:t>5</w:t>
        </w:r>
        <w:r w:rsidRPr="004837FE">
          <w:rPr>
            <w:noProof/>
            <w:color w:val="2D7C82"/>
            <w:sz w:val="22"/>
            <w:szCs w:val="22"/>
          </w:rPr>
          <w:fldChar w:fldCharType="end"/>
        </w:r>
      </w:p>
    </w:sdtContent>
  </w:sdt>
  <w:p w14:paraId="1EA8E97D" w14:textId="751B36B6" w:rsidR="009043C3" w:rsidRPr="004837FE" w:rsidRDefault="0044299E" w:rsidP="00F27D34">
    <w:pPr>
      <w:pStyle w:val="Footer"/>
      <w:spacing w:before="0"/>
      <w:rPr>
        <w:sz w:val="20"/>
        <w:szCs w:val="20"/>
      </w:rPr>
    </w:pPr>
    <w:r>
      <w:rPr>
        <w:sz w:val="20"/>
        <w:szCs w:val="20"/>
      </w:rPr>
      <w:tab/>
    </w:r>
    <w:r>
      <w:rPr>
        <w:sz w:val="20"/>
        <w:szCs w:val="20"/>
      </w:rPr>
      <w:tab/>
    </w:r>
    <w:r w:rsidR="00F27D34">
      <w:rPr>
        <w:sz w:val="20"/>
        <w:szCs w:val="20"/>
      </w:rPr>
      <w:t>West Kent Needs Assessment 202</w:t>
    </w:r>
    <w:r>
      <w:rPr>
        <w:sz w:val="20"/>
        <w:szCs w:val="20"/>
      </w:rPr>
      <w:t>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A77B5" w14:textId="77777777" w:rsidR="00896CDF" w:rsidRPr="004837FE" w:rsidRDefault="00896CDF" w:rsidP="00896CDF">
    <w:pPr>
      <w:spacing w:after="160"/>
      <w:jc w:val="right"/>
      <w:rPr>
        <w:b/>
        <w:color w:val="2D7C82"/>
        <w:sz w:val="26"/>
        <w:szCs w:val="26"/>
      </w:rPr>
    </w:pPr>
    <w:r w:rsidRPr="004837FE">
      <w:rPr>
        <w:noProof/>
      </w:rPr>
      <w:drawing>
        <wp:anchor distT="0" distB="0" distL="114300" distR="114300" simplePos="0" relativeHeight="251658244" behindDoc="1" locked="0" layoutInCell="1" allowOverlap="1" wp14:anchorId="5A9B41B7" wp14:editId="45567062">
          <wp:simplePos x="0" y="0"/>
          <wp:positionH relativeFrom="column">
            <wp:posOffset>-548640</wp:posOffset>
          </wp:positionH>
          <wp:positionV relativeFrom="paragraph">
            <wp:posOffset>-228600</wp:posOffset>
          </wp:positionV>
          <wp:extent cx="7764780" cy="2179320"/>
          <wp:effectExtent l="0" t="0" r="7620" b="0"/>
          <wp:wrapNone/>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52130" name="Picture 1704452130">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4780" cy="2179320"/>
                  </a:xfrm>
                  <a:prstGeom prst="rect">
                    <a:avLst/>
                  </a:prstGeom>
                </pic:spPr>
              </pic:pic>
            </a:graphicData>
          </a:graphic>
          <wp14:sizeRelH relativeFrom="page">
            <wp14:pctWidth>0</wp14:pctWidth>
          </wp14:sizeRelH>
          <wp14:sizeRelV relativeFrom="page">
            <wp14:pctHeight>0</wp14:pctHeight>
          </wp14:sizeRelV>
        </wp:anchor>
      </w:drawing>
    </w:r>
    <w:r w:rsidRPr="004837FE">
      <w:rPr>
        <w:b/>
        <w:noProof/>
        <w:sz w:val="26"/>
        <w:szCs w:val="26"/>
      </w:rPr>
      <mc:AlternateContent>
        <mc:Choice Requires="wps">
          <w:drawing>
            <wp:anchor distT="0" distB="0" distL="114300" distR="114300" simplePos="0" relativeHeight="251658243" behindDoc="0" locked="0" layoutInCell="1" allowOverlap="1" wp14:anchorId="39AD5CA9" wp14:editId="20222F7A">
              <wp:simplePos x="0" y="0"/>
              <wp:positionH relativeFrom="column">
                <wp:posOffset>151765</wp:posOffset>
              </wp:positionH>
              <wp:positionV relativeFrom="paragraph">
                <wp:posOffset>88265</wp:posOffset>
              </wp:positionV>
              <wp:extent cx="5334000" cy="0"/>
              <wp:effectExtent l="0" t="0" r="19050" b="19050"/>
              <wp:wrapNone/>
              <wp:docPr id="19" name="Straight Connector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334000" cy="0"/>
                      </a:xfrm>
                      <a:prstGeom prst="line">
                        <a:avLst/>
                      </a:prstGeom>
                      <a:ln w="12700">
                        <a:solidFill>
                          <a:srgbClr val="A7558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4BFEC0" id="Straight Connector 19" o:spid="_x0000_s1026" alt="&quot;&quot;"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5pt,6.95pt" to="431.9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" strokecolor="#a75585" strokeweight="1pt"/>
          </w:pict>
        </mc:Fallback>
      </mc:AlternateContent>
    </w:r>
    <w:r w:rsidRPr="004837FE">
      <w:rPr>
        <w:b/>
        <w:color w:val="2D7C82"/>
        <w:sz w:val="26"/>
        <w:szCs w:val="26"/>
      </w:rPr>
      <w:t>Produced by</w:t>
    </w:r>
  </w:p>
  <w:p w14:paraId="329F2083" w14:textId="3ADE6264" w:rsidR="00896CDF" w:rsidRDefault="00873155" w:rsidP="00896CDF">
    <w:pPr>
      <w:spacing w:before="0" w:after="0"/>
      <w:jc w:val="right"/>
      <w:rPr>
        <w:sz w:val="22"/>
        <w:szCs w:val="22"/>
      </w:rPr>
    </w:pPr>
    <w:r>
      <w:rPr>
        <w:sz w:val="22"/>
        <w:szCs w:val="22"/>
      </w:rPr>
      <w:t xml:space="preserve">Dr </w:t>
    </w:r>
    <w:r w:rsidR="00471821">
      <w:rPr>
        <w:sz w:val="22"/>
        <w:szCs w:val="22"/>
      </w:rPr>
      <w:t>Abraham George</w:t>
    </w:r>
    <w:r w:rsidR="00896CDF" w:rsidRPr="004837FE">
      <w:rPr>
        <w:sz w:val="22"/>
        <w:szCs w:val="22"/>
      </w:rPr>
      <w:t>: Public Health Consultant (</w:t>
    </w:r>
    <w:hyperlink r:id="rId2" w:history="1">
      <w:r w:rsidRPr="00E26FC9">
        <w:rPr>
          <w:rStyle w:val="Hyperlink"/>
          <w:sz w:val="22"/>
          <w:szCs w:val="22"/>
        </w:rPr>
        <w:t>abraham.george@Kent.gov.uk</w:t>
      </w:r>
    </w:hyperlink>
    <w:r w:rsidR="00896CDF" w:rsidRPr="004837FE">
      <w:rPr>
        <w:sz w:val="22"/>
        <w:szCs w:val="22"/>
      </w:rPr>
      <w:t>)</w:t>
    </w:r>
  </w:p>
  <w:p w14:paraId="00716981" w14:textId="2A6B8BDB" w:rsidR="00873155" w:rsidRPr="004837FE" w:rsidRDefault="00873155" w:rsidP="00896CDF">
    <w:pPr>
      <w:spacing w:before="0" w:after="0"/>
      <w:jc w:val="right"/>
      <w:rPr>
        <w:sz w:val="22"/>
        <w:szCs w:val="22"/>
      </w:rPr>
    </w:pPr>
    <w:r>
      <w:rPr>
        <w:sz w:val="22"/>
        <w:szCs w:val="22"/>
      </w:rPr>
      <w:t>Stephen D Cochrane</w:t>
    </w:r>
    <w:r w:rsidR="008D53C8">
      <w:rPr>
        <w:sz w:val="22"/>
        <w:szCs w:val="22"/>
      </w:rPr>
      <w:t>: Public Health Specialist (</w:t>
    </w:r>
    <w:hyperlink r:id="rId3" w:history="1">
      <w:r w:rsidR="009C6DE5" w:rsidRPr="0033494C">
        <w:rPr>
          <w:rStyle w:val="Hyperlink"/>
          <w:sz w:val="22"/>
          <w:szCs w:val="22"/>
        </w:rPr>
        <w:t>stephen.cochrane@kent.gov.uk</w:t>
      </w:r>
    </w:hyperlink>
    <w:r w:rsidR="008D53C8">
      <w:rPr>
        <w:sz w:val="22"/>
        <w:szCs w:val="22"/>
      </w:rPr>
      <w:t>)</w:t>
    </w:r>
    <w:r w:rsidR="009C6DE5">
      <w:rPr>
        <w:sz w:val="22"/>
        <w:szCs w:val="22"/>
      </w:rPr>
      <w:t xml:space="preserve"> </w:t>
    </w:r>
  </w:p>
  <w:p w14:paraId="1DAF1F8D" w14:textId="1C0DA679" w:rsidR="00896CDF" w:rsidRPr="004837FE" w:rsidRDefault="00896CDF" w:rsidP="00896CDF">
    <w:pPr>
      <w:spacing w:before="0" w:after="0"/>
      <w:jc w:val="right"/>
      <w:rPr>
        <w:sz w:val="22"/>
        <w:szCs w:val="22"/>
      </w:rPr>
    </w:pPr>
    <w:r w:rsidRPr="004837FE">
      <w:rPr>
        <w:noProof/>
      </w:rPr>
      <w:drawing>
        <wp:anchor distT="0" distB="0" distL="114300" distR="114300" simplePos="0" relativeHeight="251658245" behindDoc="0" locked="0" layoutInCell="1" allowOverlap="1" wp14:anchorId="0E66108E" wp14:editId="5A8426EC">
          <wp:simplePos x="0" y="0"/>
          <wp:positionH relativeFrom="column">
            <wp:posOffset>83820</wp:posOffset>
          </wp:positionH>
          <wp:positionV relativeFrom="paragraph">
            <wp:posOffset>78740</wp:posOffset>
          </wp:positionV>
          <wp:extent cx="1097280" cy="714375"/>
          <wp:effectExtent l="0" t="0" r="7620" b="9525"/>
          <wp:wrapNone/>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52131" name="Picture 1704452131">
                    <a:extLst>
                      <a:ext uri="{C183D7F6-B498-43B3-948B-1728B52AA6E4}">
                        <adec:decorative xmlns:adec="http://schemas.microsoft.com/office/drawing/2017/decorative" val="1"/>
                      </a:ext>
                    </a:extLst>
                  </pic:cNvPr>
                  <pic:cNvPicPr/>
                </pic:nvPicPr>
                <pic:blipFill>
                  <a:blip r:embed="rId4" cstate="print">
                    <a:extLst>
                      <a:ext uri="{28A0092B-C50C-407E-A947-70E740481C1C}">
                        <a14:useLocalDpi xmlns:a14="http://schemas.microsoft.com/office/drawing/2010/main" val="0"/>
                      </a:ext>
                    </a:extLst>
                  </a:blip>
                  <a:stretch>
                    <a:fillRect/>
                  </a:stretch>
                </pic:blipFill>
                <pic:spPr>
                  <a:xfrm>
                    <a:off x="0" y="0"/>
                    <a:ext cx="1097280" cy="714375"/>
                  </a:xfrm>
                  <a:prstGeom prst="rect">
                    <a:avLst/>
                  </a:prstGeom>
                </pic:spPr>
              </pic:pic>
            </a:graphicData>
          </a:graphic>
          <wp14:sizeRelH relativeFrom="page">
            <wp14:pctWidth>0</wp14:pctWidth>
          </wp14:sizeRelH>
          <wp14:sizeRelV relativeFrom="page">
            <wp14:pctHeight>0</wp14:pctHeight>
          </wp14:sizeRelV>
        </wp:anchor>
      </w:drawing>
    </w:r>
    <w:r w:rsidR="008D53C8">
      <w:rPr>
        <w:sz w:val="22"/>
        <w:szCs w:val="22"/>
      </w:rPr>
      <w:t>Matthew Pateman</w:t>
    </w:r>
    <w:r w:rsidRPr="004837FE">
      <w:rPr>
        <w:sz w:val="22"/>
        <w:szCs w:val="22"/>
      </w:rPr>
      <w:t xml:space="preserve">: Senior </w:t>
    </w:r>
    <w:r>
      <w:rPr>
        <w:sz w:val="22"/>
        <w:szCs w:val="22"/>
      </w:rPr>
      <w:t xml:space="preserve">Intelligence </w:t>
    </w:r>
    <w:r w:rsidRPr="004837FE">
      <w:rPr>
        <w:sz w:val="22"/>
        <w:szCs w:val="22"/>
      </w:rPr>
      <w:t>Analyst (</w:t>
    </w:r>
    <w:hyperlink r:id="rId5" w:history="1">
      <w:r w:rsidR="008A7A39" w:rsidRPr="00E26FC9">
        <w:rPr>
          <w:rStyle w:val="Hyperlink"/>
          <w:sz w:val="22"/>
          <w:szCs w:val="22"/>
        </w:rPr>
        <w:t>matthew.pateman@kent.gov.uk</w:t>
      </w:r>
    </w:hyperlink>
    <w:r w:rsidRPr="004837FE">
      <w:rPr>
        <w:sz w:val="22"/>
        <w:szCs w:val="22"/>
      </w:rPr>
      <w:t>)</w:t>
    </w:r>
  </w:p>
  <w:p w14:paraId="39C40C3A" w14:textId="5BC7C068" w:rsidR="00896CDF" w:rsidRPr="00220D9E" w:rsidRDefault="00896CDF" w:rsidP="00896CDF">
    <w:pPr>
      <w:spacing w:before="0" w:after="0"/>
      <w:ind w:left="-567"/>
      <w:jc w:val="right"/>
      <w:rPr>
        <w:sz w:val="22"/>
        <w:szCs w:val="22"/>
      </w:rPr>
    </w:pPr>
    <w:r w:rsidRPr="00220D9E">
      <w:rPr>
        <w:sz w:val="22"/>
        <w:szCs w:val="22"/>
      </w:rPr>
      <w:t xml:space="preserve">Correspondence to: </w:t>
    </w:r>
    <w:r w:rsidR="008A7A39" w:rsidRPr="00220D9E">
      <w:rPr>
        <w:sz w:val="22"/>
        <w:szCs w:val="22"/>
      </w:rPr>
      <w:t>Stephen D Cochrane</w:t>
    </w:r>
    <w:r w:rsidRPr="00220D9E">
      <w:rPr>
        <w:sz w:val="22"/>
        <w:szCs w:val="22"/>
      </w:rPr>
      <w:t xml:space="preserve"> </w:t>
    </w:r>
  </w:p>
  <w:p w14:paraId="3115EFE7" w14:textId="77777777" w:rsidR="00896CDF" w:rsidRPr="004837FE" w:rsidRDefault="00896CDF" w:rsidP="00896CDF">
    <w:pPr>
      <w:spacing w:before="0" w:after="0"/>
      <w:ind w:left="-567"/>
      <w:jc w:val="right"/>
      <w:rPr>
        <w:sz w:val="22"/>
        <w:szCs w:val="22"/>
      </w:rPr>
    </w:pPr>
  </w:p>
  <w:p w14:paraId="31A13ACC" w14:textId="4D94B5EE" w:rsidR="00896CDF" w:rsidRPr="004837FE" w:rsidRDefault="00896CDF" w:rsidP="00896CDF">
    <w:pPr>
      <w:spacing w:before="0" w:after="0"/>
      <w:ind w:left="-567"/>
      <w:jc w:val="right"/>
      <w:rPr>
        <w:color w:val="2D7C82"/>
        <w:sz w:val="22"/>
        <w:szCs w:val="22"/>
      </w:rPr>
    </w:pPr>
    <w:r w:rsidRPr="004837FE">
      <w:rPr>
        <w:color w:val="2D7C82"/>
        <w:sz w:val="22"/>
        <w:szCs w:val="22"/>
      </w:rPr>
      <w:t>Version</w:t>
    </w:r>
    <w:r w:rsidR="00406B28">
      <w:rPr>
        <w:color w:val="2D7C82"/>
        <w:sz w:val="22"/>
        <w:szCs w:val="22"/>
      </w:rPr>
      <w:t xml:space="preserve"> 10</w:t>
    </w:r>
  </w:p>
  <w:p w14:paraId="115981B3" w14:textId="3625921B" w:rsidR="00896CDF" w:rsidRPr="004837FE" w:rsidRDefault="00896CDF" w:rsidP="00896CDF">
    <w:pPr>
      <w:spacing w:before="0" w:after="0"/>
      <w:ind w:left="-567"/>
      <w:jc w:val="right"/>
      <w:rPr>
        <w:color w:val="2D7C82"/>
        <w:sz w:val="22"/>
        <w:szCs w:val="22"/>
      </w:rPr>
    </w:pPr>
    <w:r w:rsidRPr="004837FE">
      <w:rPr>
        <w:color w:val="2D7C82"/>
        <w:sz w:val="22"/>
        <w:szCs w:val="22"/>
      </w:rPr>
      <w:t xml:space="preserve">Last Updated: </w:t>
    </w:r>
    <w:r w:rsidR="00F2285D">
      <w:rPr>
        <w:color w:val="2D7C82"/>
        <w:sz w:val="22"/>
        <w:szCs w:val="22"/>
      </w:rPr>
      <w:t>12</w:t>
    </w:r>
    <w:r w:rsidR="00F2285D" w:rsidRPr="00F2285D">
      <w:rPr>
        <w:color w:val="2D7C82"/>
        <w:sz w:val="22"/>
        <w:szCs w:val="22"/>
        <w:vertAlign w:val="superscript"/>
      </w:rPr>
      <w:t>th</w:t>
    </w:r>
    <w:r w:rsidR="00F2285D">
      <w:rPr>
        <w:color w:val="2D7C82"/>
        <w:sz w:val="22"/>
        <w:szCs w:val="22"/>
      </w:rPr>
      <w:t xml:space="preserve"> May</w:t>
    </w:r>
    <w:r w:rsidR="00281943">
      <w:rPr>
        <w:color w:val="2D7C82"/>
        <w:sz w:val="22"/>
        <w:szCs w:val="22"/>
      </w:rPr>
      <w:t xml:space="preserve"> 2023</w:t>
    </w:r>
  </w:p>
  <w:p w14:paraId="31D15E7C" w14:textId="77777777" w:rsidR="00896CDF" w:rsidRDefault="00896C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34E507" w14:textId="77777777" w:rsidR="000A0D06" w:rsidRDefault="000A0D06" w:rsidP="00CE57B9">
      <w:pPr>
        <w:spacing w:after="0" w:line="240" w:lineRule="auto"/>
      </w:pPr>
      <w:r>
        <w:separator/>
      </w:r>
    </w:p>
  </w:footnote>
  <w:footnote w:type="continuationSeparator" w:id="0">
    <w:p w14:paraId="16E4DC47" w14:textId="77777777" w:rsidR="000A0D06" w:rsidRDefault="000A0D06" w:rsidP="00CE57B9">
      <w:pPr>
        <w:spacing w:after="0" w:line="240" w:lineRule="auto"/>
      </w:pPr>
      <w:r>
        <w:continuationSeparator/>
      </w:r>
    </w:p>
  </w:footnote>
  <w:footnote w:type="continuationNotice" w:id="1">
    <w:p w14:paraId="7D874083" w14:textId="77777777" w:rsidR="000A0D06" w:rsidRDefault="000A0D0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0"/>
      <w:gridCol w:w="3240"/>
      <w:gridCol w:w="3240"/>
    </w:tblGrid>
    <w:tr w:rsidR="550B07DD" w14:paraId="6AC18963" w14:textId="77777777" w:rsidTr="550B07DD">
      <w:trPr>
        <w:trHeight w:val="300"/>
      </w:trPr>
      <w:tc>
        <w:tcPr>
          <w:tcW w:w="3240" w:type="dxa"/>
        </w:tcPr>
        <w:p w14:paraId="2D7F6431" w14:textId="6CDFC156" w:rsidR="550B07DD" w:rsidRDefault="550B07DD" w:rsidP="550B07DD">
          <w:pPr>
            <w:pStyle w:val="Header"/>
            <w:ind w:left="-115"/>
          </w:pPr>
        </w:p>
      </w:tc>
      <w:tc>
        <w:tcPr>
          <w:tcW w:w="3240" w:type="dxa"/>
        </w:tcPr>
        <w:p w14:paraId="149457B2" w14:textId="5405DAC0" w:rsidR="550B07DD" w:rsidRDefault="550B07DD" w:rsidP="550B07DD">
          <w:pPr>
            <w:pStyle w:val="Header"/>
            <w:jc w:val="center"/>
          </w:pPr>
        </w:p>
      </w:tc>
      <w:tc>
        <w:tcPr>
          <w:tcW w:w="3240" w:type="dxa"/>
        </w:tcPr>
        <w:p w14:paraId="3446C593" w14:textId="4B1043AD" w:rsidR="550B07DD" w:rsidRDefault="550B07DD" w:rsidP="550B07DD">
          <w:pPr>
            <w:pStyle w:val="Header"/>
            <w:ind w:right="-115"/>
            <w:jc w:val="right"/>
          </w:pPr>
        </w:p>
      </w:tc>
    </w:tr>
  </w:tbl>
  <w:p w14:paraId="72A656D8" w14:textId="3CA8DE38" w:rsidR="550B07DD" w:rsidRDefault="550B07DD" w:rsidP="550B07D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4A285" w14:textId="77777777" w:rsidR="00D73D33" w:rsidRDefault="00A72405">
    <w:pPr>
      <w:pStyle w:val="Header"/>
    </w:pPr>
    <w:r>
      <w:rPr>
        <w:b/>
        <w:noProof/>
        <w:color w:val="2D7C82"/>
        <w:sz w:val="36"/>
        <w:szCs w:val="36"/>
      </w:rPr>
      <w:drawing>
        <wp:anchor distT="0" distB="0" distL="114300" distR="114300" simplePos="0" relativeHeight="251658241" behindDoc="1" locked="0" layoutInCell="1" allowOverlap="1" wp14:anchorId="175AF78A" wp14:editId="655974CB">
          <wp:simplePos x="0" y="0"/>
          <wp:positionH relativeFrom="column">
            <wp:posOffset>4610100</wp:posOffset>
          </wp:positionH>
          <wp:positionV relativeFrom="paragraph">
            <wp:posOffset>-20955</wp:posOffset>
          </wp:positionV>
          <wp:extent cx="1516380" cy="365236"/>
          <wp:effectExtent l="0" t="0" r="7620" b="0"/>
          <wp:wrapNone/>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52129" name="Picture 1704452129">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16380" cy="365236"/>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0"/>
      <w:gridCol w:w="3240"/>
      <w:gridCol w:w="3240"/>
    </w:tblGrid>
    <w:tr w:rsidR="550B07DD" w14:paraId="4B41D1B1" w14:textId="77777777" w:rsidTr="550B07DD">
      <w:trPr>
        <w:trHeight w:val="300"/>
      </w:trPr>
      <w:tc>
        <w:tcPr>
          <w:tcW w:w="3240" w:type="dxa"/>
        </w:tcPr>
        <w:p w14:paraId="2BCEE261" w14:textId="7FEEBE3E" w:rsidR="550B07DD" w:rsidRDefault="550B07DD" w:rsidP="550B07DD">
          <w:pPr>
            <w:pStyle w:val="Header"/>
            <w:ind w:left="-115"/>
          </w:pPr>
        </w:p>
      </w:tc>
      <w:tc>
        <w:tcPr>
          <w:tcW w:w="3240" w:type="dxa"/>
        </w:tcPr>
        <w:p w14:paraId="035A85E2" w14:textId="6964BACC" w:rsidR="550B07DD" w:rsidRDefault="550B07DD" w:rsidP="550B07DD">
          <w:pPr>
            <w:pStyle w:val="Header"/>
            <w:jc w:val="center"/>
          </w:pPr>
        </w:p>
      </w:tc>
      <w:tc>
        <w:tcPr>
          <w:tcW w:w="3240" w:type="dxa"/>
        </w:tcPr>
        <w:p w14:paraId="4791D442" w14:textId="483F0603" w:rsidR="550B07DD" w:rsidRDefault="550B07DD" w:rsidP="550B07DD">
          <w:pPr>
            <w:pStyle w:val="Header"/>
            <w:ind w:right="-115"/>
            <w:jc w:val="right"/>
          </w:pPr>
        </w:p>
      </w:tc>
    </w:tr>
  </w:tbl>
  <w:p w14:paraId="5CD38F22" w14:textId="04C1B1BC" w:rsidR="550B07DD" w:rsidRDefault="550B07DD" w:rsidP="550B07D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550B07DD" w14:paraId="4E176833" w14:textId="77777777" w:rsidTr="550B07DD">
      <w:trPr>
        <w:trHeight w:val="300"/>
      </w:trPr>
      <w:tc>
        <w:tcPr>
          <w:tcW w:w="3005" w:type="dxa"/>
        </w:tcPr>
        <w:p w14:paraId="03B244FE" w14:textId="687F2E4B" w:rsidR="550B07DD" w:rsidRDefault="550B07DD" w:rsidP="550B07DD">
          <w:pPr>
            <w:pStyle w:val="Header"/>
            <w:ind w:left="-115"/>
          </w:pPr>
        </w:p>
      </w:tc>
      <w:tc>
        <w:tcPr>
          <w:tcW w:w="3005" w:type="dxa"/>
        </w:tcPr>
        <w:p w14:paraId="6993BA03" w14:textId="6770B31D" w:rsidR="550B07DD" w:rsidRDefault="550B07DD" w:rsidP="550B07DD">
          <w:pPr>
            <w:pStyle w:val="Header"/>
            <w:jc w:val="center"/>
          </w:pPr>
        </w:p>
      </w:tc>
      <w:tc>
        <w:tcPr>
          <w:tcW w:w="3005" w:type="dxa"/>
        </w:tcPr>
        <w:p w14:paraId="3017D58E" w14:textId="3613C330" w:rsidR="550B07DD" w:rsidRDefault="550B07DD" w:rsidP="550B07DD">
          <w:pPr>
            <w:pStyle w:val="Header"/>
            <w:ind w:right="-115"/>
            <w:jc w:val="right"/>
          </w:pPr>
        </w:p>
      </w:tc>
    </w:tr>
  </w:tbl>
  <w:p w14:paraId="0EBB3C6F" w14:textId="65CE46C9" w:rsidR="550B07DD" w:rsidRDefault="550B07DD" w:rsidP="550B07D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550B07DD" w14:paraId="08465888" w14:textId="77777777" w:rsidTr="550B07DD">
      <w:trPr>
        <w:trHeight w:val="300"/>
      </w:trPr>
      <w:tc>
        <w:tcPr>
          <w:tcW w:w="3005" w:type="dxa"/>
        </w:tcPr>
        <w:p w14:paraId="1ABC9DA7" w14:textId="456876AF" w:rsidR="550B07DD" w:rsidRDefault="550B07DD" w:rsidP="550B07DD">
          <w:pPr>
            <w:pStyle w:val="Header"/>
            <w:ind w:left="-115"/>
          </w:pPr>
        </w:p>
      </w:tc>
      <w:tc>
        <w:tcPr>
          <w:tcW w:w="3005" w:type="dxa"/>
        </w:tcPr>
        <w:p w14:paraId="3FE9ED3B" w14:textId="46EB143C" w:rsidR="550B07DD" w:rsidRDefault="550B07DD" w:rsidP="550B07DD">
          <w:pPr>
            <w:pStyle w:val="Header"/>
            <w:jc w:val="center"/>
          </w:pPr>
        </w:p>
      </w:tc>
      <w:tc>
        <w:tcPr>
          <w:tcW w:w="3005" w:type="dxa"/>
        </w:tcPr>
        <w:p w14:paraId="1E76C962" w14:textId="41972070" w:rsidR="550B07DD" w:rsidRDefault="550B07DD" w:rsidP="550B07DD">
          <w:pPr>
            <w:pStyle w:val="Header"/>
            <w:ind w:right="-115"/>
            <w:jc w:val="right"/>
          </w:pPr>
        </w:p>
      </w:tc>
    </w:tr>
  </w:tbl>
  <w:p w14:paraId="34320628" w14:textId="643E3A63" w:rsidR="550B07DD" w:rsidRDefault="550B07DD" w:rsidP="550B07DD">
    <w:pPr>
      <w:pStyle w:val="Header"/>
    </w:pPr>
  </w:p>
</w:hdr>
</file>

<file path=word/intelligence2.xml><?xml version="1.0" encoding="utf-8"?>
<int2:intelligence xmlns:int2="http://schemas.microsoft.com/office/intelligence/2020/intelligence" xmlns:oel="http://schemas.microsoft.com/office/2019/extlst">
  <int2:observations>
    <int2:textHash int2:hashCode="2YgzHDriTJFPDH" int2:id="LNEY8baS">
      <int2:state int2:value="Rejected" int2:type="LegacyProofing"/>
    </int2:textHash>
    <int2:textHash int2:hashCode="6dwgl3tiq9LfDe" int2:id="fZf0ufbP">
      <int2:state int2:value="Rejected" int2:type="LegacyProofing"/>
    </int2:textHash>
    <int2:bookmark int2:bookmarkName="_Int_vdH9h92v" int2:invalidationBookmarkName="" int2:hashCode="k3yK8wIR8WQS8U" int2:id="0OROiX6G">
      <int2:state int2:value="Rejected" int2:type="AugLoop_Text_Critique"/>
    </int2:bookmark>
    <int2:bookmark int2:bookmarkName="_Int_QZiTdZV8" int2:invalidationBookmarkName="" int2:hashCode="d94pPR44Oqqgcz" int2:id="0egjo4Aw">
      <int2:state int2:value="Rejected" int2:type="AugLoop_Text_Critique"/>
    </int2:bookmark>
    <int2:bookmark int2:bookmarkName="_Int_BcFDMsUw" int2:invalidationBookmarkName="" int2:hashCode="E1+Tt6RJBbZOzq" int2:id="0oDhalqL">
      <int2:state int2:value="Rejected" int2:type="AugLoop_Text_Critique"/>
    </int2:bookmark>
    <int2:bookmark int2:bookmarkName="_Int_repOugBi" int2:invalidationBookmarkName="" int2:hashCode="yCmdn+c4VcOFwg" int2:id="0qWuvP0o">
      <int2:state int2:value="Rejected" int2:type="AugLoop_Acronyms_AcronymsCritique"/>
    </int2:bookmark>
    <int2:bookmark int2:bookmarkName="_Int_x633NE9h" int2:invalidationBookmarkName="" int2:hashCode="hpRpKA/KTrYn3a" int2:id="2W43CEpj">
      <int2:state int2:value="Rejected" int2:type="LegacyProofing"/>
    </int2:bookmark>
    <int2:bookmark int2:bookmarkName="_Int_FMyUMIdI" int2:invalidationBookmarkName="" int2:hashCode="oyLwMkLJ2jzxMg" int2:id="2pVisIjn">
      <int2:state int2:value="Rejected" int2:type="AugLoop_Acronyms_AcronymsCritique"/>
    </int2:bookmark>
    <int2:bookmark int2:bookmarkName="_Int_96RH50Ca" int2:invalidationBookmarkName="" int2:hashCode="CjSPyNsWrGCPOX" int2:id="3WwaSZy2">
      <int2:state int2:value="Rejected" int2:type="AugLoop_Acronyms_AcronymsCritique"/>
    </int2:bookmark>
    <int2:bookmark int2:bookmarkName="_Int_RbZTTCMp" int2:invalidationBookmarkName="" int2:hashCode="x5mMkSJC9U4Xip" int2:id="3ex6fI41">
      <int2:state int2:value="Rejected" int2:type="LegacyProofing"/>
    </int2:bookmark>
    <int2:bookmark int2:bookmarkName="_Int_lUxF7fi9" int2:invalidationBookmarkName="" int2:hashCode="E1+Tt6RJBbZOzq" int2:id="3ojNZj5P">
      <int2:state int2:value="Rejected" int2:type="AugLoop_Text_Critique"/>
    </int2:bookmark>
    <int2:bookmark int2:bookmarkName="_Int_kRzN9w13" int2:invalidationBookmarkName="" int2:hashCode="T/CxU4RpM4oAc+" int2:id="64H3T0a1">
      <int2:state int2:value="Rejected" int2:type="LegacyProofing"/>
    </int2:bookmark>
    <int2:bookmark int2:bookmarkName="_Int_UzoB1YrM" int2:invalidationBookmarkName="" int2:hashCode="Op4TagTdRKJxe1" int2:id="6gaKAHuN">
      <int2:state int2:value="Rejected" int2:type="AugLoop_Acronyms_AcronymsCritique"/>
    </int2:bookmark>
    <int2:bookmark int2:bookmarkName="_Int_R3mY2CQy" int2:invalidationBookmarkName="" int2:hashCode="qn+Ox0cVLCT1/d" int2:id="7gfqe89P">
      <int2:state int2:value="Rejected" int2:type="AugLoop_Acronyms_AcronymsCritique"/>
    </int2:bookmark>
    <int2:bookmark int2:bookmarkName="_Int_uAWab6Fy" int2:invalidationBookmarkName="" int2:hashCode="7qFE7m6QGK7EfC" int2:id="8L951IPR">
      <int2:state int2:value="Rejected" int2:type="AugLoop_Text_Critique"/>
    </int2:bookmark>
    <int2:bookmark int2:bookmarkName="_Int_xagGdods" int2:invalidationBookmarkName="" int2:hashCode="RinA0zVZYroYI1" int2:id="8tWRulJr">
      <int2:state int2:value="Rejected" int2:type="AugLoop_Text_Critique"/>
    </int2:bookmark>
    <int2:bookmark int2:bookmarkName="_Int_UncKPFWn" int2:invalidationBookmarkName="" int2:hashCode="SWtBW/s217hSWe" int2:id="9iPeVT1Z">
      <int2:state int2:value="Rejected" int2:type="AugLoop_Text_Critique"/>
    </int2:bookmark>
    <int2:bookmark int2:bookmarkName="_Int_F1Wj4sHl" int2:invalidationBookmarkName="" int2:hashCode="w0WyBZ9Cra0WYO" int2:id="AE6haGhz">
      <int2:state int2:value="Rejected" int2:type="AugLoop_Acronyms_AcronymsCritique"/>
    </int2:bookmark>
    <int2:bookmark int2:bookmarkName="_Int_GeXiIkQP" int2:invalidationBookmarkName="" int2:hashCode="d94pPR44Oqqgcz" int2:id="AP4LsPsy">
      <int2:state int2:value="Rejected" int2:type="AugLoop_Text_Critique"/>
    </int2:bookmark>
    <int2:bookmark int2:bookmarkName="_Int_9VWWqcWz" int2:invalidationBookmarkName="" int2:hashCode="E1+Tt6RJBbZOzq" int2:id="AfdT50Tf">
      <int2:state int2:value="Rejected" int2:type="AugLoop_Text_Critique"/>
    </int2:bookmark>
    <int2:bookmark int2:bookmarkName="_Int_SZgtfk5Z" int2:invalidationBookmarkName="" int2:hashCode="+uao257/a8i31l" int2:id="AlygCAjN">
      <int2:state int2:value="Rejected" int2:type="AugLoop_Acronyms_AcronymsCritique"/>
    </int2:bookmark>
    <int2:bookmark int2:bookmarkName="_Int_S8Z7jitv" int2:invalidationBookmarkName="" int2:hashCode="hpRpKA/KTrYn3a" int2:id="B1Nlr48t">
      <int2:state int2:value="Rejected" int2:type="LegacyProofing"/>
    </int2:bookmark>
    <int2:bookmark int2:bookmarkName="_Int_AwRzFIfw" int2:invalidationBookmarkName="" int2:hashCode="E1+Tt6RJBbZOzq" int2:id="B2W7dcG2">
      <int2:state int2:value="Rejected" int2:type="AugLoop_Text_Critique"/>
    </int2:bookmark>
    <int2:bookmark int2:bookmarkName="_Int_YJdnvzIz" int2:invalidationBookmarkName="" int2:hashCode="hr5FfhDAKlgy6+" int2:id="BHupeidx">
      <int2:state int2:value="Rejected" int2:type="AugLoop_Acronyms_AcronymsCritique"/>
    </int2:bookmark>
    <int2:bookmark int2:bookmarkName="_Int_yAbCSqzJ" int2:invalidationBookmarkName="" int2:hashCode="k3yK8wIR8WQS8U" int2:id="BqRahkAh">
      <int2:state int2:value="Rejected" int2:type="AugLoop_Text_Critique"/>
    </int2:bookmark>
    <int2:bookmark int2:bookmarkName="_Int_6HvBQMin" int2:invalidationBookmarkName="" int2:hashCode="wfRPA4+Ui4/OZG" int2:id="BthMOs1m">
      <int2:state int2:value="Rejected" int2:type="AugLoop_Text_Critique"/>
    </int2:bookmark>
    <int2:bookmark int2:bookmarkName="_Int_IhwGT0RO" int2:invalidationBookmarkName="" int2:hashCode="rjS/y9qIB9j3Ru" int2:id="COREba5B">
      <int2:state int2:value="Rejected" int2:type="AugLoop_Text_Critique"/>
    </int2:bookmark>
    <int2:bookmark int2:bookmarkName="_Int_LzWpLOgD" int2:invalidationBookmarkName="" int2:hashCode="KXDtCY557M+B8N" int2:id="Cgi1Vb0d">
      <int2:state int2:value="Rejected" int2:type="AugLoop_Text_Critique"/>
    </int2:bookmark>
    <int2:bookmark int2:bookmarkName="_Int_m9Ot5wd8" int2:invalidationBookmarkName="" int2:hashCode="vqB/n/qn7QxAVn" int2:id="Cyp3HOcg">
      <int2:state int2:value="Rejected" int2:type="AugLoop_Acronyms_AcronymsCritique"/>
    </int2:bookmark>
    <int2:bookmark int2:bookmarkName="_Int_ZYcrWXWc" int2:invalidationBookmarkName="" int2:hashCode="rjS/y9qIB9j3Ru" int2:id="D6u6Vl4t">
      <int2:state int2:value="Rejected" int2:type="AugLoop_Text_Critique"/>
    </int2:bookmark>
    <int2:bookmark int2:bookmarkName="_Int_GPa9KVIt" int2:invalidationBookmarkName="" int2:hashCode="GnTIfLPgNPVgAa" int2:id="DJ2J9UTX">
      <int2:state int2:value="Rejected" int2:type="AugLoop_Acronyms_AcronymsCritique"/>
    </int2:bookmark>
    <int2:bookmark int2:bookmarkName="_Int_F9TmKNi0" int2:invalidationBookmarkName="" int2:hashCode="J+Af/UCRCe+EVR" int2:id="DNMIOwm0">
      <int2:state int2:value="Rejected" int2:type="AugLoop_Acronyms_AcronymsCritique"/>
    </int2:bookmark>
    <int2:bookmark int2:bookmarkName="_Int_F59M3kv7" int2:invalidationBookmarkName="" int2:hashCode="D+rg2KZfYIP58v" int2:id="Dcaickxh">
      <int2:state int2:value="Rejected" int2:type="AugLoop_Text_Critique"/>
    </int2:bookmark>
    <int2:bookmark int2:bookmarkName="_Int_5OAtrxPG" int2:invalidationBookmarkName="" int2:hashCode="ayAlRNPSJlAZRF" int2:id="DmVruG52">
      <int2:state int2:value="Rejected" int2:type="LegacyProofing"/>
    </int2:bookmark>
    <int2:bookmark int2:bookmarkName="_Int_dTybIVkR" int2:invalidationBookmarkName="" int2:hashCode="WDoZEGdjmavgVK" int2:id="EJ1KW7Bp">
      <int2:state int2:value="Rejected" int2:type="AugLoop_Acronyms_AcronymsCritique"/>
    </int2:bookmark>
    <int2:bookmark int2:bookmarkName="_Int_vOcetv0p" int2:invalidationBookmarkName="" int2:hashCode="1gOsdO2AYZXu+M" int2:id="EUiTUmYI">
      <int2:state int2:value="Rejected" int2:type="AugLoop_Text_Critique"/>
    </int2:bookmark>
    <int2:bookmark int2:bookmarkName="_Int_wNACQa0B" int2:invalidationBookmarkName="" int2:hashCode="TqTnPNV8UxxdS6" int2:id="EjW96KWw">
      <int2:state int2:value="Rejected" int2:type="AugLoop_Acronyms_AcronymsCritique"/>
    </int2:bookmark>
    <int2:bookmark int2:bookmarkName="_Int_liZ0BZ7a" int2:invalidationBookmarkName="" int2:hashCode="79R0tNysSCBHcP" int2:id="EoVlFd8l">
      <int2:state int2:value="Rejected" int2:type="AugLoop_Text_Critique"/>
    </int2:bookmark>
    <int2:bookmark int2:bookmarkName="_Int_VwRzYbI4" int2:invalidationBookmarkName="" int2:hashCode="tH82PitDDAZH8U" int2:id="GReoCWYK">
      <int2:state int2:value="Rejected" int2:type="LegacyProofing"/>
    </int2:bookmark>
    <int2:bookmark int2:bookmarkName="_Int_0N13wgqK" int2:invalidationBookmarkName="" int2:hashCode="E1+Tt6RJBbZOzq" int2:id="GhXYG3UC">
      <int2:state int2:value="Rejected" int2:type="AugLoop_Text_Critique"/>
    </int2:bookmark>
    <int2:bookmark int2:bookmarkName="_Int_2iLnC0z8" int2:invalidationBookmarkName="" int2:hashCode="5pTAVjewiWSspq" int2:id="IGclj4zk">
      <int2:state int2:value="Rejected" int2:type="AugLoop_Text_Critique"/>
    </int2:bookmark>
    <int2:bookmark int2:bookmarkName="_Int_HU8DT40E" int2:invalidationBookmarkName="" int2:hashCode="DlrYYPP/9L0J96" int2:id="IMgzS6bS">
      <int2:state int2:value="Rejected" int2:type="AugLoop_Text_Critique"/>
    </int2:bookmark>
    <int2:bookmark int2:bookmarkName="_Int_HhTp3TPU" int2:invalidationBookmarkName="" int2:hashCode="YsXK4h3SxORX+l" int2:id="IfyyXA2p">
      <int2:state int2:value="Rejected" int2:type="AugLoop_Text_Critique"/>
    </int2:bookmark>
    <int2:bookmark int2:bookmarkName="_Int_RamNlUJw" int2:invalidationBookmarkName="" int2:hashCode="D+rg2KZfYIP58v" int2:id="IueTvTnT">
      <int2:state int2:value="Rejected" int2:type="AugLoop_Text_Critique"/>
    </int2:bookmark>
    <int2:bookmark int2:bookmarkName="_Int_FRKcbey6" int2:invalidationBookmarkName="" int2:hashCode="w3NHUa6WO7p9e5" int2:id="IyFIP0P0">
      <int2:state int2:value="Rejected" int2:type="LegacyProofing"/>
    </int2:bookmark>
    <int2:bookmark int2:bookmarkName="_Int_zVOWkkf2" int2:invalidationBookmarkName="" int2:hashCode="S43bSr1fK/4vkP" int2:id="IyQVG3Bd">
      <int2:state int2:value="Rejected" int2:type="AugLoop_Text_Critique"/>
    </int2:bookmark>
    <int2:bookmark int2:bookmarkName="_Int_O9fP5EKr" int2:invalidationBookmarkName="" int2:hashCode="E1+Tt6RJBbZOzq" int2:id="JeKl1WQe">
      <int2:state int2:value="Rejected" int2:type="AugLoop_Text_Critique"/>
    </int2:bookmark>
    <int2:bookmark int2:bookmarkName="_Int_HwuLNlhm" int2:invalidationBookmarkName="" int2:hashCode="mvcqs8GtnNGZci" int2:id="JyXN2vb7">
      <int2:state int2:value="Rejected" int2:type="LegacyProofing"/>
    </int2:bookmark>
    <int2:bookmark int2:bookmarkName="_Int_gmjT0vrd" int2:invalidationBookmarkName="" int2:hashCode="9vOfv2eNTAPKcv" int2:id="KxuY0lfF">
      <int2:state int2:value="Rejected" int2:type="LegacyProofing"/>
    </int2:bookmark>
    <int2:bookmark int2:bookmarkName="_Int_mKhIIVFr" int2:invalidationBookmarkName="" int2:hashCode="7AQLsnzog+8R+K" int2:id="LNbCABu3">
      <int2:state int2:value="Rejected" int2:type="AugLoop_Text_Critique"/>
    </int2:bookmark>
    <int2:bookmark int2:bookmarkName="_Int_6PL4JVxr" int2:invalidationBookmarkName="" int2:hashCode="2Z2g9/EsLZvEJ6" int2:id="Lj0M5YmA">
      <int2:state int2:value="Rejected" int2:type="AugLoop_Acronyms_AcronymsCritique"/>
    </int2:bookmark>
    <int2:bookmark int2:bookmarkName="_Int_X8Dqul0s" int2:invalidationBookmarkName="" int2:hashCode="LgwZLb0wIroM1J" int2:id="MM6VsNjl">
      <int2:state int2:value="Rejected" int2:type="AugLoop_Text_Critique"/>
    </int2:bookmark>
    <int2:bookmark int2:bookmarkName="_Int_n8Awovfn" int2:invalidationBookmarkName="" int2:hashCode="GBaG0FN/qIiKeX" int2:id="MNxxyMV9">
      <int2:state int2:value="Rejected" int2:type="AugLoop_Text_Critique"/>
    </int2:bookmark>
    <int2:bookmark int2:bookmarkName="_Int_bhtzfCW4" int2:invalidationBookmarkName="" int2:hashCode="yX27mG46mw5/J2" int2:id="MoFubERo">
      <int2:state int2:value="Rejected" int2:type="AugLoop_Text_Critique"/>
    </int2:bookmark>
    <int2:bookmark int2:bookmarkName="_Int_FYRlySJQ" int2:invalidationBookmarkName="" int2:hashCode="y3Pk0f8aMHZSsp" int2:id="NUJplqU5">
      <int2:state int2:value="Rejected" int2:type="AugLoop_Text_Critique"/>
    </int2:bookmark>
    <int2:bookmark int2:bookmarkName="_Int_J1m5bcUE" int2:invalidationBookmarkName="" int2:hashCode="VRd/LyDcPFdCnc" int2:id="NmhI5SyA">
      <int2:state int2:value="Rejected" int2:type="AugLoop_Text_Critique"/>
    </int2:bookmark>
    <int2:bookmark int2:bookmarkName="_Int_IXZepWPm" int2:invalidationBookmarkName="" int2:hashCode="E1+Tt6RJBbZOzq" int2:id="OBtWrPtm">
      <int2:state int2:value="Rejected" int2:type="AugLoop_Text_Critique"/>
    </int2:bookmark>
    <int2:bookmark int2:bookmarkName="_Int_Hjbf2YAg" int2:invalidationBookmarkName="" int2:hashCode="Y0BYLIyoWLtLM0" int2:id="OzWzVJ3x">
      <int2:state int2:value="Rejected" int2:type="AugLoop_Text_Critique"/>
    </int2:bookmark>
    <int2:bookmark int2:bookmarkName="_Int_r8J2ugoS" int2:invalidationBookmarkName="" int2:hashCode="6TelFD85nQLHKY" int2:id="PD4CC8gJ">
      <int2:state int2:value="Rejected" int2:type="AugLoop_Acronyms_AcronymsCritique"/>
    </int2:bookmark>
    <int2:bookmark int2:bookmarkName="_Int_sXV8xOOp" int2:invalidationBookmarkName="" int2:hashCode="vdCqqsCC5Cu8OB" int2:id="PMtkKKGV">
      <int2:state int2:value="Rejected" int2:type="AugLoop_Text_Critique"/>
    </int2:bookmark>
    <int2:bookmark int2:bookmarkName="_Int_mrkWPOl6" int2:invalidationBookmarkName="" int2:hashCode="6RFCCOesbcqz+K" int2:id="PZqkC4G0">
      <int2:state int2:value="Rejected" int2:type="AugLoop_Text_Critique"/>
    </int2:bookmark>
    <int2:bookmark int2:bookmarkName="_Int_bYGcBiYN" int2:invalidationBookmarkName="" int2:hashCode="E1+Tt6RJBbZOzq" int2:id="QG0oUVjv">
      <int2:state int2:value="Rejected" int2:type="AugLoop_Text_Critique"/>
    </int2:bookmark>
    <int2:bookmark int2:bookmarkName="_Int_qyvelS6g" int2:invalidationBookmarkName="" int2:hashCode="ZDIJgfsGhdbKgU" int2:id="QJ6jROG8">
      <int2:state int2:value="Rejected" int2:type="AugLoop_Acronyms_AcronymsCritique"/>
    </int2:bookmark>
    <int2:bookmark int2:bookmarkName="_Int_NALhl7pb" int2:invalidationBookmarkName="" int2:hashCode="Mtpn3UCpPGKmiy" int2:id="QORpRU4L">
      <int2:state int2:value="Rejected" int2:type="AugLoop_Acronyms_AcronymsCritique"/>
    </int2:bookmark>
    <int2:bookmark int2:bookmarkName="_Int_bEl8Wh6K" int2:invalidationBookmarkName="" int2:hashCode="pSPN0P6bHJ52Wr" int2:id="QmRUxXqx">
      <int2:state int2:value="Rejected" int2:type="LegacyProofing"/>
    </int2:bookmark>
    <int2:bookmark int2:bookmarkName="_Int_QiIwJk21" int2:invalidationBookmarkName="" int2:hashCode="4vLt9mKa6pPlIn" int2:id="QxcfDUPO">
      <int2:state int2:value="Rejected" int2:type="LegacyProofing"/>
    </int2:bookmark>
    <int2:bookmark int2:bookmarkName="_Int_ERxbcopy" int2:invalidationBookmarkName="" int2:hashCode="E1+Tt6RJBbZOzq" int2:id="RcJ5UKKg">
      <int2:state int2:value="Rejected" int2:type="AugLoop_Text_Critique"/>
    </int2:bookmark>
    <int2:bookmark int2:bookmarkName="_Int_KLzHz39U" int2:invalidationBookmarkName="" int2:hashCode="EXFQ4ERKg3ZlfU" int2:id="RmEtjzTT">
      <int2:state int2:value="Rejected" int2:type="AugLoop_Acronyms_AcronymsCritique"/>
    </int2:bookmark>
    <int2:bookmark int2:bookmarkName="_Int_XYCQ56n6" int2:invalidationBookmarkName="" int2:hashCode="E1+Tt6RJBbZOzq" int2:id="SocRknE4">
      <int2:state int2:value="Rejected" int2:type="AugLoop_Text_Critique"/>
    </int2:bookmark>
    <int2:bookmark int2:bookmarkName="_Int_zsrFODYT" int2:invalidationBookmarkName="" int2:hashCode="V9CnXcV+ZGgRNM" int2:id="TEQm9mDd">
      <int2:state int2:value="Rejected" int2:type="AugLoop_Text_Critique"/>
    </int2:bookmark>
    <int2:bookmark int2:bookmarkName="_Int_tquZY9Rb" int2:invalidationBookmarkName="" int2:hashCode="EXFQ4ERKg3ZlfU" int2:id="TkpN3YA1">
      <int2:state int2:value="Rejected" int2:type="AugLoop_Acronyms_AcronymsCritique"/>
    </int2:bookmark>
    <int2:bookmark int2:bookmarkName="_Int_DECooYOF" int2:invalidationBookmarkName="" int2:hashCode="PCZ+3FRmnswGEZ" int2:id="TlpyvaA3">
      <int2:state int2:value="Rejected" int2:type="AugLoop_Text_Critique"/>
    </int2:bookmark>
    <int2:bookmark int2:bookmarkName="_Int_ZHnTepsh" int2:invalidationBookmarkName="" int2:hashCode="oARrc/1biLYbaG" int2:id="Tq81Wuos">
      <int2:state int2:value="Rejected" int2:type="AugLoop_Acronyms_AcronymsCritique"/>
    </int2:bookmark>
    <int2:bookmark int2:bookmarkName="_Int_rGoD7oR3" int2:invalidationBookmarkName="" int2:hashCode="mjAJGtw13XqrxI" int2:id="UFIej0em">
      <int2:state int2:value="Rejected" int2:type="AugLoop_Text_Critique"/>
    </int2:bookmark>
    <int2:bookmark int2:bookmarkName="_Int_loUZL2SH" int2:invalidationBookmarkName="" int2:hashCode="E1+Tt6RJBbZOzq" int2:id="UJOQBv6b">
      <int2:state int2:value="Rejected" int2:type="AugLoop_Text_Critique"/>
    </int2:bookmark>
    <int2:bookmark int2:bookmarkName="_Int_jnHhNH1A" int2:invalidationBookmarkName="" int2:hashCode="rAlCeDlbq5PVYf" int2:id="VoKfV62h">
      <int2:state int2:value="Rejected" int2:type="AugLoop_Text_Critique"/>
    </int2:bookmark>
    <int2:bookmark int2:bookmarkName="_Int_kJJXQqPJ" int2:invalidationBookmarkName="" int2:hashCode="d94pPR44Oqqgcz" int2:id="WYBJirNk">
      <int2:state int2:value="Rejected" int2:type="AugLoop_Text_Critique"/>
    </int2:bookmark>
    <int2:bookmark int2:bookmarkName="_Int_RM8eIMGM" int2:invalidationBookmarkName="" int2:hashCode="2zzAJcwyoS06vM" int2:id="X4W4cnrz">
      <int2:state int2:value="Rejected" int2:type="AugLoop_Text_Critique"/>
    </int2:bookmark>
    <int2:bookmark int2:bookmarkName="_Int_hKOga2CQ" int2:invalidationBookmarkName="" int2:hashCode="XjgXkkwXiRMB3M" int2:id="XIz6DMxq">
      <int2:state int2:value="Rejected" int2:type="AugLoop_Text_Critique"/>
    </int2:bookmark>
    <int2:bookmark int2:bookmarkName="_Int_wCnCUh8x" int2:invalidationBookmarkName="" int2:hashCode="VRd/LyDcPFdCnc" int2:id="XkKFTPVT">
      <int2:state int2:value="Rejected" int2:type="AugLoop_Text_Critique"/>
    </int2:bookmark>
    <int2:bookmark int2:bookmarkName="_Int_36DXGDVj" int2:invalidationBookmarkName="" int2:hashCode="VMfwuJSNeWIg0x" int2:id="YPpWxV2k">
      <int2:state int2:value="Rejected" int2:type="AugLoop_Acronyms_AcronymsCritique"/>
    </int2:bookmark>
    <int2:bookmark int2:bookmarkName="_Int_mkRGf2BA" int2:invalidationBookmarkName="" int2:hashCode="rjS/y9qIB9j3Ru" int2:id="ZQRXYRnL">
      <int2:state int2:value="Rejected" int2:type="AugLoop_Text_Critique"/>
    </int2:bookmark>
    <int2:bookmark int2:bookmarkName="_Int_g5b2KPXc" int2:invalidationBookmarkName="" int2:hashCode="plErqsl7Qf3twr" int2:id="aAJ20EBx">
      <int2:state int2:value="Rejected" int2:type="AugLoop_Acronyms_AcronymsCritique"/>
    </int2:bookmark>
    <int2:bookmark int2:bookmarkName="_Int_zkD4qONU" int2:invalidationBookmarkName="" int2:hashCode="cfGvCxMotMPuq4" int2:id="aAaAl6Ex">
      <int2:state int2:value="Rejected" int2:type="AugLoop_Acronyms_AcronymsCritique"/>
    </int2:bookmark>
    <int2:bookmark int2:bookmarkName="_Int_NXiKhQ50" int2:invalidationBookmarkName="" int2:hashCode="ksuVwHmT3H4GkW" int2:id="ag5MOD6A">
      <int2:state int2:value="Rejected" int2:type="AugLoop_Text_Critique"/>
    </int2:bookmark>
    <int2:bookmark int2:bookmarkName="_Int_4M9MapfJ" int2:invalidationBookmarkName="" int2:hashCode="9vOfv2eNTAPKcv" int2:id="aoScTnRP">
      <int2:state int2:value="Rejected" int2:type="LegacyProofing"/>
    </int2:bookmark>
    <int2:bookmark int2:bookmarkName="_Int_OTP4O6FX" int2:invalidationBookmarkName="" int2:hashCode="6Ib5vfWamocy9+" int2:id="bdcP4De7">
      <int2:state int2:value="Rejected" int2:type="LegacyProofing"/>
    </int2:bookmark>
    <int2:bookmark int2:bookmarkName="_Int_6FDja6Qj" int2:invalidationBookmarkName="" int2:hashCode="XEbAsqc9Rn7weH" int2:id="c7Xj9A4f">
      <int2:state int2:value="Rejected" int2:type="AugLoop_Text_Critique"/>
    </int2:bookmark>
    <int2:bookmark int2:bookmarkName="_Int_mGfXKg2w" int2:invalidationBookmarkName="" int2:hashCode="ZvKd6m7a6QNbh3" int2:id="dWA1P23k">
      <int2:state int2:value="Rejected" int2:type="AugLoop_Text_Critique"/>
    </int2:bookmark>
    <int2:bookmark int2:bookmarkName="_Int_zBlc6jVt" int2:invalidationBookmarkName="" int2:hashCode="rjS/y9qIB9j3Ru" int2:id="efXCs9r9">
      <int2:state int2:value="Rejected" int2:type="AugLoop_Text_Critique"/>
    </int2:bookmark>
    <int2:bookmark int2:bookmarkName="_Int_AMDz4aYv" int2:invalidationBookmarkName="" int2:hashCode="vdCqqsCC5Cu8OB" int2:id="fFGFfRo5">
      <int2:state int2:value="Rejected" int2:type="AugLoop_Text_Critique"/>
    </int2:bookmark>
    <int2:bookmark int2:bookmarkName="_Int_YE3r2OZL" int2:invalidationBookmarkName="" int2:hashCode="Fw8k940siZJWZn" int2:id="flOpQ14w">
      <int2:state int2:value="Rejected" int2:type="AugLoop_Text_Critique"/>
    </int2:bookmark>
    <int2:bookmark int2:bookmarkName="_Int_ntE3h10Z" int2:invalidationBookmarkName="" int2:hashCode="Uvhp5FlOzuxwvO" int2:id="fxwB0BOE">
      <int2:state int2:value="Rejected" int2:type="AugLoop_Acronyms_AcronymsCritique"/>
    </int2:bookmark>
    <int2:bookmark int2:bookmarkName="_Int_MeUIBWq4" int2:invalidationBookmarkName="" int2:hashCode="2sUnc7NHwvNpOh" int2:id="ggdfqKk8">
      <int2:state int2:value="Rejected" int2:type="AugLoop_Acronyms_AcronymsCritique"/>
    </int2:bookmark>
    <int2:bookmark int2:bookmarkName="_Int_ask4PKZg" int2:invalidationBookmarkName="" int2:hashCode="7y7OKbbdIAv0B+" int2:id="gyd7nud1">
      <int2:state int2:value="Rejected" int2:type="AugLoop_Text_Critique"/>
    </int2:bookmark>
    <int2:bookmark int2:bookmarkName="_Int_T0oWHqkE" int2:invalidationBookmarkName="" int2:hashCode="6RFCCOesbcqz+K" int2:id="i1Sm4yv5">
      <int2:state int2:value="Rejected" int2:type="AugLoop_Text_Critique"/>
    </int2:bookmark>
    <int2:bookmark int2:bookmarkName="_Int_cS1wqYTl" int2:invalidationBookmarkName="" int2:hashCode="vdCqqsCC5Cu8OB" int2:id="i6vkramV">
      <int2:state int2:value="Rejected" int2:type="AugLoop_Text_Critique"/>
    </int2:bookmark>
    <int2:bookmark int2:bookmarkName="_Int_OdGmkIWG" int2:invalidationBookmarkName="" int2:hashCode="rBkoSVZEVPCKWj" int2:id="i7ZqLmLf">
      <int2:state int2:value="Rejected" int2:type="AugLoop_Text_Critique"/>
    </int2:bookmark>
    <int2:bookmark int2:bookmarkName="_Int_l7VgyIla" int2:invalidationBookmarkName="" int2:hashCode="sMcRsLhBmJ1Y4e" int2:id="jCEmiTDn">
      <int2:state int2:value="Rejected" int2:type="AugLoop_Text_Critique"/>
    </int2:bookmark>
    <int2:bookmark int2:bookmarkName="_Int_zmU8e0cu" int2:invalidationBookmarkName="" int2:hashCode="vi2mrvAgNc6qQQ" int2:id="jDzVW8QO">
      <int2:state int2:value="Rejected" int2:type="AugLoop_Acronyms_AcronymsCritique"/>
    </int2:bookmark>
    <int2:bookmark int2:bookmarkName="_Int_aBQqpezX" int2:invalidationBookmarkName="" int2:hashCode="rjS/y9qIB9j3Ru" int2:id="jGABF8fI">
      <int2:state int2:value="Rejected" int2:type="AugLoop_Text_Critique"/>
    </int2:bookmark>
    <int2:bookmark int2:bookmarkName="_Int_AZHLM3gF" int2:invalidationBookmarkName="" int2:hashCode="+25XnY6NEiITAu" int2:id="jKfCO7eh">
      <int2:state int2:value="Rejected" int2:type="AugLoop_Text_Critique"/>
    </int2:bookmark>
    <int2:bookmark int2:bookmarkName="_Int_qDSdJxXW" int2:invalidationBookmarkName="" int2:hashCode="eF745FqhjvHOZm" int2:id="keWIppUX">
      <int2:state int2:value="Rejected" int2:type="AugLoop_Text_Critique"/>
    </int2:bookmark>
    <int2:bookmark int2:bookmarkName="_Int_VPm636cn" int2:invalidationBookmarkName="" int2:hashCode="BJwP52tre/qlH1" int2:id="lSGAhpSj">
      <int2:state int2:value="Rejected" int2:type="AugLoop_Text_Critique"/>
    </int2:bookmark>
    <int2:bookmark int2:bookmarkName="_Int_wykkaXhJ" int2:invalidationBookmarkName="" int2:hashCode="E1+Tt6RJBbZOzq" int2:id="mAfUs3Rg">
      <int2:state int2:value="Rejected" int2:type="AugLoop_Text_Critique"/>
    </int2:bookmark>
    <int2:bookmark int2:bookmarkName="_Int_HBSmMBvy" int2:invalidationBookmarkName="" int2:hashCode="E1+Tt6RJBbZOzq" int2:id="mlygYgdg">
      <int2:state int2:value="Rejected" int2:type="AugLoop_Text_Critique"/>
    </int2:bookmark>
    <int2:bookmark int2:bookmarkName="_Int_RUpe8xZd" int2:invalidationBookmarkName="" int2:hashCode="fcfIU3p2VS7H/0" int2:id="moEHszeN">
      <int2:state int2:value="Rejected" int2:type="AugLoop_Acronyms_AcronymsCritique"/>
    </int2:bookmark>
    <int2:bookmark int2:bookmarkName="_Int_JPRK2Mdi" int2:invalidationBookmarkName="" int2:hashCode="mvcqs8GtnNGZci" int2:id="n4AeVIUZ">
      <int2:state int2:value="Rejected" int2:type="LegacyProofing"/>
    </int2:bookmark>
    <int2:bookmark int2:bookmarkName="_Int_ZgKjUWUz" int2:invalidationBookmarkName="" int2:hashCode="d3DQTHv7eR58lZ" int2:id="nDfs7Al5">
      <int2:state int2:value="Rejected" int2:type="AugLoop_Acronyms_AcronymsCritique"/>
    </int2:bookmark>
    <int2:bookmark int2:bookmarkName="_Int_2UoDX5Fw" int2:invalidationBookmarkName="" int2:hashCode="ctI+oUlAviH8Ht" int2:id="o2XVWtMq">
      <int2:state int2:value="Rejected" int2:type="AugLoop_Acronyms_AcronymsCritique"/>
    </int2:bookmark>
    <int2:bookmark int2:bookmarkName="_Int_6cSXsvSu" int2:invalidationBookmarkName="" int2:hashCode="tH82PitDDAZH8U" int2:id="oSb4JBYu">
      <int2:state int2:value="Rejected" int2:type="LegacyProofing"/>
    </int2:bookmark>
    <int2:bookmark int2:bookmarkName="_Int_pHFJBFiW" int2:invalidationBookmarkName="" int2:hashCode="3thsTx/y7U8wtA" int2:id="plZLIPs0">
      <int2:state int2:value="Rejected" int2:type="AugLoop_Acronyms_AcronymsCritique"/>
    </int2:bookmark>
    <int2:bookmark int2:bookmarkName="_Int_q8slmYYc" int2:invalidationBookmarkName="" int2:hashCode="RrM3w8AX4z3H9k" int2:id="pp8sNBv3">
      <int2:state int2:value="Rejected" int2:type="AugLoop_Acronyms_AcronymsCritique"/>
    </int2:bookmark>
    <int2:bookmark int2:bookmarkName="_Int_C2hwrPY0" int2:invalidationBookmarkName="" int2:hashCode="D+rg2KZfYIP58v" int2:id="pyZ8u9E2">
      <int2:state int2:value="Rejected" int2:type="AugLoop_Text_Critique"/>
    </int2:bookmark>
    <int2:bookmark int2:bookmarkName="_Int_whWCifxN" int2:invalidationBookmarkName="" int2:hashCode="uhz9zYZfO4e8yV" int2:id="rBxDxwRi">
      <int2:state int2:value="Rejected" int2:type="LegacyProofing"/>
    </int2:bookmark>
    <int2:bookmark int2:bookmarkName="_Int_6AywEhyR" int2:invalidationBookmarkName="" int2:hashCode="T/CxU4RpM4oAc+" int2:id="rHLF2OOw">
      <int2:state int2:value="Rejected" int2:type="LegacyProofing"/>
    </int2:bookmark>
    <int2:bookmark int2:bookmarkName="_Int_x3Fkl4w5" int2:invalidationBookmarkName="" int2:hashCode="NrM995tJ1T2MgU" int2:id="rQY5D86v">
      <int2:state int2:value="Rejected" int2:type="AugLoop_Acronyms_AcronymsCritique"/>
    </int2:bookmark>
    <int2:bookmark int2:bookmarkName="_Int_OXywIG7A" int2:invalidationBookmarkName="" int2:hashCode="X55YArurxx+Sdf" int2:id="rgY0xArx">
      <int2:state int2:value="Rejected" int2:type="LegacyProofing"/>
    </int2:bookmark>
    <int2:bookmark int2:bookmarkName="_Int_C7U6MZY8" int2:invalidationBookmarkName="" int2:hashCode="VRd/LyDcPFdCnc" int2:id="szCGd86H">
      <int2:state int2:value="Rejected" int2:type="AugLoop_Text_Critique"/>
    </int2:bookmark>
    <int2:bookmark int2:bookmarkName="_Int_ZfJ8vaZM" int2:invalidationBookmarkName="" int2:hashCode="FwTR5vAFXhx8wH" int2:id="ta21e2yt">
      <int2:state int2:value="Rejected" int2:type="LegacyProofing"/>
    </int2:bookmark>
    <int2:bookmark int2:bookmarkName="_Int_wLnf0QkK" int2:invalidationBookmarkName="" int2:hashCode="E1+Tt6RJBbZOzq" int2:id="tzr5b5nz">
      <int2:state int2:value="Rejected" int2:type="AugLoop_Text_Critique"/>
    </int2:bookmark>
    <int2:bookmark int2:bookmarkName="_Int_ntMFzX9c" int2:invalidationBookmarkName="" int2:hashCode="d3DQTHv7eR58lZ" int2:id="uLsWiVD3">
      <int2:state int2:value="Rejected" int2:type="AugLoop_Acronyms_AcronymsCritique"/>
    </int2:bookmark>
    <int2:bookmark int2:bookmarkName="_Int_YashToru" int2:invalidationBookmarkName="" int2:hashCode="VRd/LyDcPFdCnc" int2:id="vcGKjfMB">
      <int2:state int2:value="Rejected" int2:type="AugLoop_Text_Critique"/>
    </int2:bookmark>
    <int2:bookmark int2:bookmarkName="_Int_GrOM64ed" int2:invalidationBookmarkName="" int2:hashCode="E1+Tt6RJBbZOzq" int2:id="wc63y2Xj">
      <int2:state int2:value="Rejected" int2:type="AugLoop_Text_Critique"/>
    </int2:bookmark>
    <int2:bookmark int2:bookmarkName="_Int_1sr63wQ7" int2:invalidationBookmarkName="" int2:hashCode="E1+Tt6RJBbZOzq" int2:id="we1VVRWn">
      <int2:state int2:value="Rejected" int2:type="AugLoop_Text_Critique"/>
    </int2:bookmark>
    <int2:bookmark int2:bookmarkName="_Int_nIpraJus" int2:invalidationBookmarkName="" int2:hashCode="xTdg9Yvnl9Yc+W" int2:id="x46ZxvzI">
      <int2:state int2:value="Rejected" int2:type="AugLoop_Text_Critique"/>
    </int2:bookmark>
    <int2:bookmark int2:bookmarkName="_Int_FPca1n3S" int2:invalidationBookmarkName="" int2:hashCode="Yk81nc5LhMiOHh" int2:id="xDpN4Z4I">
      <int2:state int2:value="Rejected" int2:type="AugLoop_Text_Critique"/>
    </int2:bookmark>
    <int2:bookmark int2:bookmarkName="_Int_NsshOICw" int2:invalidationBookmarkName="" int2:hashCode="YsXK4h3SxORX+l" int2:id="xYFVGJ7G">
      <int2:state int2:value="Rejected" int2:type="AugLoop_Text_Critique"/>
    </int2:bookmark>
    <int2:bookmark int2:bookmarkName="_Int_PXUAwryk" int2:invalidationBookmarkName="" int2:hashCode="fgWSUg6wKbESPV" int2:id="yCUnOEBT">
      <int2:state int2:value="Rejected" int2:type="AugLoop_Text_Critique"/>
    </int2:bookmark>
    <int2:bookmark int2:bookmarkName="_Int_MgDh3CBk" int2:invalidationBookmarkName="" int2:hashCode="E1+Tt6RJBbZOzq" int2:id="yUu4FPD8">
      <int2:state int2:value="Rejected" int2:type="AugLoop_Text_Critique"/>
    </int2:bookmark>
    <int2:bookmark int2:bookmarkName="_Int_OTUZ88bC" int2:invalidationBookmarkName="" int2:hashCode="mvcqs8GtnNGZci" int2:id="yY86qsli">
      <int2:state int2:value="Rejected" int2:type="LegacyProofing"/>
    </int2:bookmark>
    <int2:bookmark int2:bookmarkName="_Int_ehHzJwzT" int2:invalidationBookmarkName="" int2:hashCode="Unn3Qdg1MZCrVE" int2:id="zJHyqBWH">
      <int2:state int2:value="Rejected" int2:type="AugLoop_Acronyms_AcronymsCritique"/>
    </int2:bookmark>
    <int2:bookmark int2:bookmarkName="_Int_rECAtxni" int2:invalidationBookmarkName="" int2:hashCode="ayAlRNPSJlAZRF" int2:id="zX0vYkZq">
      <int2:state int2:value="Rejected" int2:type="LegacyProofing"/>
    </int2:bookmark>
    <int2:bookmark int2:bookmarkName="_Int_jGCKglaJ" int2:invalidationBookmarkName="" int2:hashCode="xmhqCHggZVfx8A" int2:id="zyQhRmVe">
      <int2:state int2:value="Rejected" int2:type="AugLoop_Acronyms_Acronyms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B4331"/>
    <w:multiLevelType w:val="hybridMultilevel"/>
    <w:tmpl w:val="CD2C9560"/>
    <w:lvl w:ilvl="0" w:tplc="0154713E">
      <w:start w:val="1"/>
      <w:numFmt w:val="bullet"/>
      <w:lvlText w:val="•"/>
      <w:lvlJc w:val="left"/>
      <w:pPr>
        <w:tabs>
          <w:tab w:val="num" w:pos="720"/>
        </w:tabs>
        <w:ind w:left="720" w:hanging="360"/>
      </w:pPr>
      <w:rPr>
        <w:rFonts w:ascii="Arial" w:hAnsi="Arial" w:hint="default"/>
      </w:rPr>
    </w:lvl>
    <w:lvl w:ilvl="1" w:tplc="C61CB964">
      <w:numFmt w:val="bullet"/>
      <w:lvlText w:val="•"/>
      <w:lvlJc w:val="left"/>
      <w:pPr>
        <w:tabs>
          <w:tab w:val="num" w:pos="1440"/>
        </w:tabs>
        <w:ind w:left="1440" w:hanging="360"/>
      </w:pPr>
      <w:rPr>
        <w:rFonts w:ascii="Arial" w:hAnsi="Arial" w:hint="default"/>
      </w:rPr>
    </w:lvl>
    <w:lvl w:ilvl="2" w:tplc="D91A31FE" w:tentative="1">
      <w:start w:val="1"/>
      <w:numFmt w:val="bullet"/>
      <w:lvlText w:val="•"/>
      <w:lvlJc w:val="left"/>
      <w:pPr>
        <w:tabs>
          <w:tab w:val="num" w:pos="2160"/>
        </w:tabs>
        <w:ind w:left="2160" w:hanging="360"/>
      </w:pPr>
      <w:rPr>
        <w:rFonts w:ascii="Arial" w:hAnsi="Arial" w:hint="default"/>
      </w:rPr>
    </w:lvl>
    <w:lvl w:ilvl="3" w:tplc="62AE0342" w:tentative="1">
      <w:start w:val="1"/>
      <w:numFmt w:val="bullet"/>
      <w:lvlText w:val="•"/>
      <w:lvlJc w:val="left"/>
      <w:pPr>
        <w:tabs>
          <w:tab w:val="num" w:pos="2880"/>
        </w:tabs>
        <w:ind w:left="2880" w:hanging="360"/>
      </w:pPr>
      <w:rPr>
        <w:rFonts w:ascii="Arial" w:hAnsi="Arial" w:hint="default"/>
      </w:rPr>
    </w:lvl>
    <w:lvl w:ilvl="4" w:tplc="3620B528" w:tentative="1">
      <w:start w:val="1"/>
      <w:numFmt w:val="bullet"/>
      <w:lvlText w:val="•"/>
      <w:lvlJc w:val="left"/>
      <w:pPr>
        <w:tabs>
          <w:tab w:val="num" w:pos="3600"/>
        </w:tabs>
        <w:ind w:left="3600" w:hanging="360"/>
      </w:pPr>
      <w:rPr>
        <w:rFonts w:ascii="Arial" w:hAnsi="Arial" w:hint="default"/>
      </w:rPr>
    </w:lvl>
    <w:lvl w:ilvl="5" w:tplc="7346A4D2" w:tentative="1">
      <w:start w:val="1"/>
      <w:numFmt w:val="bullet"/>
      <w:lvlText w:val="•"/>
      <w:lvlJc w:val="left"/>
      <w:pPr>
        <w:tabs>
          <w:tab w:val="num" w:pos="4320"/>
        </w:tabs>
        <w:ind w:left="4320" w:hanging="360"/>
      </w:pPr>
      <w:rPr>
        <w:rFonts w:ascii="Arial" w:hAnsi="Arial" w:hint="default"/>
      </w:rPr>
    </w:lvl>
    <w:lvl w:ilvl="6" w:tplc="7D441112" w:tentative="1">
      <w:start w:val="1"/>
      <w:numFmt w:val="bullet"/>
      <w:lvlText w:val="•"/>
      <w:lvlJc w:val="left"/>
      <w:pPr>
        <w:tabs>
          <w:tab w:val="num" w:pos="5040"/>
        </w:tabs>
        <w:ind w:left="5040" w:hanging="360"/>
      </w:pPr>
      <w:rPr>
        <w:rFonts w:ascii="Arial" w:hAnsi="Arial" w:hint="default"/>
      </w:rPr>
    </w:lvl>
    <w:lvl w:ilvl="7" w:tplc="3F5E6F40" w:tentative="1">
      <w:start w:val="1"/>
      <w:numFmt w:val="bullet"/>
      <w:lvlText w:val="•"/>
      <w:lvlJc w:val="left"/>
      <w:pPr>
        <w:tabs>
          <w:tab w:val="num" w:pos="5760"/>
        </w:tabs>
        <w:ind w:left="5760" w:hanging="360"/>
      </w:pPr>
      <w:rPr>
        <w:rFonts w:ascii="Arial" w:hAnsi="Arial" w:hint="default"/>
      </w:rPr>
    </w:lvl>
    <w:lvl w:ilvl="8" w:tplc="64069F3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60ADD8"/>
    <w:multiLevelType w:val="hybridMultilevel"/>
    <w:tmpl w:val="FFFFFFFF"/>
    <w:lvl w:ilvl="0" w:tplc="CF9078D8">
      <w:start w:val="1"/>
      <w:numFmt w:val="bullet"/>
      <w:lvlText w:val="·"/>
      <w:lvlJc w:val="left"/>
      <w:pPr>
        <w:ind w:left="720" w:hanging="360"/>
      </w:pPr>
      <w:rPr>
        <w:rFonts w:ascii="Symbol" w:hAnsi="Symbol" w:hint="default"/>
      </w:rPr>
    </w:lvl>
    <w:lvl w:ilvl="1" w:tplc="66867A16">
      <w:start w:val="1"/>
      <w:numFmt w:val="bullet"/>
      <w:lvlText w:val="o"/>
      <w:lvlJc w:val="left"/>
      <w:pPr>
        <w:ind w:left="1440" w:hanging="360"/>
      </w:pPr>
      <w:rPr>
        <w:rFonts w:ascii="Courier New" w:hAnsi="Courier New" w:hint="default"/>
      </w:rPr>
    </w:lvl>
    <w:lvl w:ilvl="2" w:tplc="084A5356">
      <w:start w:val="1"/>
      <w:numFmt w:val="bullet"/>
      <w:lvlText w:val=""/>
      <w:lvlJc w:val="left"/>
      <w:pPr>
        <w:ind w:left="2160" w:hanging="360"/>
      </w:pPr>
      <w:rPr>
        <w:rFonts w:ascii="Wingdings" w:hAnsi="Wingdings" w:hint="default"/>
      </w:rPr>
    </w:lvl>
    <w:lvl w:ilvl="3" w:tplc="6AF23870">
      <w:start w:val="1"/>
      <w:numFmt w:val="bullet"/>
      <w:lvlText w:val=""/>
      <w:lvlJc w:val="left"/>
      <w:pPr>
        <w:ind w:left="2880" w:hanging="360"/>
      </w:pPr>
      <w:rPr>
        <w:rFonts w:ascii="Symbol" w:hAnsi="Symbol" w:hint="default"/>
      </w:rPr>
    </w:lvl>
    <w:lvl w:ilvl="4" w:tplc="AF18BA50">
      <w:start w:val="1"/>
      <w:numFmt w:val="bullet"/>
      <w:lvlText w:val="o"/>
      <w:lvlJc w:val="left"/>
      <w:pPr>
        <w:ind w:left="3600" w:hanging="360"/>
      </w:pPr>
      <w:rPr>
        <w:rFonts w:ascii="Courier New" w:hAnsi="Courier New" w:hint="default"/>
      </w:rPr>
    </w:lvl>
    <w:lvl w:ilvl="5" w:tplc="21004BE0">
      <w:start w:val="1"/>
      <w:numFmt w:val="bullet"/>
      <w:lvlText w:val=""/>
      <w:lvlJc w:val="left"/>
      <w:pPr>
        <w:ind w:left="4320" w:hanging="360"/>
      </w:pPr>
      <w:rPr>
        <w:rFonts w:ascii="Wingdings" w:hAnsi="Wingdings" w:hint="default"/>
      </w:rPr>
    </w:lvl>
    <w:lvl w:ilvl="6" w:tplc="64E07A12">
      <w:start w:val="1"/>
      <w:numFmt w:val="bullet"/>
      <w:lvlText w:val=""/>
      <w:lvlJc w:val="left"/>
      <w:pPr>
        <w:ind w:left="5040" w:hanging="360"/>
      </w:pPr>
      <w:rPr>
        <w:rFonts w:ascii="Symbol" w:hAnsi="Symbol" w:hint="default"/>
      </w:rPr>
    </w:lvl>
    <w:lvl w:ilvl="7" w:tplc="9D1A5812">
      <w:start w:val="1"/>
      <w:numFmt w:val="bullet"/>
      <w:lvlText w:val="o"/>
      <w:lvlJc w:val="left"/>
      <w:pPr>
        <w:ind w:left="5760" w:hanging="360"/>
      </w:pPr>
      <w:rPr>
        <w:rFonts w:ascii="Courier New" w:hAnsi="Courier New" w:hint="default"/>
      </w:rPr>
    </w:lvl>
    <w:lvl w:ilvl="8" w:tplc="05D6291C">
      <w:start w:val="1"/>
      <w:numFmt w:val="bullet"/>
      <w:lvlText w:val=""/>
      <w:lvlJc w:val="left"/>
      <w:pPr>
        <w:ind w:left="6480" w:hanging="360"/>
      </w:pPr>
      <w:rPr>
        <w:rFonts w:ascii="Wingdings" w:hAnsi="Wingdings" w:hint="default"/>
      </w:rPr>
    </w:lvl>
  </w:abstractNum>
  <w:abstractNum w:abstractNumId="2" w15:restartNumberingAfterBreak="0">
    <w:nsid w:val="080008AE"/>
    <w:multiLevelType w:val="hybridMultilevel"/>
    <w:tmpl w:val="56E871EE"/>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08903D2E"/>
    <w:multiLevelType w:val="hybridMultilevel"/>
    <w:tmpl w:val="87C63D3A"/>
    <w:lvl w:ilvl="0" w:tplc="1A5A75FE">
      <w:start w:val="1"/>
      <w:numFmt w:val="bullet"/>
      <w:lvlText w:val=""/>
      <w:lvlJc w:val="left"/>
      <w:pPr>
        <w:ind w:left="360" w:hanging="360"/>
      </w:pPr>
      <w:rPr>
        <w:rFonts w:ascii="Symbol" w:hAnsi="Symbol" w:hint="default"/>
      </w:rPr>
    </w:lvl>
    <w:lvl w:ilvl="1" w:tplc="FF32DAA8" w:tentative="1">
      <w:start w:val="1"/>
      <w:numFmt w:val="bullet"/>
      <w:lvlText w:val="o"/>
      <w:lvlJc w:val="left"/>
      <w:pPr>
        <w:ind w:left="1080" w:hanging="360"/>
      </w:pPr>
      <w:rPr>
        <w:rFonts w:ascii="Courier New" w:hAnsi="Courier New" w:hint="default"/>
      </w:rPr>
    </w:lvl>
    <w:lvl w:ilvl="2" w:tplc="EEEEB0F8" w:tentative="1">
      <w:start w:val="1"/>
      <w:numFmt w:val="bullet"/>
      <w:lvlText w:val=""/>
      <w:lvlJc w:val="left"/>
      <w:pPr>
        <w:ind w:left="1800" w:hanging="360"/>
      </w:pPr>
      <w:rPr>
        <w:rFonts w:ascii="Wingdings" w:hAnsi="Wingdings" w:hint="default"/>
      </w:rPr>
    </w:lvl>
    <w:lvl w:ilvl="3" w:tplc="C270B81A" w:tentative="1">
      <w:start w:val="1"/>
      <w:numFmt w:val="bullet"/>
      <w:lvlText w:val=""/>
      <w:lvlJc w:val="left"/>
      <w:pPr>
        <w:ind w:left="2520" w:hanging="360"/>
      </w:pPr>
      <w:rPr>
        <w:rFonts w:ascii="Symbol" w:hAnsi="Symbol" w:hint="default"/>
      </w:rPr>
    </w:lvl>
    <w:lvl w:ilvl="4" w:tplc="637AAF40" w:tentative="1">
      <w:start w:val="1"/>
      <w:numFmt w:val="bullet"/>
      <w:lvlText w:val="o"/>
      <w:lvlJc w:val="left"/>
      <w:pPr>
        <w:ind w:left="3240" w:hanging="360"/>
      </w:pPr>
      <w:rPr>
        <w:rFonts w:ascii="Courier New" w:hAnsi="Courier New" w:hint="default"/>
      </w:rPr>
    </w:lvl>
    <w:lvl w:ilvl="5" w:tplc="BE7AFB90" w:tentative="1">
      <w:start w:val="1"/>
      <w:numFmt w:val="bullet"/>
      <w:lvlText w:val=""/>
      <w:lvlJc w:val="left"/>
      <w:pPr>
        <w:ind w:left="3960" w:hanging="360"/>
      </w:pPr>
      <w:rPr>
        <w:rFonts w:ascii="Wingdings" w:hAnsi="Wingdings" w:hint="default"/>
      </w:rPr>
    </w:lvl>
    <w:lvl w:ilvl="6" w:tplc="50F41730" w:tentative="1">
      <w:start w:val="1"/>
      <w:numFmt w:val="bullet"/>
      <w:lvlText w:val=""/>
      <w:lvlJc w:val="left"/>
      <w:pPr>
        <w:ind w:left="4680" w:hanging="360"/>
      </w:pPr>
      <w:rPr>
        <w:rFonts w:ascii="Symbol" w:hAnsi="Symbol" w:hint="default"/>
      </w:rPr>
    </w:lvl>
    <w:lvl w:ilvl="7" w:tplc="CCF673FA" w:tentative="1">
      <w:start w:val="1"/>
      <w:numFmt w:val="bullet"/>
      <w:lvlText w:val="o"/>
      <w:lvlJc w:val="left"/>
      <w:pPr>
        <w:ind w:left="5400" w:hanging="360"/>
      </w:pPr>
      <w:rPr>
        <w:rFonts w:ascii="Courier New" w:hAnsi="Courier New" w:hint="default"/>
      </w:rPr>
    </w:lvl>
    <w:lvl w:ilvl="8" w:tplc="97E4B2E4" w:tentative="1">
      <w:start w:val="1"/>
      <w:numFmt w:val="bullet"/>
      <w:lvlText w:val=""/>
      <w:lvlJc w:val="left"/>
      <w:pPr>
        <w:ind w:left="6120" w:hanging="360"/>
      </w:pPr>
      <w:rPr>
        <w:rFonts w:ascii="Wingdings" w:hAnsi="Wingdings" w:hint="default"/>
      </w:rPr>
    </w:lvl>
  </w:abstractNum>
  <w:abstractNum w:abstractNumId="4" w15:restartNumberingAfterBreak="0">
    <w:nsid w:val="09495742"/>
    <w:multiLevelType w:val="multilevel"/>
    <w:tmpl w:val="994EAFB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 w15:restartNumberingAfterBreak="0">
    <w:nsid w:val="0AFD414E"/>
    <w:multiLevelType w:val="hybridMultilevel"/>
    <w:tmpl w:val="0F940D88"/>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6" w15:restartNumberingAfterBreak="0">
    <w:nsid w:val="0B6C4CD3"/>
    <w:multiLevelType w:val="hybridMultilevel"/>
    <w:tmpl w:val="1952D90C"/>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 w15:restartNumberingAfterBreak="0">
    <w:nsid w:val="0EA2169C"/>
    <w:multiLevelType w:val="hybridMultilevel"/>
    <w:tmpl w:val="061CC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6E04D4"/>
    <w:multiLevelType w:val="hybridMultilevel"/>
    <w:tmpl w:val="F5B237D4"/>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9" w15:restartNumberingAfterBreak="0">
    <w:nsid w:val="140D64BB"/>
    <w:multiLevelType w:val="hybridMultilevel"/>
    <w:tmpl w:val="35602978"/>
    <w:lvl w:ilvl="0" w:tplc="64C68124">
      <w:start w:val="1"/>
      <w:numFmt w:val="bullet"/>
      <w:lvlText w:val="•"/>
      <w:lvlJc w:val="left"/>
      <w:pPr>
        <w:tabs>
          <w:tab w:val="num" w:pos="720"/>
        </w:tabs>
        <w:ind w:left="720" w:hanging="360"/>
      </w:pPr>
      <w:rPr>
        <w:rFonts w:ascii="Arial" w:hAnsi="Arial" w:hint="default"/>
      </w:rPr>
    </w:lvl>
    <w:lvl w:ilvl="1" w:tplc="A45E1BB0" w:tentative="1">
      <w:start w:val="1"/>
      <w:numFmt w:val="bullet"/>
      <w:lvlText w:val="•"/>
      <w:lvlJc w:val="left"/>
      <w:pPr>
        <w:tabs>
          <w:tab w:val="num" w:pos="1440"/>
        </w:tabs>
        <w:ind w:left="1440" w:hanging="360"/>
      </w:pPr>
      <w:rPr>
        <w:rFonts w:ascii="Arial" w:hAnsi="Arial" w:hint="default"/>
      </w:rPr>
    </w:lvl>
    <w:lvl w:ilvl="2" w:tplc="B54CAC06" w:tentative="1">
      <w:start w:val="1"/>
      <w:numFmt w:val="bullet"/>
      <w:lvlText w:val="•"/>
      <w:lvlJc w:val="left"/>
      <w:pPr>
        <w:tabs>
          <w:tab w:val="num" w:pos="2160"/>
        </w:tabs>
        <w:ind w:left="2160" w:hanging="360"/>
      </w:pPr>
      <w:rPr>
        <w:rFonts w:ascii="Arial" w:hAnsi="Arial" w:hint="default"/>
      </w:rPr>
    </w:lvl>
    <w:lvl w:ilvl="3" w:tplc="0270DA94" w:tentative="1">
      <w:start w:val="1"/>
      <w:numFmt w:val="bullet"/>
      <w:lvlText w:val="•"/>
      <w:lvlJc w:val="left"/>
      <w:pPr>
        <w:tabs>
          <w:tab w:val="num" w:pos="2880"/>
        </w:tabs>
        <w:ind w:left="2880" w:hanging="360"/>
      </w:pPr>
      <w:rPr>
        <w:rFonts w:ascii="Arial" w:hAnsi="Arial" w:hint="default"/>
      </w:rPr>
    </w:lvl>
    <w:lvl w:ilvl="4" w:tplc="0B1EC114" w:tentative="1">
      <w:start w:val="1"/>
      <w:numFmt w:val="bullet"/>
      <w:lvlText w:val="•"/>
      <w:lvlJc w:val="left"/>
      <w:pPr>
        <w:tabs>
          <w:tab w:val="num" w:pos="3600"/>
        </w:tabs>
        <w:ind w:left="3600" w:hanging="360"/>
      </w:pPr>
      <w:rPr>
        <w:rFonts w:ascii="Arial" w:hAnsi="Arial" w:hint="default"/>
      </w:rPr>
    </w:lvl>
    <w:lvl w:ilvl="5" w:tplc="95963422" w:tentative="1">
      <w:start w:val="1"/>
      <w:numFmt w:val="bullet"/>
      <w:lvlText w:val="•"/>
      <w:lvlJc w:val="left"/>
      <w:pPr>
        <w:tabs>
          <w:tab w:val="num" w:pos="4320"/>
        </w:tabs>
        <w:ind w:left="4320" w:hanging="360"/>
      </w:pPr>
      <w:rPr>
        <w:rFonts w:ascii="Arial" w:hAnsi="Arial" w:hint="default"/>
      </w:rPr>
    </w:lvl>
    <w:lvl w:ilvl="6" w:tplc="8392FF62" w:tentative="1">
      <w:start w:val="1"/>
      <w:numFmt w:val="bullet"/>
      <w:lvlText w:val="•"/>
      <w:lvlJc w:val="left"/>
      <w:pPr>
        <w:tabs>
          <w:tab w:val="num" w:pos="5040"/>
        </w:tabs>
        <w:ind w:left="5040" w:hanging="360"/>
      </w:pPr>
      <w:rPr>
        <w:rFonts w:ascii="Arial" w:hAnsi="Arial" w:hint="default"/>
      </w:rPr>
    </w:lvl>
    <w:lvl w:ilvl="7" w:tplc="075A486C" w:tentative="1">
      <w:start w:val="1"/>
      <w:numFmt w:val="bullet"/>
      <w:lvlText w:val="•"/>
      <w:lvlJc w:val="left"/>
      <w:pPr>
        <w:tabs>
          <w:tab w:val="num" w:pos="5760"/>
        </w:tabs>
        <w:ind w:left="5760" w:hanging="360"/>
      </w:pPr>
      <w:rPr>
        <w:rFonts w:ascii="Arial" w:hAnsi="Arial" w:hint="default"/>
      </w:rPr>
    </w:lvl>
    <w:lvl w:ilvl="8" w:tplc="D18EC8A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8DC5488"/>
    <w:multiLevelType w:val="hybridMultilevel"/>
    <w:tmpl w:val="7E40F5C0"/>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18FCA9AF"/>
    <w:multiLevelType w:val="hybridMultilevel"/>
    <w:tmpl w:val="FFFFFFFF"/>
    <w:lvl w:ilvl="0" w:tplc="803881F0">
      <w:start w:val="1"/>
      <w:numFmt w:val="bullet"/>
      <w:lvlText w:val=""/>
      <w:lvlJc w:val="left"/>
      <w:pPr>
        <w:ind w:left="360" w:hanging="360"/>
      </w:pPr>
      <w:rPr>
        <w:rFonts w:ascii="Symbol" w:hAnsi="Symbol" w:hint="default"/>
      </w:rPr>
    </w:lvl>
    <w:lvl w:ilvl="1" w:tplc="7B98105C">
      <w:start w:val="1"/>
      <w:numFmt w:val="bullet"/>
      <w:lvlText w:val="o"/>
      <w:lvlJc w:val="left"/>
      <w:pPr>
        <w:ind w:left="1080" w:hanging="360"/>
      </w:pPr>
      <w:rPr>
        <w:rFonts w:ascii="Courier New" w:hAnsi="Courier New" w:hint="default"/>
      </w:rPr>
    </w:lvl>
    <w:lvl w:ilvl="2" w:tplc="EC762E44">
      <w:start w:val="1"/>
      <w:numFmt w:val="bullet"/>
      <w:lvlText w:val=""/>
      <w:lvlJc w:val="left"/>
      <w:pPr>
        <w:ind w:left="1800" w:hanging="360"/>
      </w:pPr>
      <w:rPr>
        <w:rFonts w:ascii="Wingdings" w:hAnsi="Wingdings" w:hint="default"/>
      </w:rPr>
    </w:lvl>
    <w:lvl w:ilvl="3" w:tplc="2DE2B086">
      <w:start w:val="1"/>
      <w:numFmt w:val="bullet"/>
      <w:lvlText w:val=""/>
      <w:lvlJc w:val="left"/>
      <w:pPr>
        <w:ind w:left="2520" w:hanging="360"/>
      </w:pPr>
      <w:rPr>
        <w:rFonts w:ascii="Symbol" w:hAnsi="Symbol" w:hint="default"/>
      </w:rPr>
    </w:lvl>
    <w:lvl w:ilvl="4" w:tplc="B36CC26E">
      <w:start w:val="1"/>
      <w:numFmt w:val="bullet"/>
      <w:lvlText w:val="o"/>
      <w:lvlJc w:val="left"/>
      <w:pPr>
        <w:ind w:left="3240" w:hanging="360"/>
      </w:pPr>
      <w:rPr>
        <w:rFonts w:ascii="Courier New" w:hAnsi="Courier New" w:hint="default"/>
      </w:rPr>
    </w:lvl>
    <w:lvl w:ilvl="5" w:tplc="80F00274">
      <w:start w:val="1"/>
      <w:numFmt w:val="bullet"/>
      <w:lvlText w:val=""/>
      <w:lvlJc w:val="left"/>
      <w:pPr>
        <w:ind w:left="3960" w:hanging="360"/>
      </w:pPr>
      <w:rPr>
        <w:rFonts w:ascii="Wingdings" w:hAnsi="Wingdings" w:hint="default"/>
      </w:rPr>
    </w:lvl>
    <w:lvl w:ilvl="6" w:tplc="775CA064">
      <w:start w:val="1"/>
      <w:numFmt w:val="bullet"/>
      <w:lvlText w:val=""/>
      <w:lvlJc w:val="left"/>
      <w:pPr>
        <w:ind w:left="4680" w:hanging="360"/>
      </w:pPr>
      <w:rPr>
        <w:rFonts w:ascii="Symbol" w:hAnsi="Symbol" w:hint="default"/>
      </w:rPr>
    </w:lvl>
    <w:lvl w:ilvl="7" w:tplc="94FAD350">
      <w:start w:val="1"/>
      <w:numFmt w:val="bullet"/>
      <w:lvlText w:val="o"/>
      <w:lvlJc w:val="left"/>
      <w:pPr>
        <w:ind w:left="5400" w:hanging="360"/>
      </w:pPr>
      <w:rPr>
        <w:rFonts w:ascii="Courier New" w:hAnsi="Courier New" w:hint="default"/>
      </w:rPr>
    </w:lvl>
    <w:lvl w:ilvl="8" w:tplc="60227494">
      <w:start w:val="1"/>
      <w:numFmt w:val="bullet"/>
      <w:lvlText w:val=""/>
      <w:lvlJc w:val="left"/>
      <w:pPr>
        <w:ind w:left="6120" w:hanging="360"/>
      </w:pPr>
      <w:rPr>
        <w:rFonts w:ascii="Wingdings" w:hAnsi="Wingdings" w:hint="default"/>
      </w:rPr>
    </w:lvl>
  </w:abstractNum>
  <w:abstractNum w:abstractNumId="12" w15:restartNumberingAfterBreak="0">
    <w:nsid w:val="197F547B"/>
    <w:multiLevelType w:val="hybridMultilevel"/>
    <w:tmpl w:val="54C20B1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3" w15:restartNumberingAfterBreak="0">
    <w:nsid w:val="1B9F5022"/>
    <w:multiLevelType w:val="hybridMultilevel"/>
    <w:tmpl w:val="02DAD714"/>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4" w15:restartNumberingAfterBreak="0">
    <w:nsid w:val="1E184338"/>
    <w:multiLevelType w:val="hybridMultilevel"/>
    <w:tmpl w:val="105E493E"/>
    <w:lvl w:ilvl="0" w:tplc="D1DED57E">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0A502DA"/>
    <w:multiLevelType w:val="hybridMultilevel"/>
    <w:tmpl w:val="297CE87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2194D883"/>
    <w:multiLevelType w:val="hybridMultilevel"/>
    <w:tmpl w:val="B434AAE2"/>
    <w:lvl w:ilvl="0" w:tplc="3F844028">
      <w:start w:val="1"/>
      <w:numFmt w:val="bullet"/>
      <w:lvlText w:val=""/>
      <w:lvlJc w:val="left"/>
      <w:pPr>
        <w:ind w:left="720" w:hanging="360"/>
      </w:pPr>
      <w:rPr>
        <w:rFonts w:ascii="Symbol" w:hAnsi="Symbol" w:hint="default"/>
      </w:rPr>
    </w:lvl>
    <w:lvl w:ilvl="1" w:tplc="95BE0F92">
      <w:start w:val="1"/>
      <w:numFmt w:val="bullet"/>
      <w:lvlText w:val="o"/>
      <w:lvlJc w:val="left"/>
      <w:pPr>
        <w:ind w:left="1440" w:hanging="360"/>
      </w:pPr>
      <w:rPr>
        <w:rFonts w:ascii="Courier New" w:hAnsi="Courier New" w:hint="default"/>
      </w:rPr>
    </w:lvl>
    <w:lvl w:ilvl="2" w:tplc="B3C058AE">
      <w:start w:val="1"/>
      <w:numFmt w:val="bullet"/>
      <w:lvlText w:val=""/>
      <w:lvlJc w:val="left"/>
      <w:pPr>
        <w:ind w:left="2160" w:hanging="360"/>
      </w:pPr>
      <w:rPr>
        <w:rFonts w:ascii="Wingdings" w:hAnsi="Wingdings" w:hint="default"/>
      </w:rPr>
    </w:lvl>
    <w:lvl w:ilvl="3" w:tplc="86D070B2">
      <w:start w:val="1"/>
      <w:numFmt w:val="bullet"/>
      <w:lvlText w:val=""/>
      <w:lvlJc w:val="left"/>
      <w:pPr>
        <w:ind w:left="2880" w:hanging="360"/>
      </w:pPr>
      <w:rPr>
        <w:rFonts w:ascii="Symbol" w:hAnsi="Symbol" w:hint="default"/>
      </w:rPr>
    </w:lvl>
    <w:lvl w:ilvl="4" w:tplc="C0D8C4E8">
      <w:start w:val="1"/>
      <w:numFmt w:val="bullet"/>
      <w:lvlText w:val="o"/>
      <w:lvlJc w:val="left"/>
      <w:pPr>
        <w:ind w:left="3600" w:hanging="360"/>
      </w:pPr>
      <w:rPr>
        <w:rFonts w:ascii="Courier New" w:hAnsi="Courier New" w:hint="default"/>
      </w:rPr>
    </w:lvl>
    <w:lvl w:ilvl="5" w:tplc="A48C2DE8">
      <w:start w:val="1"/>
      <w:numFmt w:val="bullet"/>
      <w:lvlText w:val=""/>
      <w:lvlJc w:val="left"/>
      <w:pPr>
        <w:ind w:left="4320" w:hanging="360"/>
      </w:pPr>
      <w:rPr>
        <w:rFonts w:ascii="Wingdings" w:hAnsi="Wingdings" w:hint="default"/>
      </w:rPr>
    </w:lvl>
    <w:lvl w:ilvl="6" w:tplc="88EA17B6">
      <w:start w:val="1"/>
      <w:numFmt w:val="bullet"/>
      <w:lvlText w:val=""/>
      <w:lvlJc w:val="left"/>
      <w:pPr>
        <w:ind w:left="5040" w:hanging="360"/>
      </w:pPr>
      <w:rPr>
        <w:rFonts w:ascii="Symbol" w:hAnsi="Symbol" w:hint="default"/>
      </w:rPr>
    </w:lvl>
    <w:lvl w:ilvl="7" w:tplc="06646FCC">
      <w:start w:val="1"/>
      <w:numFmt w:val="bullet"/>
      <w:lvlText w:val="o"/>
      <w:lvlJc w:val="left"/>
      <w:pPr>
        <w:ind w:left="5760" w:hanging="360"/>
      </w:pPr>
      <w:rPr>
        <w:rFonts w:ascii="Courier New" w:hAnsi="Courier New" w:hint="default"/>
      </w:rPr>
    </w:lvl>
    <w:lvl w:ilvl="8" w:tplc="816C9168">
      <w:start w:val="1"/>
      <w:numFmt w:val="bullet"/>
      <w:lvlText w:val=""/>
      <w:lvlJc w:val="left"/>
      <w:pPr>
        <w:ind w:left="6480" w:hanging="360"/>
      </w:pPr>
      <w:rPr>
        <w:rFonts w:ascii="Wingdings" w:hAnsi="Wingdings" w:hint="default"/>
      </w:rPr>
    </w:lvl>
  </w:abstractNum>
  <w:abstractNum w:abstractNumId="17" w15:restartNumberingAfterBreak="0">
    <w:nsid w:val="24AD3C5F"/>
    <w:multiLevelType w:val="hybridMultilevel"/>
    <w:tmpl w:val="9CB40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9CE5951"/>
    <w:multiLevelType w:val="hybridMultilevel"/>
    <w:tmpl w:val="FFFFFFFF"/>
    <w:lvl w:ilvl="0" w:tplc="7ECE147E">
      <w:start w:val="1"/>
      <w:numFmt w:val="bullet"/>
      <w:lvlText w:val=""/>
      <w:lvlJc w:val="left"/>
      <w:pPr>
        <w:ind w:left="360" w:hanging="360"/>
      </w:pPr>
      <w:rPr>
        <w:rFonts w:ascii="Symbol" w:hAnsi="Symbol" w:hint="default"/>
      </w:rPr>
    </w:lvl>
    <w:lvl w:ilvl="1" w:tplc="A0E612E6">
      <w:start w:val="1"/>
      <w:numFmt w:val="bullet"/>
      <w:lvlText w:val="o"/>
      <w:lvlJc w:val="left"/>
      <w:pPr>
        <w:ind w:left="1080" w:hanging="360"/>
      </w:pPr>
      <w:rPr>
        <w:rFonts w:ascii="Courier New" w:hAnsi="Courier New" w:hint="default"/>
      </w:rPr>
    </w:lvl>
    <w:lvl w:ilvl="2" w:tplc="7214DCE4">
      <w:start w:val="1"/>
      <w:numFmt w:val="bullet"/>
      <w:lvlText w:val=""/>
      <w:lvlJc w:val="left"/>
      <w:pPr>
        <w:ind w:left="1800" w:hanging="360"/>
      </w:pPr>
      <w:rPr>
        <w:rFonts w:ascii="Wingdings" w:hAnsi="Wingdings" w:hint="default"/>
      </w:rPr>
    </w:lvl>
    <w:lvl w:ilvl="3" w:tplc="DBAE204E">
      <w:start w:val="1"/>
      <w:numFmt w:val="bullet"/>
      <w:lvlText w:val=""/>
      <w:lvlJc w:val="left"/>
      <w:pPr>
        <w:ind w:left="2520" w:hanging="360"/>
      </w:pPr>
      <w:rPr>
        <w:rFonts w:ascii="Symbol" w:hAnsi="Symbol" w:hint="default"/>
      </w:rPr>
    </w:lvl>
    <w:lvl w:ilvl="4" w:tplc="D1C29ED2">
      <w:start w:val="1"/>
      <w:numFmt w:val="bullet"/>
      <w:lvlText w:val="o"/>
      <w:lvlJc w:val="left"/>
      <w:pPr>
        <w:ind w:left="3240" w:hanging="360"/>
      </w:pPr>
      <w:rPr>
        <w:rFonts w:ascii="Courier New" w:hAnsi="Courier New" w:hint="default"/>
      </w:rPr>
    </w:lvl>
    <w:lvl w:ilvl="5" w:tplc="5B507C6C">
      <w:start w:val="1"/>
      <w:numFmt w:val="bullet"/>
      <w:lvlText w:val=""/>
      <w:lvlJc w:val="left"/>
      <w:pPr>
        <w:ind w:left="3960" w:hanging="360"/>
      </w:pPr>
      <w:rPr>
        <w:rFonts w:ascii="Wingdings" w:hAnsi="Wingdings" w:hint="default"/>
      </w:rPr>
    </w:lvl>
    <w:lvl w:ilvl="6" w:tplc="E1DA2174">
      <w:start w:val="1"/>
      <w:numFmt w:val="bullet"/>
      <w:lvlText w:val=""/>
      <w:lvlJc w:val="left"/>
      <w:pPr>
        <w:ind w:left="4680" w:hanging="360"/>
      </w:pPr>
      <w:rPr>
        <w:rFonts w:ascii="Symbol" w:hAnsi="Symbol" w:hint="default"/>
      </w:rPr>
    </w:lvl>
    <w:lvl w:ilvl="7" w:tplc="B23AE3CA">
      <w:start w:val="1"/>
      <w:numFmt w:val="bullet"/>
      <w:lvlText w:val="o"/>
      <w:lvlJc w:val="left"/>
      <w:pPr>
        <w:ind w:left="5400" w:hanging="360"/>
      </w:pPr>
      <w:rPr>
        <w:rFonts w:ascii="Courier New" w:hAnsi="Courier New" w:hint="default"/>
      </w:rPr>
    </w:lvl>
    <w:lvl w:ilvl="8" w:tplc="571C2F4A">
      <w:start w:val="1"/>
      <w:numFmt w:val="bullet"/>
      <w:lvlText w:val=""/>
      <w:lvlJc w:val="left"/>
      <w:pPr>
        <w:ind w:left="6120" w:hanging="360"/>
      </w:pPr>
      <w:rPr>
        <w:rFonts w:ascii="Wingdings" w:hAnsi="Wingdings" w:hint="default"/>
      </w:rPr>
    </w:lvl>
  </w:abstractNum>
  <w:abstractNum w:abstractNumId="19" w15:restartNumberingAfterBreak="0">
    <w:nsid w:val="2C39D5E2"/>
    <w:multiLevelType w:val="hybridMultilevel"/>
    <w:tmpl w:val="FFFFFFFF"/>
    <w:lvl w:ilvl="0" w:tplc="3970C6C8">
      <w:start w:val="1"/>
      <w:numFmt w:val="bullet"/>
      <w:lvlText w:val="·"/>
      <w:lvlJc w:val="left"/>
      <w:pPr>
        <w:ind w:left="720" w:hanging="360"/>
      </w:pPr>
      <w:rPr>
        <w:rFonts w:ascii="Symbol" w:hAnsi="Symbol" w:hint="default"/>
      </w:rPr>
    </w:lvl>
    <w:lvl w:ilvl="1" w:tplc="7D021FD8">
      <w:start w:val="1"/>
      <w:numFmt w:val="bullet"/>
      <w:lvlText w:val="o"/>
      <w:lvlJc w:val="left"/>
      <w:pPr>
        <w:ind w:left="1440" w:hanging="360"/>
      </w:pPr>
      <w:rPr>
        <w:rFonts w:ascii="Courier New" w:hAnsi="Courier New" w:hint="default"/>
      </w:rPr>
    </w:lvl>
    <w:lvl w:ilvl="2" w:tplc="F8961A8C">
      <w:start w:val="1"/>
      <w:numFmt w:val="bullet"/>
      <w:lvlText w:val=""/>
      <w:lvlJc w:val="left"/>
      <w:pPr>
        <w:ind w:left="2160" w:hanging="360"/>
      </w:pPr>
      <w:rPr>
        <w:rFonts w:ascii="Wingdings" w:hAnsi="Wingdings" w:hint="default"/>
      </w:rPr>
    </w:lvl>
    <w:lvl w:ilvl="3" w:tplc="D9A89D2C">
      <w:start w:val="1"/>
      <w:numFmt w:val="bullet"/>
      <w:lvlText w:val=""/>
      <w:lvlJc w:val="left"/>
      <w:pPr>
        <w:ind w:left="2880" w:hanging="360"/>
      </w:pPr>
      <w:rPr>
        <w:rFonts w:ascii="Symbol" w:hAnsi="Symbol" w:hint="default"/>
      </w:rPr>
    </w:lvl>
    <w:lvl w:ilvl="4" w:tplc="2F0E85A2">
      <w:start w:val="1"/>
      <w:numFmt w:val="bullet"/>
      <w:lvlText w:val="o"/>
      <w:lvlJc w:val="left"/>
      <w:pPr>
        <w:ind w:left="3600" w:hanging="360"/>
      </w:pPr>
      <w:rPr>
        <w:rFonts w:ascii="Courier New" w:hAnsi="Courier New" w:hint="default"/>
      </w:rPr>
    </w:lvl>
    <w:lvl w:ilvl="5" w:tplc="22F8DF5E">
      <w:start w:val="1"/>
      <w:numFmt w:val="bullet"/>
      <w:lvlText w:val=""/>
      <w:lvlJc w:val="left"/>
      <w:pPr>
        <w:ind w:left="4320" w:hanging="360"/>
      </w:pPr>
      <w:rPr>
        <w:rFonts w:ascii="Wingdings" w:hAnsi="Wingdings" w:hint="default"/>
      </w:rPr>
    </w:lvl>
    <w:lvl w:ilvl="6" w:tplc="AECC7554">
      <w:start w:val="1"/>
      <w:numFmt w:val="bullet"/>
      <w:lvlText w:val=""/>
      <w:lvlJc w:val="left"/>
      <w:pPr>
        <w:ind w:left="5040" w:hanging="360"/>
      </w:pPr>
      <w:rPr>
        <w:rFonts w:ascii="Symbol" w:hAnsi="Symbol" w:hint="default"/>
      </w:rPr>
    </w:lvl>
    <w:lvl w:ilvl="7" w:tplc="74CE5DD0">
      <w:start w:val="1"/>
      <w:numFmt w:val="bullet"/>
      <w:lvlText w:val="o"/>
      <w:lvlJc w:val="left"/>
      <w:pPr>
        <w:ind w:left="5760" w:hanging="360"/>
      </w:pPr>
      <w:rPr>
        <w:rFonts w:ascii="Courier New" w:hAnsi="Courier New" w:hint="default"/>
      </w:rPr>
    </w:lvl>
    <w:lvl w:ilvl="8" w:tplc="693E0612">
      <w:start w:val="1"/>
      <w:numFmt w:val="bullet"/>
      <w:lvlText w:val=""/>
      <w:lvlJc w:val="left"/>
      <w:pPr>
        <w:ind w:left="6480" w:hanging="360"/>
      </w:pPr>
      <w:rPr>
        <w:rFonts w:ascii="Wingdings" w:hAnsi="Wingdings" w:hint="default"/>
      </w:rPr>
    </w:lvl>
  </w:abstractNum>
  <w:abstractNum w:abstractNumId="20" w15:restartNumberingAfterBreak="0">
    <w:nsid w:val="2D4B3F06"/>
    <w:multiLevelType w:val="hybridMultilevel"/>
    <w:tmpl w:val="FA88C6A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1" w15:restartNumberingAfterBreak="0">
    <w:nsid w:val="2ECF78C4"/>
    <w:multiLevelType w:val="hybridMultilevel"/>
    <w:tmpl w:val="7A44EB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07712EC"/>
    <w:multiLevelType w:val="hybridMultilevel"/>
    <w:tmpl w:val="FFFFFFFF"/>
    <w:lvl w:ilvl="0" w:tplc="5A166D90">
      <w:start w:val="1"/>
      <w:numFmt w:val="bullet"/>
      <w:lvlText w:val=""/>
      <w:lvlJc w:val="left"/>
      <w:pPr>
        <w:ind w:left="360" w:hanging="360"/>
      </w:pPr>
      <w:rPr>
        <w:rFonts w:ascii="Symbol" w:hAnsi="Symbol" w:hint="default"/>
      </w:rPr>
    </w:lvl>
    <w:lvl w:ilvl="1" w:tplc="8BA857F6">
      <w:start w:val="1"/>
      <w:numFmt w:val="bullet"/>
      <w:lvlText w:val="o"/>
      <w:lvlJc w:val="left"/>
      <w:pPr>
        <w:ind w:left="1080" w:hanging="360"/>
      </w:pPr>
      <w:rPr>
        <w:rFonts w:ascii="Courier New" w:hAnsi="Courier New" w:hint="default"/>
      </w:rPr>
    </w:lvl>
    <w:lvl w:ilvl="2" w:tplc="0D3C3B1E">
      <w:start w:val="1"/>
      <w:numFmt w:val="bullet"/>
      <w:lvlText w:val=""/>
      <w:lvlJc w:val="left"/>
      <w:pPr>
        <w:ind w:left="1800" w:hanging="360"/>
      </w:pPr>
      <w:rPr>
        <w:rFonts w:ascii="Wingdings" w:hAnsi="Wingdings" w:hint="default"/>
      </w:rPr>
    </w:lvl>
    <w:lvl w:ilvl="3" w:tplc="7C9CD8CE">
      <w:start w:val="1"/>
      <w:numFmt w:val="bullet"/>
      <w:lvlText w:val=""/>
      <w:lvlJc w:val="left"/>
      <w:pPr>
        <w:ind w:left="2520" w:hanging="360"/>
      </w:pPr>
      <w:rPr>
        <w:rFonts w:ascii="Symbol" w:hAnsi="Symbol" w:hint="default"/>
      </w:rPr>
    </w:lvl>
    <w:lvl w:ilvl="4" w:tplc="029442E8">
      <w:start w:val="1"/>
      <w:numFmt w:val="bullet"/>
      <w:lvlText w:val="o"/>
      <w:lvlJc w:val="left"/>
      <w:pPr>
        <w:ind w:left="3240" w:hanging="360"/>
      </w:pPr>
      <w:rPr>
        <w:rFonts w:ascii="Courier New" w:hAnsi="Courier New" w:hint="default"/>
      </w:rPr>
    </w:lvl>
    <w:lvl w:ilvl="5" w:tplc="36F271E6">
      <w:start w:val="1"/>
      <w:numFmt w:val="bullet"/>
      <w:lvlText w:val=""/>
      <w:lvlJc w:val="left"/>
      <w:pPr>
        <w:ind w:left="3960" w:hanging="360"/>
      </w:pPr>
      <w:rPr>
        <w:rFonts w:ascii="Wingdings" w:hAnsi="Wingdings" w:hint="default"/>
      </w:rPr>
    </w:lvl>
    <w:lvl w:ilvl="6" w:tplc="F68AC8A4">
      <w:start w:val="1"/>
      <w:numFmt w:val="bullet"/>
      <w:lvlText w:val=""/>
      <w:lvlJc w:val="left"/>
      <w:pPr>
        <w:ind w:left="4680" w:hanging="360"/>
      </w:pPr>
      <w:rPr>
        <w:rFonts w:ascii="Symbol" w:hAnsi="Symbol" w:hint="default"/>
      </w:rPr>
    </w:lvl>
    <w:lvl w:ilvl="7" w:tplc="D34CA204">
      <w:start w:val="1"/>
      <w:numFmt w:val="bullet"/>
      <w:lvlText w:val="o"/>
      <w:lvlJc w:val="left"/>
      <w:pPr>
        <w:ind w:left="5400" w:hanging="360"/>
      </w:pPr>
      <w:rPr>
        <w:rFonts w:ascii="Courier New" w:hAnsi="Courier New" w:hint="default"/>
      </w:rPr>
    </w:lvl>
    <w:lvl w:ilvl="8" w:tplc="FEE4F734">
      <w:start w:val="1"/>
      <w:numFmt w:val="bullet"/>
      <w:lvlText w:val=""/>
      <w:lvlJc w:val="left"/>
      <w:pPr>
        <w:ind w:left="6120" w:hanging="360"/>
      </w:pPr>
      <w:rPr>
        <w:rFonts w:ascii="Wingdings" w:hAnsi="Wingdings" w:hint="default"/>
      </w:rPr>
    </w:lvl>
  </w:abstractNum>
  <w:abstractNum w:abstractNumId="23" w15:restartNumberingAfterBreak="0">
    <w:nsid w:val="33B86314"/>
    <w:multiLevelType w:val="hybridMultilevel"/>
    <w:tmpl w:val="902A244E"/>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4" w15:restartNumberingAfterBreak="0">
    <w:nsid w:val="353D14AE"/>
    <w:multiLevelType w:val="hybridMultilevel"/>
    <w:tmpl w:val="0AA0F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B115DD"/>
    <w:multiLevelType w:val="hybridMultilevel"/>
    <w:tmpl w:val="FAD08998"/>
    <w:lvl w:ilvl="0" w:tplc="7F86A964">
      <w:start w:val="1"/>
      <w:numFmt w:val="bullet"/>
      <w:lvlText w:val=""/>
      <w:lvlJc w:val="left"/>
      <w:pPr>
        <w:ind w:left="360" w:hanging="360"/>
      </w:pPr>
      <w:rPr>
        <w:rFonts w:ascii="Symbol" w:hAnsi="Symbol" w:hint="default"/>
      </w:rPr>
    </w:lvl>
    <w:lvl w:ilvl="1" w:tplc="FFAAC014" w:tentative="1">
      <w:start w:val="1"/>
      <w:numFmt w:val="bullet"/>
      <w:lvlText w:val="o"/>
      <w:lvlJc w:val="left"/>
      <w:pPr>
        <w:ind w:left="1080" w:hanging="360"/>
      </w:pPr>
      <w:rPr>
        <w:rFonts w:ascii="Courier New" w:hAnsi="Courier New" w:hint="default"/>
      </w:rPr>
    </w:lvl>
    <w:lvl w:ilvl="2" w:tplc="4606BAEE" w:tentative="1">
      <w:start w:val="1"/>
      <w:numFmt w:val="bullet"/>
      <w:lvlText w:val=""/>
      <w:lvlJc w:val="left"/>
      <w:pPr>
        <w:ind w:left="1800" w:hanging="360"/>
      </w:pPr>
      <w:rPr>
        <w:rFonts w:ascii="Wingdings" w:hAnsi="Wingdings" w:hint="default"/>
      </w:rPr>
    </w:lvl>
    <w:lvl w:ilvl="3" w:tplc="C6648666" w:tentative="1">
      <w:start w:val="1"/>
      <w:numFmt w:val="bullet"/>
      <w:lvlText w:val=""/>
      <w:lvlJc w:val="left"/>
      <w:pPr>
        <w:ind w:left="2520" w:hanging="360"/>
      </w:pPr>
      <w:rPr>
        <w:rFonts w:ascii="Symbol" w:hAnsi="Symbol" w:hint="default"/>
      </w:rPr>
    </w:lvl>
    <w:lvl w:ilvl="4" w:tplc="7160CD46" w:tentative="1">
      <w:start w:val="1"/>
      <w:numFmt w:val="bullet"/>
      <w:lvlText w:val="o"/>
      <w:lvlJc w:val="left"/>
      <w:pPr>
        <w:ind w:left="3240" w:hanging="360"/>
      </w:pPr>
      <w:rPr>
        <w:rFonts w:ascii="Courier New" w:hAnsi="Courier New" w:hint="default"/>
      </w:rPr>
    </w:lvl>
    <w:lvl w:ilvl="5" w:tplc="A65466AE" w:tentative="1">
      <w:start w:val="1"/>
      <w:numFmt w:val="bullet"/>
      <w:lvlText w:val=""/>
      <w:lvlJc w:val="left"/>
      <w:pPr>
        <w:ind w:left="3960" w:hanging="360"/>
      </w:pPr>
      <w:rPr>
        <w:rFonts w:ascii="Wingdings" w:hAnsi="Wingdings" w:hint="default"/>
      </w:rPr>
    </w:lvl>
    <w:lvl w:ilvl="6" w:tplc="88022C30" w:tentative="1">
      <w:start w:val="1"/>
      <w:numFmt w:val="bullet"/>
      <w:lvlText w:val=""/>
      <w:lvlJc w:val="left"/>
      <w:pPr>
        <w:ind w:left="4680" w:hanging="360"/>
      </w:pPr>
      <w:rPr>
        <w:rFonts w:ascii="Symbol" w:hAnsi="Symbol" w:hint="default"/>
      </w:rPr>
    </w:lvl>
    <w:lvl w:ilvl="7" w:tplc="9E20B3E8" w:tentative="1">
      <w:start w:val="1"/>
      <w:numFmt w:val="bullet"/>
      <w:lvlText w:val="o"/>
      <w:lvlJc w:val="left"/>
      <w:pPr>
        <w:ind w:left="5400" w:hanging="360"/>
      </w:pPr>
      <w:rPr>
        <w:rFonts w:ascii="Courier New" w:hAnsi="Courier New" w:hint="default"/>
      </w:rPr>
    </w:lvl>
    <w:lvl w:ilvl="8" w:tplc="5A640F06" w:tentative="1">
      <w:start w:val="1"/>
      <w:numFmt w:val="bullet"/>
      <w:lvlText w:val=""/>
      <w:lvlJc w:val="left"/>
      <w:pPr>
        <w:ind w:left="6120" w:hanging="360"/>
      </w:pPr>
      <w:rPr>
        <w:rFonts w:ascii="Wingdings" w:hAnsi="Wingdings" w:hint="default"/>
      </w:rPr>
    </w:lvl>
  </w:abstractNum>
  <w:abstractNum w:abstractNumId="26" w15:restartNumberingAfterBreak="0">
    <w:nsid w:val="3A38088E"/>
    <w:multiLevelType w:val="hybridMultilevel"/>
    <w:tmpl w:val="FFFFFFFF"/>
    <w:lvl w:ilvl="0" w:tplc="E6FAB786">
      <w:start w:val="1"/>
      <w:numFmt w:val="bullet"/>
      <w:lvlText w:val=""/>
      <w:lvlJc w:val="left"/>
      <w:pPr>
        <w:ind w:left="360" w:hanging="360"/>
      </w:pPr>
      <w:rPr>
        <w:rFonts w:ascii="Symbol" w:hAnsi="Symbol" w:hint="default"/>
      </w:rPr>
    </w:lvl>
    <w:lvl w:ilvl="1" w:tplc="3070C752">
      <w:start w:val="1"/>
      <w:numFmt w:val="bullet"/>
      <w:lvlText w:val="o"/>
      <w:lvlJc w:val="left"/>
      <w:pPr>
        <w:ind w:left="1080" w:hanging="360"/>
      </w:pPr>
      <w:rPr>
        <w:rFonts w:ascii="Courier New" w:hAnsi="Courier New" w:hint="default"/>
      </w:rPr>
    </w:lvl>
    <w:lvl w:ilvl="2" w:tplc="312A97DE">
      <w:start w:val="1"/>
      <w:numFmt w:val="bullet"/>
      <w:lvlText w:val=""/>
      <w:lvlJc w:val="left"/>
      <w:pPr>
        <w:ind w:left="1800" w:hanging="360"/>
      </w:pPr>
      <w:rPr>
        <w:rFonts w:ascii="Wingdings" w:hAnsi="Wingdings" w:hint="default"/>
      </w:rPr>
    </w:lvl>
    <w:lvl w:ilvl="3" w:tplc="8BCC8AE0">
      <w:start w:val="1"/>
      <w:numFmt w:val="bullet"/>
      <w:lvlText w:val=""/>
      <w:lvlJc w:val="left"/>
      <w:pPr>
        <w:ind w:left="2520" w:hanging="360"/>
      </w:pPr>
      <w:rPr>
        <w:rFonts w:ascii="Symbol" w:hAnsi="Symbol" w:hint="default"/>
      </w:rPr>
    </w:lvl>
    <w:lvl w:ilvl="4" w:tplc="4216C110">
      <w:start w:val="1"/>
      <w:numFmt w:val="bullet"/>
      <w:lvlText w:val="o"/>
      <w:lvlJc w:val="left"/>
      <w:pPr>
        <w:ind w:left="3240" w:hanging="360"/>
      </w:pPr>
      <w:rPr>
        <w:rFonts w:ascii="Courier New" w:hAnsi="Courier New" w:hint="default"/>
      </w:rPr>
    </w:lvl>
    <w:lvl w:ilvl="5" w:tplc="0B3090C2">
      <w:start w:val="1"/>
      <w:numFmt w:val="bullet"/>
      <w:lvlText w:val=""/>
      <w:lvlJc w:val="left"/>
      <w:pPr>
        <w:ind w:left="3960" w:hanging="360"/>
      </w:pPr>
      <w:rPr>
        <w:rFonts w:ascii="Wingdings" w:hAnsi="Wingdings" w:hint="default"/>
      </w:rPr>
    </w:lvl>
    <w:lvl w:ilvl="6" w:tplc="F51E4606">
      <w:start w:val="1"/>
      <w:numFmt w:val="bullet"/>
      <w:lvlText w:val=""/>
      <w:lvlJc w:val="left"/>
      <w:pPr>
        <w:ind w:left="4680" w:hanging="360"/>
      </w:pPr>
      <w:rPr>
        <w:rFonts w:ascii="Symbol" w:hAnsi="Symbol" w:hint="default"/>
      </w:rPr>
    </w:lvl>
    <w:lvl w:ilvl="7" w:tplc="C0A04024">
      <w:start w:val="1"/>
      <w:numFmt w:val="bullet"/>
      <w:lvlText w:val="o"/>
      <w:lvlJc w:val="left"/>
      <w:pPr>
        <w:ind w:left="5400" w:hanging="360"/>
      </w:pPr>
      <w:rPr>
        <w:rFonts w:ascii="Courier New" w:hAnsi="Courier New" w:hint="default"/>
      </w:rPr>
    </w:lvl>
    <w:lvl w:ilvl="8" w:tplc="F18E5994">
      <w:start w:val="1"/>
      <w:numFmt w:val="bullet"/>
      <w:lvlText w:val=""/>
      <w:lvlJc w:val="left"/>
      <w:pPr>
        <w:ind w:left="6120" w:hanging="360"/>
      </w:pPr>
      <w:rPr>
        <w:rFonts w:ascii="Wingdings" w:hAnsi="Wingdings" w:hint="default"/>
      </w:rPr>
    </w:lvl>
  </w:abstractNum>
  <w:abstractNum w:abstractNumId="27" w15:restartNumberingAfterBreak="0">
    <w:nsid w:val="3A84BEAB"/>
    <w:multiLevelType w:val="hybridMultilevel"/>
    <w:tmpl w:val="FFFFFFFF"/>
    <w:lvl w:ilvl="0" w:tplc="A472148E">
      <w:start w:val="1"/>
      <w:numFmt w:val="bullet"/>
      <w:lvlText w:val=""/>
      <w:lvlJc w:val="left"/>
      <w:pPr>
        <w:ind w:left="360" w:hanging="360"/>
      </w:pPr>
      <w:rPr>
        <w:rFonts w:ascii="Symbol" w:hAnsi="Symbol" w:hint="default"/>
      </w:rPr>
    </w:lvl>
    <w:lvl w:ilvl="1" w:tplc="CDEA2444">
      <w:start w:val="1"/>
      <w:numFmt w:val="bullet"/>
      <w:lvlText w:val="o"/>
      <w:lvlJc w:val="left"/>
      <w:pPr>
        <w:ind w:left="1080" w:hanging="360"/>
      </w:pPr>
      <w:rPr>
        <w:rFonts w:ascii="Courier New" w:hAnsi="Courier New" w:hint="default"/>
      </w:rPr>
    </w:lvl>
    <w:lvl w:ilvl="2" w:tplc="A5286AB0">
      <w:start w:val="1"/>
      <w:numFmt w:val="bullet"/>
      <w:lvlText w:val=""/>
      <w:lvlJc w:val="left"/>
      <w:pPr>
        <w:ind w:left="1800" w:hanging="360"/>
      </w:pPr>
      <w:rPr>
        <w:rFonts w:ascii="Wingdings" w:hAnsi="Wingdings" w:hint="default"/>
      </w:rPr>
    </w:lvl>
    <w:lvl w:ilvl="3" w:tplc="434AE2AE">
      <w:start w:val="1"/>
      <w:numFmt w:val="bullet"/>
      <w:lvlText w:val=""/>
      <w:lvlJc w:val="left"/>
      <w:pPr>
        <w:ind w:left="2520" w:hanging="360"/>
      </w:pPr>
      <w:rPr>
        <w:rFonts w:ascii="Symbol" w:hAnsi="Symbol" w:hint="default"/>
      </w:rPr>
    </w:lvl>
    <w:lvl w:ilvl="4" w:tplc="AD866388">
      <w:start w:val="1"/>
      <w:numFmt w:val="bullet"/>
      <w:lvlText w:val="o"/>
      <w:lvlJc w:val="left"/>
      <w:pPr>
        <w:ind w:left="3240" w:hanging="360"/>
      </w:pPr>
      <w:rPr>
        <w:rFonts w:ascii="Courier New" w:hAnsi="Courier New" w:hint="default"/>
      </w:rPr>
    </w:lvl>
    <w:lvl w:ilvl="5" w:tplc="BA9A28B2">
      <w:start w:val="1"/>
      <w:numFmt w:val="bullet"/>
      <w:lvlText w:val=""/>
      <w:lvlJc w:val="left"/>
      <w:pPr>
        <w:ind w:left="3960" w:hanging="360"/>
      </w:pPr>
      <w:rPr>
        <w:rFonts w:ascii="Wingdings" w:hAnsi="Wingdings" w:hint="default"/>
      </w:rPr>
    </w:lvl>
    <w:lvl w:ilvl="6" w:tplc="90D012DA">
      <w:start w:val="1"/>
      <w:numFmt w:val="bullet"/>
      <w:lvlText w:val=""/>
      <w:lvlJc w:val="left"/>
      <w:pPr>
        <w:ind w:left="4680" w:hanging="360"/>
      </w:pPr>
      <w:rPr>
        <w:rFonts w:ascii="Symbol" w:hAnsi="Symbol" w:hint="default"/>
      </w:rPr>
    </w:lvl>
    <w:lvl w:ilvl="7" w:tplc="A1549786">
      <w:start w:val="1"/>
      <w:numFmt w:val="bullet"/>
      <w:lvlText w:val="o"/>
      <w:lvlJc w:val="left"/>
      <w:pPr>
        <w:ind w:left="5400" w:hanging="360"/>
      </w:pPr>
      <w:rPr>
        <w:rFonts w:ascii="Courier New" w:hAnsi="Courier New" w:hint="default"/>
      </w:rPr>
    </w:lvl>
    <w:lvl w:ilvl="8" w:tplc="98FA3CD8">
      <w:start w:val="1"/>
      <w:numFmt w:val="bullet"/>
      <w:lvlText w:val=""/>
      <w:lvlJc w:val="left"/>
      <w:pPr>
        <w:ind w:left="6120" w:hanging="360"/>
      </w:pPr>
      <w:rPr>
        <w:rFonts w:ascii="Wingdings" w:hAnsi="Wingdings" w:hint="default"/>
      </w:rPr>
    </w:lvl>
  </w:abstractNum>
  <w:abstractNum w:abstractNumId="28" w15:restartNumberingAfterBreak="0">
    <w:nsid w:val="3D6C26BF"/>
    <w:multiLevelType w:val="multilevel"/>
    <w:tmpl w:val="3CDAC93E"/>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bCs/>
      </w:rPr>
    </w:lvl>
    <w:lvl w:ilvl="2">
      <w:start w:val="1"/>
      <w:numFmt w:val="decimal"/>
      <w:pStyle w:val="Heading3"/>
      <w:lvlText w:val="%1.%2.%3"/>
      <w:lvlJc w:val="left"/>
      <w:pPr>
        <w:ind w:left="965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4287C4A5"/>
    <w:multiLevelType w:val="hybridMultilevel"/>
    <w:tmpl w:val="FFFFFFFF"/>
    <w:lvl w:ilvl="0" w:tplc="F48E6E5E">
      <w:start w:val="1"/>
      <w:numFmt w:val="bullet"/>
      <w:lvlText w:val=""/>
      <w:lvlJc w:val="left"/>
      <w:pPr>
        <w:ind w:left="360" w:hanging="360"/>
      </w:pPr>
      <w:rPr>
        <w:rFonts w:ascii="Symbol" w:hAnsi="Symbol" w:hint="default"/>
      </w:rPr>
    </w:lvl>
    <w:lvl w:ilvl="1" w:tplc="7B10A648">
      <w:start w:val="1"/>
      <w:numFmt w:val="bullet"/>
      <w:lvlText w:val="o"/>
      <w:lvlJc w:val="left"/>
      <w:pPr>
        <w:ind w:left="1080" w:hanging="360"/>
      </w:pPr>
      <w:rPr>
        <w:rFonts w:ascii="Courier New" w:hAnsi="Courier New" w:hint="default"/>
      </w:rPr>
    </w:lvl>
    <w:lvl w:ilvl="2" w:tplc="A4246BD4">
      <w:start w:val="1"/>
      <w:numFmt w:val="bullet"/>
      <w:lvlText w:val=""/>
      <w:lvlJc w:val="left"/>
      <w:pPr>
        <w:ind w:left="1800" w:hanging="360"/>
      </w:pPr>
      <w:rPr>
        <w:rFonts w:ascii="Wingdings" w:hAnsi="Wingdings" w:hint="default"/>
      </w:rPr>
    </w:lvl>
    <w:lvl w:ilvl="3" w:tplc="30F48DA4">
      <w:start w:val="1"/>
      <w:numFmt w:val="bullet"/>
      <w:lvlText w:val=""/>
      <w:lvlJc w:val="left"/>
      <w:pPr>
        <w:ind w:left="2520" w:hanging="360"/>
      </w:pPr>
      <w:rPr>
        <w:rFonts w:ascii="Symbol" w:hAnsi="Symbol" w:hint="default"/>
      </w:rPr>
    </w:lvl>
    <w:lvl w:ilvl="4" w:tplc="39EC5BF4">
      <w:start w:val="1"/>
      <w:numFmt w:val="bullet"/>
      <w:lvlText w:val="o"/>
      <w:lvlJc w:val="left"/>
      <w:pPr>
        <w:ind w:left="3240" w:hanging="360"/>
      </w:pPr>
      <w:rPr>
        <w:rFonts w:ascii="Courier New" w:hAnsi="Courier New" w:hint="default"/>
      </w:rPr>
    </w:lvl>
    <w:lvl w:ilvl="5" w:tplc="1C507D10">
      <w:start w:val="1"/>
      <w:numFmt w:val="bullet"/>
      <w:lvlText w:val=""/>
      <w:lvlJc w:val="left"/>
      <w:pPr>
        <w:ind w:left="3960" w:hanging="360"/>
      </w:pPr>
      <w:rPr>
        <w:rFonts w:ascii="Wingdings" w:hAnsi="Wingdings" w:hint="default"/>
      </w:rPr>
    </w:lvl>
    <w:lvl w:ilvl="6" w:tplc="53822B9E">
      <w:start w:val="1"/>
      <w:numFmt w:val="bullet"/>
      <w:lvlText w:val=""/>
      <w:lvlJc w:val="left"/>
      <w:pPr>
        <w:ind w:left="4680" w:hanging="360"/>
      </w:pPr>
      <w:rPr>
        <w:rFonts w:ascii="Symbol" w:hAnsi="Symbol" w:hint="default"/>
      </w:rPr>
    </w:lvl>
    <w:lvl w:ilvl="7" w:tplc="CD641BFA">
      <w:start w:val="1"/>
      <w:numFmt w:val="bullet"/>
      <w:lvlText w:val="o"/>
      <w:lvlJc w:val="left"/>
      <w:pPr>
        <w:ind w:left="5400" w:hanging="360"/>
      </w:pPr>
      <w:rPr>
        <w:rFonts w:ascii="Courier New" w:hAnsi="Courier New" w:hint="default"/>
      </w:rPr>
    </w:lvl>
    <w:lvl w:ilvl="8" w:tplc="8A7E713A">
      <w:start w:val="1"/>
      <w:numFmt w:val="bullet"/>
      <w:lvlText w:val=""/>
      <w:lvlJc w:val="left"/>
      <w:pPr>
        <w:ind w:left="6120" w:hanging="360"/>
      </w:pPr>
      <w:rPr>
        <w:rFonts w:ascii="Wingdings" w:hAnsi="Wingdings" w:hint="default"/>
      </w:rPr>
    </w:lvl>
  </w:abstractNum>
  <w:abstractNum w:abstractNumId="30" w15:restartNumberingAfterBreak="0">
    <w:nsid w:val="491E3A91"/>
    <w:multiLevelType w:val="hybridMultilevel"/>
    <w:tmpl w:val="21AA015E"/>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1" w15:restartNumberingAfterBreak="0">
    <w:nsid w:val="4B414B35"/>
    <w:multiLevelType w:val="hybridMultilevel"/>
    <w:tmpl w:val="EB3E3BBE"/>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4C8F5852"/>
    <w:multiLevelType w:val="hybridMultilevel"/>
    <w:tmpl w:val="06DECF1A"/>
    <w:lvl w:ilvl="0" w:tplc="B19C2E72">
      <w:start w:val="1"/>
      <w:numFmt w:val="bullet"/>
      <w:lvlText w:val="•"/>
      <w:lvlJc w:val="left"/>
      <w:pPr>
        <w:tabs>
          <w:tab w:val="num" w:pos="720"/>
        </w:tabs>
        <w:ind w:left="720" w:hanging="360"/>
      </w:pPr>
      <w:rPr>
        <w:rFonts w:ascii="Arial" w:hAnsi="Arial" w:hint="default"/>
      </w:rPr>
    </w:lvl>
    <w:lvl w:ilvl="1" w:tplc="2312EFC8" w:tentative="1">
      <w:start w:val="1"/>
      <w:numFmt w:val="bullet"/>
      <w:lvlText w:val="•"/>
      <w:lvlJc w:val="left"/>
      <w:pPr>
        <w:tabs>
          <w:tab w:val="num" w:pos="1440"/>
        </w:tabs>
        <w:ind w:left="1440" w:hanging="360"/>
      </w:pPr>
      <w:rPr>
        <w:rFonts w:ascii="Arial" w:hAnsi="Arial" w:hint="default"/>
      </w:rPr>
    </w:lvl>
    <w:lvl w:ilvl="2" w:tplc="7786BBC2" w:tentative="1">
      <w:start w:val="1"/>
      <w:numFmt w:val="bullet"/>
      <w:lvlText w:val="•"/>
      <w:lvlJc w:val="left"/>
      <w:pPr>
        <w:tabs>
          <w:tab w:val="num" w:pos="2160"/>
        </w:tabs>
        <w:ind w:left="2160" w:hanging="360"/>
      </w:pPr>
      <w:rPr>
        <w:rFonts w:ascii="Arial" w:hAnsi="Arial" w:hint="default"/>
      </w:rPr>
    </w:lvl>
    <w:lvl w:ilvl="3" w:tplc="A0BCC344" w:tentative="1">
      <w:start w:val="1"/>
      <w:numFmt w:val="bullet"/>
      <w:lvlText w:val="•"/>
      <w:lvlJc w:val="left"/>
      <w:pPr>
        <w:tabs>
          <w:tab w:val="num" w:pos="2880"/>
        </w:tabs>
        <w:ind w:left="2880" w:hanging="360"/>
      </w:pPr>
      <w:rPr>
        <w:rFonts w:ascii="Arial" w:hAnsi="Arial" w:hint="default"/>
      </w:rPr>
    </w:lvl>
    <w:lvl w:ilvl="4" w:tplc="A7CA9C96" w:tentative="1">
      <w:start w:val="1"/>
      <w:numFmt w:val="bullet"/>
      <w:lvlText w:val="•"/>
      <w:lvlJc w:val="left"/>
      <w:pPr>
        <w:tabs>
          <w:tab w:val="num" w:pos="3600"/>
        </w:tabs>
        <w:ind w:left="3600" w:hanging="360"/>
      </w:pPr>
      <w:rPr>
        <w:rFonts w:ascii="Arial" w:hAnsi="Arial" w:hint="default"/>
      </w:rPr>
    </w:lvl>
    <w:lvl w:ilvl="5" w:tplc="A7AAABA0" w:tentative="1">
      <w:start w:val="1"/>
      <w:numFmt w:val="bullet"/>
      <w:lvlText w:val="•"/>
      <w:lvlJc w:val="left"/>
      <w:pPr>
        <w:tabs>
          <w:tab w:val="num" w:pos="4320"/>
        </w:tabs>
        <w:ind w:left="4320" w:hanging="360"/>
      </w:pPr>
      <w:rPr>
        <w:rFonts w:ascii="Arial" w:hAnsi="Arial" w:hint="default"/>
      </w:rPr>
    </w:lvl>
    <w:lvl w:ilvl="6" w:tplc="B568C478" w:tentative="1">
      <w:start w:val="1"/>
      <w:numFmt w:val="bullet"/>
      <w:lvlText w:val="•"/>
      <w:lvlJc w:val="left"/>
      <w:pPr>
        <w:tabs>
          <w:tab w:val="num" w:pos="5040"/>
        </w:tabs>
        <w:ind w:left="5040" w:hanging="360"/>
      </w:pPr>
      <w:rPr>
        <w:rFonts w:ascii="Arial" w:hAnsi="Arial" w:hint="default"/>
      </w:rPr>
    </w:lvl>
    <w:lvl w:ilvl="7" w:tplc="D4845B4A" w:tentative="1">
      <w:start w:val="1"/>
      <w:numFmt w:val="bullet"/>
      <w:lvlText w:val="•"/>
      <w:lvlJc w:val="left"/>
      <w:pPr>
        <w:tabs>
          <w:tab w:val="num" w:pos="5760"/>
        </w:tabs>
        <w:ind w:left="5760" w:hanging="360"/>
      </w:pPr>
      <w:rPr>
        <w:rFonts w:ascii="Arial" w:hAnsi="Arial" w:hint="default"/>
      </w:rPr>
    </w:lvl>
    <w:lvl w:ilvl="8" w:tplc="81562C5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EAD577C"/>
    <w:multiLevelType w:val="hybridMultilevel"/>
    <w:tmpl w:val="FFFFFFFF"/>
    <w:lvl w:ilvl="0" w:tplc="1270A3F2">
      <w:start w:val="1"/>
      <w:numFmt w:val="bullet"/>
      <w:lvlText w:val=""/>
      <w:lvlJc w:val="left"/>
      <w:pPr>
        <w:ind w:left="360" w:hanging="360"/>
      </w:pPr>
      <w:rPr>
        <w:rFonts w:ascii="Symbol" w:hAnsi="Symbol" w:hint="default"/>
      </w:rPr>
    </w:lvl>
    <w:lvl w:ilvl="1" w:tplc="EFAE7D9E">
      <w:start w:val="1"/>
      <w:numFmt w:val="bullet"/>
      <w:lvlText w:val="o"/>
      <w:lvlJc w:val="left"/>
      <w:pPr>
        <w:ind w:left="1080" w:hanging="360"/>
      </w:pPr>
      <w:rPr>
        <w:rFonts w:ascii="Courier New" w:hAnsi="Courier New" w:hint="default"/>
      </w:rPr>
    </w:lvl>
    <w:lvl w:ilvl="2" w:tplc="969098F8">
      <w:start w:val="1"/>
      <w:numFmt w:val="bullet"/>
      <w:lvlText w:val=""/>
      <w:lvlJc w:val="left"/>
      <w:pPr>
        <w:ind w:left="1800" w:hanging="360"/>
      </w:pPr>
      <w:rPr>
        <w:rFonts w:ascii="Wingdings" w:hAnsi="Wingdings" w:hint="default"/>
      </w:rPr>
    </w:lvl>
    <w:lvl w:ilvl="3" w:tplc="DA8E2352">
      <w:start w:val="1"/>
      <w:numFmt w:val="bullet"/>
      <w:lvlText w:val=""/>
      <w:lvlJc w:val="left"/>
      <w:pPr>
        <w:ind w:left="2520" w:hanging="360"/>
      </w:pPr>
      <w:rPr>
        <w:rFonts w:ascii="Symbol" w:hAnsi="Symbol" w:hint="default"/>
      </w:rPr>
    </w:lvl>
    <w:lvl w:ilvl="4" w:tplc="6952E9AC">
      <w:start w:val="1"/>
      <w:numFmt w:val="bullet"/>
      <w:lvlText w:val="o"/>
      <w:lvlJc w:val="left"/>
      <w:pPr>
        <w:ind w:left="3240" w:hanging="360"/>
      </w:pPr>
      <w:rPr>
        <w:rFonts w:ascii="Courier New" w:hAnsi="Courier New" w:hint="default"/>
      </w:rPr>
    </w:lvl>
    <w:lvl w:ilvl="5" w:tplc="290C0FF4">
      <w:start w:val="1"/>
      <w:numFmt w:val="bullet"/>
      <w:lvlText w:val=""/>
      <w:lvlJc w:val="left"/>
      <w:pPr>
        <w:ind w:left="3960" w:hanging="360"/>
      </w:pPr>
      <w:rPr>
        <w:rFonts w:ascii="Wingdings" w:hAnsi="Wingdings" w:hint="default"/>
      </w:rPr>
    </w:lvl>
    <w:lvl w:ilvl="6" w:tplc="59EA0040">
      <w:start w:val="1"/>
      <w:numFmt w:val="bullet"/>
      <w:lvlText w:val=""/>
      <w:lvlJc w:val="left"/>
      <w:pPr>
        <w:ind w:left="4680" w:hanging="360"/>
      </w:pPr>
      <w:rPr>
        <w:rFonts w:ascii="Symbol" w:hAnsi="Symbol" w:hint="default"/>
      </w:rPr>
    </w:lvl>
    <w:lvl w:ilvl="7" w:tplc="FA54282C">
      <w:start w:val="1"/>
      <w:numFmt w:val="bullet"/>
      <w:lvlText w:val="o"/>
      <w:lvlJc w:val="left"/>
      <w:pPr>
        <w:ind w:left="5400" w:hanging="360"/>
      </w:pPr>
      <w:rPr>
        <w:rFonts w:ascii="Courier New" w:hAnsi="Courier New" w:hint="default"/>
      </w:rPr>
    </w:lvl>
    <w:lvl w:ilvl="8" w:tplc="833ABBDE">
      <w:start w:val="1"/>
      <w:numFmt w:val="bullet"/>
      <w:lvlText w:val=""/>
      <w:lvlJc w:val="left"/>
      <w:pPr>
        <w:ind w:left="6120" w:hanging="360"/>
      </w:pPr>
      <w:rPr>
        <w:rFonts w:ascii="Wingdings" w:hAnsi="Wingdings" w:hint="default"/>
      </w:rPr>
    </w:lvl>
  </w:abstractNum>
  <w:abstractNum w:abstractNumId="34" w15:restartNumberingAfterBreak="0">
    <w:nsid w:val="51B30BDC"/>
    <w:multiLevelType w:val="multilevel"/>
    <w:tmpl w:val="59BCFE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3DE2BA3"/>
    <w:multiLevelType w:val="hybridMultilevel"/>
    <w:tmpl w:val="B81EF3E0"/>
    <w:lvl w:ilvl="0" w:tplc="08090001">
      <w:start w:val="1"/>
      <w:numFmt w:val="bullet"/>
      <w:lvlText w:val=""/>
      <w:lvlJc w:val="left"/>
      <w:pPr>
        <w:ind w:left="1287" w:hanging="360"/>
      </w:pPr>
      <w:rPr>
        <w:rFonts w:ascii="Symbol" w:hAnsi="Symbol" w:hint="default"/>
      </w:rPr>
    </w:lvl>
    <w:lvl w:ilvl="1" w:tplc="99CCB910">
      <w:numFmt w:val="bullet"/>
      <w:lvlText w:val="·"/>
      <w:lvlJc w:val="left"/>
      <w:pPr>
        <w:ind w:left="2007" w:hanging="360"/>
      </w:pPr>
      <w:rPr>
        <w:rFonts w:ascii="Arial" w:eastAsia="Times New Roman" w:hAnsi="Arial" w:cs="Arial" w:hint="default"/>
        <w:color w:val="000000"/>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6" w15:restartNumberingAfterBreak="0">
    <w:nsid w:val="54B6BEDE"/>
    <w:multiLevelType w:val="hybridMultilevel"/>
    <w:tmpl w:val="FFFFFFFF"/>
    <w:lvl w:ilvl="0" w:tplc="518E4CEC">
      <w:start w:val="1"/>
      <w:numFmt w:val="decimal"/>
      <w:lvlText w:val="%1."/>
      <w:lvlJc w:val="left"/>
      <w:pPr>
        <w:ind w:left="360" w:hanging="360"/>
      </w:pPr>
    </w:lvl>
    <w:lvl w:ilvl="1" w:tplc="65C4A502">
      <w:start w:val="1"/>
      <w:numFmt w:val="lowerLetter"/>
      <w:lvlText w:val="%2."/>
      <w:lvlJc w:val="left"/>
      <w:pPr>
        <w:ind w:left="1080" w:hanging="360"/>
      </w:pPr>
    </w:lvl>
    <w:lvl w:ilvl="2" w:tplc="C546B8C8">
      <w:start w:val="1"/>
      <w:numFmt w:val="lowerRoman"/>
      <w:lvlText w:val="%3."/>
      <w:lvlJc w:val="right"/>
      <w:pPr>
        <w:ind w:left="1800" w:hanging="180"/>
      </w:pPr>
    </w:lvl>
    <w:lvl w:ilvl="3" w:tplc="6FF82156">
      <w:start w:val="1"/>
      <w:numFmt w:val="decimal"/>
      <w:lvlText w:val="%4."/>
      <w:lvlJc w:val="left"/>
      <w:pPr>
        <w:ind w:left="2520" w:hanging="360"/>
      </w:pPr>
    </w:lvl>
    <w:lvl w:ilvl="4" w:tplc="5246C514">
      <w:start w:val="1"/>
      <w:numFmt w:val="lowerLetter"/>
      <w:lvlText w:val="%5."/>
      <w:lvlJc w:val="left"/>
      <w:pPr>
        <w:ind w:left="3240" w:hanging="360"/>
      </w:pPr>
    </w:lvl>
    <w:lvl w:ilvl="5" w:tplc="27AAEEB8">
      <w:start w:val="1"/>
      <w:numFmt w:val="lowerRoman"/>
      <w:lvlText w:val="%6."/>
      <w:lvlJc w:val="right"/>
      <w:pPr>
        <w:ind w:left="3960" w:hanging="180"/>
      </w:pPr>
    </w:lvl>
    <w:lvl w:ilvl="6" w:tplc="C4D6E500">
      <w:start w:val="1"/>
      <w:numFmt w:val="decimal"/>
      <w:lvlText w:val="%7."/>
      <w:lvlJc w:val="left"/>
      <w:pPr>
        <w:ind w:left="4680" w:hanging="360"/>
      </w:pPr>
    </w:lvl>
    <w:lvl w:ilvl="7" w:tplc="B4EE8E98">
      <w:start w:val="1"/>
      <w:numFmt w:val="lowerLetter"/>
      <w:lvlText w:val="%8."/>
      <w:lvlJc w:val="left"/>
      <w:pPr>
        <w:ind w:left="5400" w:hanging="360"/>
      </w:pPr>
    </w:lvl>
    <w:lvl w:ilvl="8" w:tplc="EFF65952">
      <w:start w:val="1"/>
      <w:numFmt w:val="lowerRoman"/>
      <w:lvlText w:val="%9."/>
      <w:lvlJc w:val="right"/>
      <w:pPr>
        <w:ind w:left="6120" w:hanging="180"/>
      </w:pPr>
    </w:lvl>
  </w:abstractNum>
  <w:abstractNum w:abstractNumId="37" w15:restartNumberingAfterBreak="0">
    <w:nsid w:val="58800000"/>
    <w:multiLevelType w:val="hybridMultilevel"/>
    <w:tmpl w:val="FD203CDE"/>
    <w:lvl w:ilvl="0" w:tplc="08090001">
      <w:start w:val="1"/>
      <w:numFmt w:val="bullet"/>
      <w:lvlText w:val=""/>
      <w:lvlJc w:val="left"/>
      <w:pPr>
        <w:ind w:left="720" w:hanging="360"/>
      </w:pPr>
      <w:rPr>
        <w:rFonts w:ascii="Symbol" w:hAnsi="Symbol" w:hint="default"/>
      </w:rPr>
    </w:lvl>
    <w:lvl w:ilvl="1" w:tplc="948076B6">
      <w:start w:val="1"/>
      <w:numFmt w:val="bullet"/>
      <w:lvlText w:val="o"/>
      <w:lvlJc w:val="left"/>
      <w:pPr>
        <w:ind w:left="1440" w:hanging="360"/>
      </w:pPr>
      <w:rPr>
        <w:rFonts w:ascii="Courier New" w:hAnsi="Courier New" w:hint="default"/>
      </w:rPr>
    </w:lvl>
    <w:lvl w:ilvl="2" w:tplc="9C38A67C">
      <w:start w:val="1"/>
      <w:numFmt w:val="bullet"/>
      <w:lvlText w:val=""/>
      <w:lvlJc w:val="left"/>
      <w:pPr>
        <w:ind w:left="2160" w:hanging="360"/>
      </w:pPr>
      <w:rPr>
        <w:rFonts w:ascii="Wingdings" w:hAnsi="Wingdings" w:hint="default"/>
      </w:rPr>
    </w:lvl>
    <w:lvl w:ilvl="3" w:tplc="65665F1C">
      <w:start w:val="1"/>
      <w:numFmt w:val="bullet"/>
      <w:lvlText w:val=""/>
      <w:lvlJc w:val="left"/>
      <w:pPr>
        <w:ind w:left="2880" w:hanging="360"/>
      </w:pPr>
      <w:rPr>
        <w:rFonts w:ascii="Symbol" w:hAnsi="Symbol" w:hint="default"/>
      </w:rPr>
    </w:lvl>
    <w:lvl w:ilvl="4" w:tplc="523EA5E2">
      <w:start w:val="1"/>
      <w:numFmt w:val="bullet"/>
      <w:lvlText w:val="o"/>
      <w:lvlJc w:val="left"/>
      <w:pPr>
        <w:ind w:left="3600" w:hanging="360"/>
      </w:pPr>
      <w:rPr>
        <w:rFonts w:ascii="Courier New" w:hAnsi="Courier New" w:hint="default"/>
      </w:rPr>
    </w:lvl>
    <w:lvl w:ilvl="5" w:tplc="609E165C">
      <w:start w:val="1"/>
      <w:numFmt w:val="bullet"/>
      <w:lvlText w:val=""/>
      <w:lvlJc w:val="left"/>
      <w:pPr>
        <w:ind w:left="4320" w:hanging="360"/>
      </w:pPr>
      <w:rPr>
        <w:rFonts w:ascii="Wingdings" w:hAnsi="Wingdings" w:hint="default"/>
      </w:rPr>
    </w:lvl>
    <w:lvl w:ilvl="6" w:tplc="40DA5FF6">
      <w:start w:val="1"/>
      <w:numFmt w:val="bullet"/>
      <w:lvlText w:val=""/>
      <w:lvlJc w:val="left"/>
      <w:pPr>
        <w:ind w:left="5040" w:hanging="360"/>
      </w:pPr>
      <w:rPr>
        <w:rFonts w:ascii="Symbol" w:hAnsi="Symbol" w:hint="default"/>
      </w:rPr>
    </w:lvl>
    <w:lvl w:ilvl="7" w:tplc="FC26E65C">
      <w:start w:val="1"/>
      <w:numFmt w:val="bullet"/>
      <w:lvlText w:val="o"/>
      <w:lvlJc w:val="left"/>
      <w:pPr>
        <w:ind w:left="5760" w:hanging="360"/>
      </w:pPr>
      <w:rPr>
        <w:rFonts w:ascii="Courier New" w:hAnsi="Courier New" w:hint="default"/>
      </w:rPr>
    </w:lvl>
    <w:lvl w:ilvl="8" w:tplc="10A2966A">
      <w:start w:val="1"/>
      <w:numFmt w:val="bullet"/>
      <w:lvlText w:val=""/>
      <w:lvlJc w:val="left"/>
      <w:pPr>
        <w:ind w:left="6480" w:hanging="360"/>
      </w:pPr>
      <w:rPr>
        <w:rFonts w:ascii="Wingdings" w:hAnsi="Wingdings" w:hint="default"/>
      </w:rPr>
    </w:lvl>
  </w:abstractNum>
  <w:abstractNum w:abstractNumId="38" w15:restartNumberingAfterBreak="0">
    <w:nsid w:val="58C01419"/>
    <w:multiLevelType w:val="hybridMultilevel"/>
    <w:tmpl w:val="732619DE"/>
    <w:lvl w:ilvl="0" w:tplc="802A5EAE">
      <w:start w:val="1"/>
      <w:numFmt w:val="bullet"/>
      <w:lvlText w:val=""/>
      <w:lvlJc w:val="left"/>
      <w:pPr>
        <w:ind w:left="360" w:hanging="360"/>
      </w:pPr>
      <w:rPr>
        <w:rFonts w:ascii="Symbol" w:hAnsi="Symbol" w:hint="default"/>
      </w:rPr>
    </w:lvl>
    <w:lvl w:ilvl="1" w:tplc="ACBC3BC4" w:tentative="1">
      <w:start w:val="1"/>
      <w:numFmt w:val="bullet"/>
      <w:lvlText w:val="o"/>
      <w:lvlJc w:val="left"/>
      <w:pPr>
        <w:ind w:left="1080" w:hanging="360"/>
      </w:pPr>
      <w:rPr>
        <w:rFonts w:ascii="Courier New" w:hAnsi="Courier New" w:hint="default"/>
      </w:rPr>
    </w:lvl>
    <w:lvl w:ilvl="2" w:tplc="201AD7BC" w:tentative="1">
      <w:start w:val="1"/>
      <w:numFmt w:val="bullet"/>
      <w:lvlText w:val=""/>
      <w:lvlJc w:val="left"/>
      <w:pPr>
        <w:ind w:left="1800" w:hanging="360"/>
      </w:pPr>
      <w:rPr>
        <w:rFonts w:ascii="Wingdings" w:hAnsi="Wingdings" w:hint="default"/>
      </w:rPr>
    </w:lvl>
    <w:lvl w:ilvl="3" w:tplc="DE3C504C" w:tentative="1">
      <w:start w:val="1"/>
      <w:numFmt w:val="bullet"/>
      <w:lvlText w:val=""/>
      <w:lvlJc w:val="left"/>
      <w:pPr>
        <w:ind w:left="2520" w:hanging="360"/>
      </w:pPr>
      <w:rPr>
        <w:rFonts w:ascii="Symbol" w:hAnsi="Symbol" w:hint="default"/>
      </w:rPr>
    </w:lvl>
    <w:lvl w:ilvl="4" w:tplc="C58E83E2" w:tentative="1">
      <w:start w:val="1"/>
      <w:numFmt w:val="bullet"/>
      <w:lvlText w:val="o"/>
      <w:lvlJc w:val="left"/>
      <w:pPr>
        <w:ind w:left="3240" w:hanging="360"/>
      </w:pPr>
      <w:rPr>
        <w:rFonts w:ascii="Courier New" w:hAnsi="Courier New" w:hint="default"/>
      </w:rPr>
    </w:lvl>
    <w:lvl w:ilvl="5" w:tplc="FA261E1C" w:tentative="1">
      <w:start w:val="1"/>
      <w:numFmt w:val="bullet"/>
      <w:lvlText w:val=""/>
      <w:lvlJc w:val="left"/>
      <w:pPr>
        <w:ind w:left="3960" w:hanging="360"/>
      </w:pPr>
      <w:rPr>
        <w:rFonts w:ascii="Wingdings" w:hAnsi="Wingdings" w:hint="default"/>
      </w:rPr>
    </w:lvl>
    <w:lvl w:ilvl="6" w:tplc="6EF413F2" w:tentative="1">
      <w:start w:val="1"/>
      <w:numFmt w:val="bullet"/>
      <w:lvlText w:val=""/>
      <w:lvlJc w:val="left"/>
      <w:pPr>
        <w:ind w:left="4680" w:hanging="360"/>
      </w:pPr>
      <w:rPr>
        <w:rFonts w:ascii="Symbol" w:hAnsi="Symbol" w:hint="default"/>
      </w:rPr>
    </w:lvl>
    <w:lvl w:ilvl="7" w:tplc="9F5C2462" w:tentative="1">
      <w:start w:val="1"/>
      <w:numFmt w:val="bullet"/>
      <w:lvlText w:val="o"/>
      <w:lvlJc w:val="left"/>
      <w:pPr>
        <w:ind w:left="5400" w:hanging="360"/>
      </w:pPr>
      <w:rPr>
        <w:rFonts w:ascii="Courier New" w:hAnsi="Courier New" w:hint="default"/>
      </w:rPr>
    </w:lvl>
    <w:lvl w:ilvl="8" w:tplc="30D84BEC" w:tentative="1">
      <w:start w:val="1"/>
      <w:numFmt w:val="bullet"/>
      <w:lvlText w:val=""/>
      <w:lvlJc w:val="left"/>
      <w:pPr>
        <w:ind w:left="6120" w:hanging="360"/>
      </w:pPr>
      <w:rPr>
        <w:rFonts w:ascii="Wingdings" w:hAnsi="Wingdings" w:hint="default"/>
      </w:rPr>
    </w:lvl>
  </w:abstractNum>
  <w:abstractNum w:abstractNumId="39" w15:restartNumberingAfterBreak="0">
    <w:nsid w:val="58EB71BE"/>
    <w:multiLevelType w:val="hybridMultilevel"/>
    <w:tmpl w:val="8DB83620"/>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0" w15:restartNumberingAfterBreak="0">
    <w:nsid w:val="58EE5CF9"/>
    <w:multiLevelType w:val="hybridMultilevel"/>
    <w:tmpl w:val="2C169B7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5C64A9BA"/>
    <w:multiLevelType w:val="hybridMultilevel"/>
    <w:tmpl w:val="FFFFFFFF"/>
    <w:lvl w:ilvl="0" w:tplc="DFFEAB8C">
      <w:start w:val="1"/>
      <w:numFmt w:val="decimal"/>
      <w:lvlText w:val="%1."/>
      <w:lvlJc w:val="left"/>
      <w:pPr>
        <w:ind w:left="720" w:hanging="360"/>
      </w:pPr>
    </w:lvl>
    <w:lvl w:ilvl="1" w:tplc="A97C6914">
      <w:start w:val="1"/>
      <w:numFmt w:val="lowerLetter"/>
      <w:lvlText w:val="%2."/>
      <w:lvlJc w:val="left"/>
      <w:pPr>
        <w:ind w:left="1440" w:hanging="360"/>
      </w:pPr>
    </w:lvl>
    <w:lvl w:ilvl="2" w:tplc="8C5E8AD6">
      <w:start w:val="1"/>
      <w:numFmt w:val="lowerRoman"/>
      <w:lvlText w:val="%3."/>
      <w:lvlJc w:val="right"/>
      <w:pPr>
        <w:ind w:left="2160" w:hanging="180"/>
      </w:pPr>
    </w:lvl>
    <w:lvl w:ilvl="3" w:tplc="CBA86B36">
      <w:start w:val="1"/>
      <w:numFmt w:val="decimal"/>
      <w:lvlText w:val="%4."/>
      <w:lvlJc w:val="left"/>
      <w:pPr>
        <w:ind w:left="2880" w:hanging="360"/>
      </w:pPr>
    </w:lvl>
    <w:lvl w:ilvl="4" w:tplc="53A8A8F2">
      <w:start w:val="1"/>
      <w:numFmt w:val="lowerLetter"/>
      <w:lvlText w:val="%5."/>
      <w:lvlJc w:val="left"/>
      <w:pPr>
        <w:ind w:left="3600" w:hanging="360"/>
      </w:pPr>
    </w:lvl>
    <w:lvl w:ilvl="5" w:tplc="E66EABB8">
      <w:start w:val="1"/>
      <w:numFmt w:val="lowerRoman"/>
      <w:lvlText w:val="%6."/>
      <w:lvlJc w:val="right"/>
      <w:pPr>
        <w:ind w:left="4320" w:hanging="180"/>
      </w:pPr>
    </w:lvl>
    <w:lvl w:ilvl="6" w:tplc="58F656B2">
      <w:start w:val="1"/>
      <w:numFmt w:val="decimal"/>
      <w:lvlText w:val="%7."/>
      <w:lvlJc w:val="left"/>
      <w:pPr>
        <w:ind w:left="5040" w:hanging="360"/>
      </w:pPr>
    </w:lvl>
    <w:lvl w:ilvl="7" w:tplc="54580E06">
      <w:start w:val="1"/>
      <w:numFmt w:val="lowerLetter"/>
      <w:lvlText w:val="%8."/>
      <w:lvlJc w:val="left"/>
      <w:pPr>
        <w:ind w:left="5760" w:hanging="360"/>
      </w:pPr>
    </w:lvl>
    <w:lvl w:ilvl="8" w:tplc="5B2ADFF6">
      <w:start w:val="1"/>
      <w:numFmt w:val="lowerRoman"/>
      <w:lvlText w:val="%9."/>
      <w:lvlJc w:val="right"/>
      <w:pPr>
        <w:ind w:left="6480" w:hanging="180"/>
      </w:pPr>
    </w:lvl>
  </w:abstractNum>
  <w:abstractNum w:abstractNumId="42" w15:restartNumberingAfterBreak="0">
    <w:nsid w:val="5E860303"/>
    <w:multiLevelType w:val="hybridMultilevel"/>
    <w:tmpl w:val="EA489284"/>
    <w:lvl w:ilvl="0" w:tplc="D1DED57E">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F8F314A"/>
    <w:multiLevelType w:val="hybridMultilevel"/>
    <w:tmpl w:val="527E4074"/>
    <w:lvl w:ilvl="0" w:tplc="6788551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031F4E0"/>
    <w:multiLevelType w:val="hybridMultilevel"/>
    <w:tmpl w:val="FFFFFFFF"/>
    <w:lvl w:ilvl="0" w:tplc="5C92C958">
      <w:start w:val="1"/>
      <w:numFmt w:val="bullet"/>
      <w:lvlText w:val=""/>
      <w:lvlJc w:val="left"/>
      <w:pPr>
        <w:ind w:left="360" w:hanging="360"/>
      </w:pPr>
      <w:rPr>
        <w:rFonts w:ascii="Symbol" w:hAnsi="Symbol" w:hint="default"/>
      </w:rPr>
    </w:lvl>
    <w:lvl w:ilvl="1" w:tplc="C2EEDE50">
      <w:start w:val="1"/>
      <w:numFmt w:val="bullet"/>
      <w:lvlText w:val="o"/>
      <w:lvlJc w:val="left"/>
      <w:pPr>
        <w:ind w:left="1080" w:hanging="360"/>
      </w:pPr>
      <w:rPr>
        <w:rFonts w:ascii="Courier New" w:hAnsi="Courier New" w:hint="default"/>
      </w:rPr>
    </w:lvl>
    <w:lvl w:ilvl="2" w:tplc="2DFCAA76">
      <w:start w:val="1"/>
      <w:numFmt w:val="bullet"/>
      <w:lvlText w:val=""/>
      <w:lvlJc w:val="left"/>
      <w:pPr>
        <w:ind w:left="1800" w:hanging="360"/>
      </w:pPr>
      <w:rPr>
        <w:rFonts w:ascii="Wingdings" w:hAnsi="Wingdings" w:hint="default"/>
      </w:rPr>
    </w:lvl>
    <w:lvl w:ilvl="3" w:tplc="075EFE22">
      <w:start w:val="1"/>
      <w:numFmt w:val="bullet"/>
      <w:lvlText w:val=""/>
      <w:lvlJc w:val="left"/>
      <w:pPr>
        <w:ind w:left="2520" w:hanging="360"/>
      </w:pPr>
      <w:rPr>
        <w:rFonts w:ascii="Symbol" w:hAnsi="Symbol" w:hint="default"/>
      </w:rPr>
    </w:lvl>
    <w:lvl w:ilvl="4" w:tplc="0BE49196">
      <w:start w:val="1"/>
      <w:numFmt w:val="bullet"/>
      <w:lvlText w:val="o"/>
      <w:lvlJc w:val="left"/>
      <w:pPr>
        <w:ind w:left="3240" w:hanging="360"/>
      </w:pPr>
      <w:rPr>
        <w:rFonts w:ascii="Courier New" w:hAnsi="Courier New" w:hint="default"/>
      </w:rPr>
    </w:lvl>
    <w:lvl w:ilvl="5" w:tplc="B25CE556">
      <w:start w:val="1"/>
      <w:numFmt w:val="bullet"/>
      <w:lvlText w:val=""/>
      <w:lvlJc w:val="left"/>
      <w:pPr>
        <w:ind w:left="3960" w:hanging="360"/>
      </w:pPr>
      <w:rPr>
        <w:rFonts w:ascii="Wingdings" w:hAnsi="Wingdings" w:hint="default"/>
      </w:rPr>
    </w:lvl>
    <w:lvl w:ilvl="6" w:tplc="B1604B9E">
      <w:start w:val="1"/>
      <w:numFmt w:val="bullet"/>
      <w:lvlText w:val=""/>
      <w:lvlJc w:val="left"/>
      <w:pPr>
        <w:ind w:left="4680" w:hanging="360"/>
      </w:pPr>
      <w:rPr>
        <w:rFonts w:ascii="Symbol" w:hAnsi="Symbol" w:hint="default"/>
      </w:rPr>
    </w:lvl>
    <w:lvl w:ilvl="7" w:tplc="5DF62F06">
      <w:start w:val="1"/>
      <w:numFmt w:val="bullet"/>
      <w:lvlText w:val="o"/>
      <w:lvlJc w:val="left"/>
      <w:pPr>
        <w:ind w:left="5400" w:hanging="360"/>
      </w:pPr>
      <w:rPr>
        <w:rFonts w:ascii="Courier New" w:hAnsi="Courier New" w:hint="default"/>
      </w:rPr>
    </w:lvl>
    <w:lvl w:ilvl="8" w:tplc="6EFA0986">
      <w:start w:val="1"/>
      <w:numFmt w:val="bullet"/>
      <w:lvlText w:val=""/>
      <w:lvlJc w:val="left"/>
      <w:pPr>
        <w:ind w:left="6120" w:hanging="360"/>
      </w:pPr>
      <w:rPr>
        <w:rFonts w:ascii="Wingdings" w:hAnsi="Wingdings" w:hint="default"/>
      </w:rPr>
    </w:lvl>
  </w:abstractNum>
  <w:abstractNum w:abstractNumId="45" w15:restartNumberingAfterBreak="0">
    <w:nsid w:val="60A262BE"/>
    <w:multiLevelType w:val="hybridMultilevel"/>
    <w:tmpl w:val="C9846CE6"/>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6" w15:restartNumberingAfterBreak="0">
    <w:nsid w:val="66B9779C"/>
    <w:multiLevelType w:val="hybridMultilevel"/>
    <w:tmpl w:val="FFFFFFFF"/>
    <w:lvl w:ilvl="0" w:tplc="3A60D11C">
      <w:start w:val="1"/>
      <w:numFmt w:val="bullet"/>
      <w:lvlText w:val=""/>
      <w:lvlJc w:val="left"/>
      <w:pPr>
        <w:ind w:left="360" w:hanging="360"/>
      </w:pPr>
      <w:rPr>
        <w:rFonts w:ascii="Symbol" w:hAnsi="Symbol" w:hint="default"/>
      </w:rPr>
    </w:lvl>
    <w:lvl w:ilvl="1" w:tplc="D2A6C6C4">
      <w:start w:val="1"/>
      <w:numFmt w:val="bullet"/>
      <w:lvlText w:val="o"/>
      <w:lvlJc w:val="left"/>
      <w:pPr>
        <w:ind w:left="1440" w:hanging="360"/>
      </w:pPr>
      <w:rPr>
        <w:rFonts w:ascii="Courier New" w:hAnsi="Courier New" w:hint="default"/>
      </w:rPr>
    </w:lvl>
    <w:lvl w:ilvl="2" w:tplc="BFB4E9D4">
      <w:start w:val="1"/>
      <w:numFmt w:val="bullet"/>
      <w:lvlText w:val=""/>
      <w:lvlJc w:val="left"/>
      <w:pPr>
        <w:ind w:left="2160" w:hanging="360"/>
      </w:pPr>
      <w:rPr>
        <w:rFonts w:ascii="Wingdings" w:hAnsi="Wingdings" w:hint="default"/>
      </w:rPr>
    </w:lvl>
    <w:lvl w:ilvl="3" w:tplc="EB2A5EC8">
      <w:start w:val="1"/>
      <w:numFmt w:val="bullet"/>
      <w:lvlText w:val=""/>
      <w:lvlJc w:val="left"/>
      <w:pPr>
        <w:ind w:left="2880" w:hanging="360"/>
      </w:pPr>
      <w:rPr>
        <w:rFonts w:ascii="Symbol" w:hAnsi="Symbol" w:hint="default"/>
      </w:rPr>
    </w:lvl>
    <w:lvl w:ilvl="4" w:tplc="836AE9B4">
      <w:start w:val="1"/>
      <w:numFmt w:val="bullet"/>
      <w:lvlText w:val="o"/>
      <w:lvlJc w:val="left"/>
      <w:pPr>
        <w:ind w:left="3600" w:hanging="360"/>
      </w:pPr>
      <w:rPr>
        <w:rFonts w:ascii="Courier New" w:hAnsi="Courier New" w:hint="default"/>
      </w:rPr>
    </w:lvl>
    <w:lvl w:ilvl="5" w:tplc="40CEA57E">
      <w:start w:val="1"/>
      <w:numFmt w:val="bullet"/>
      <w:lvlText w:val=""/>
      <w:lvlJc w:val="left"/>
      <w:pPr>
        <w:ind w:left="4320" w:hanging="360"/>
      </w:pPr>
      <w:rPr>
        <w:rFonts w:ascii="Wingdings" w:hAnsi="Wingdings" w:hint="default"/>
      </w:rPr>
    </w:lvl>
    <w:lvl w:ilvl="6" w:tplc="5D68DF90">
      <w:start w:val="1"/>
      <w:numFmt w:val="bullet"/>
      <w:lvlText w:val=""/>
      <w:lvlJc w:val="left"/>
      <w:pPr>
        <w:ind w:left="5040" w:hanging="360"/>
      </w:pPr>
      <w:rPr>
        <w:rFonts w:ascii="Symbol" w:hAnsi="Symbol" w:hint="default"/>
      </w:rPr>
    </w:lvl>
    <w:lvl w:ilvl="7" w:tplc="3044F1A4">
      <w:start w:val="1"/>
      <w:numFmt w:val="bullet"/>
      <w:lvlText w:val="o"/>
      <w:lvlJc w:val="left"/>
      <w:pPr>
        <w:ind w:left="5760" w:hanging="360"/>
      </w:pPr>
      <w:rPr>
        <w:rFonts w:ascii="Courier New" w:hAnsi="Courier New" w:hint="default"/>
      </w:rPr>
    </w:lvl>
    <w:lvl w:ilvl="8" w:tplc="BF6C1230">
      <w:start w:val="1"/>
      <w:numFmt w:val="bullet"/>
      <w:lvlText w:val=""/>
      <w:lvlJc w:val="left"/>
      <w:pPr>
        <w:ind w:left="6480" w:hanging="360"/>
      </w:pPr>
      <w:rPr>
        <w:rFonts w:ascii="Wingdings" w:hAnsi="Wingdings" w:hint="default"/>
      </w:rPr>
    </w:lvl>
  </w:abstractNum>
  <w:abstractNum w:abstractNumId="47" w15:restartNumberingAfterBreak="0">
    <w:nsid w:val="66CA1E9A"/>
    <w:multiLevelType w:val="hybridMultilevel"/>
    <w:tmpl w:val="44FA8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A255927"/>
    <w:multiLevelType w:val="hybridMultilevel"/>
    <w:tmpl w:val="FFFFFFFF"/>
    <w:lvl w:ilvl="0" w:tplc="F4D4E992">
      <w:start w:val="1"/>
      <w:numFmt w:val="bullet"/>
      <w:lvlText w:val=""/>
      <w:lvlJc w:val="left"/>
      <w:pPr>
        <w:ind w:left="360" w:hanging="360"/>
      </w:pPr>
      <w:rPr>
        <w:rFonts w:ascii="Symbol" w:hAnsi="Symbol" w:hint="default"/>
      </w:rPr>
    </w:lvl>
    <w:lvl w:ilvl="1" w:tplc="078856D0">
      <w:start w:val="1"/>
      <w:numFmt w:val="bullet"/>
      <w:lvlText w:val="o"/>
      <w:lvlJc w:val="left"/>
      <w:pPr>
        <w:ind w:left="1080" w:hanging="360"/>
      </w:pPr>
      <w:rPr>
        <w:rFonts w:ascii="Courier New" w:hAnsi="Courier New" w:hint="default"/>
      </w:rPr>
    </w:lvl>
    <w:lvl w:ilvl="2" w:tplc="CC4894BC">
      <w:start w:val="1"/>
      <w:numFmt w:val="bullet"/>
      <w:lvlText w:val=""/>
      <w:lvlJc w:val="left"/>
      <w:pPr>
        <w:ind w:left="1800" w:hanging="360"/>
      </w:pPr>
      <w:rPr>
        <w:rFonts w:ascii="Wingdings" w:hAnsi="Wingdings" w:hint="default"/>
      </w:rPr>
    </w:lvl>
    <w:lvl w:ilvl="3" w:tplc="69043132">
      <w:start w:val="1"/>
      <w:numFmt w:val="bullet"/>
      <w:lvlText w:val=""/>
      <w:lvlJc w:val="left"/>
      <w:pPr>
        <w:ind w:left="2520" w:hanging="360"/>
      </w:pPr>
      <w:rPr>
        <w:rFonts w:ascii="Symbol" w:hAnsi="Symbol" w:hint="default"/>
      </w:rPr>
    </w:lvl>
    <w:lvl w:ilvl="4" w:tplc="AC5852B2">
      <w:start w:val="1"/>
      <w:numFmt w:val="bullet"/>
      <w:lvlText w:val="o"/>
      <w:lvlJc w:val="left"/>
      <w:pPr>
        <w:ind w:left="3240" w:hanging="360"/>
      </w:pPr>
      <w:rPr>
        <w:rFonts w:ascii="Courier New" w:hAnsi="Courier New" w:hint="default"/>
      </w:rPr>
    </w:lvl>
    <w:lvl w:ilvl="5" w:tplc="D8304DD2">
      <w:start w:val="1"/>
      <w:numFmt w:val="bullet"/>
      <w:lvlText w:val=""/>
      <w:lvlJc w:val="left"/>
      <w:pPr>
        <w:ind w:left="3960" w:hanging="360"/>
      </w:pPr>
      <w:rPr>
        <w:rFonts w:ascii="Wingdings" w:hAnsi="Wingdings" w:hint="default"/>
      </w:rPr>
    </w:lvl>
    <w:lvl w:ilvl="6" w:tplc="C7FEEFB6">
      <w:start w:val="1"/>
      <w:numFmt w:val="bullet"/>
      <w:lvlText w:val=""/>
      <w:lvlJc w:val="left"/>
      <w:pPr>
        <w:ind w:left="4680" w:hanging="360"/>
      </w:pPr>
      <w:rPr>
        <w:rFonts w:ascii="Symbol" w:hAnsi="Symbol" w:hint="default"/>
      </w:rPr>
    </w:lvl>
    <w:lvl w:ilvl="7" w:tplc="E1E82DE0">
      <w:start w:val="1"/>
      <w:numFmt w:val="bullet"/>
      <w:lvlText w:val="o"/>
      <w:lvlJc w:val="left"/>
      <w:pPr>
        <w:ind w:left="5400" w:hanging="360"/>
      </w:pPr>
      <w:rPr>
        <w:rFonts w:ascii="Courier New" w:hAnsi="Courier New" w:hint="default"/>
      </w:rPr>
    </w:lvl>
    <w:lvl w:ilvl="8" w:tplc="3FE48F86">
      <w:start w:val="1"/>
      <w:numFmt w:val="bullet"/>
      <w:lvlText w:val=""/>
      <w:lvlJc w:val="left"/>
      <w:pPr>
        <w:ind w:left="6120" w:hanging="360"/>
      </w:pPr>
      <w:rPr>
        <w:rFonts w:ascii="Wingdings" w:hAnsi="Wingdings" w:hint="default"/>
      </w:rPr>
    </w:lvl>
  </w:abstractNum>
  <w:abstractNum w:abstractNumId="49" w15:restartNumberingAfterBreak="0">
    <w:nsid w:val="6C0AA46A"/>
    <w:multiLevelType w:val="hybridMultilevel"/>
    <w:tmpl w:val="FFFFFFFF"/>
    <w:lvl w:ilvl="0" w:tplc="3A9A8912">
      <w:start w:val="1"/>
      <w:numFmt w:val="bullet"/>
      <w:lvlText w:val=""/>
      <w:lvlJc w:val="left"/>
      <w:pPr>
        <w:ind w:left="360" w:hanging="360"/>
      </w:pPr>
      <w:rPr>
        <w:rFonts w:ascii="Symbol" w:hAnsi="Symbol" w:hint="default"/>
      </w:rPr>
    </w:lvl>
    <w:lvl w:ilvl="1" w:tplc="099872E6">
      <w:start w:val="1"/>
      <w:numFmt w:val="bullet"/>
      <w:lvlText w:val="o"/>
      <w:lvlJc w:val="left"/>
      <w:pPr>
        <w:ind w:left="1080" w:hanging="360"/>
      </w:pPr>
      <w:rPr>
        <w:rFonts w:ascii="Courier New" w:hAnsi="Courier New" w:hint="default"/>
      </w:rPr>
    </w:lvl>
    <w:lvl w:ilvl="2" w:tplc="723024F6">
      <w:start w:val="1"/>
      <w:numFmt w:val="bullet"/>
      <w:lvlText w:val=""/>
      <w:lvlJc w:val="left"/>
      <w:pPr>
        <w:ind w:left="1800" w:hanging="360"/>
      </w:pPr>
      <w:rPr>
        <w:rFonts w:ascii="Wingdings" w:hAnsi="Wingdings" w:hint="default"/>
      </w:rPr>
    </w:lvl>
    <w:lvl w:ilvl="3" w:tplc="3CC2378E">
      <w:start w:val="1"/>
      <w:numFmt w:val="bullet"/>
      <w:lvlText w:val=""/>
      <w:lvlJc w:val="left"/>
      <w:pPr>
        <w:ind w:left="2520" w:hanging="360"/>
      </w:pPr>
      <w:rPr>
        <w:rFonts w:ascii="Symbol" w:hAnsi="Symbol" w:hint="default"/>
      </w:rPr>
    </w:lvl>
    <w:lvl w:ilvl="4" w:tplc="A7C4B51E">
      <w:start w:val="1"/>
      <w:numFmt w:val="bullet"/>
      <w:lvlText w:val="o"/>
      <w:lvlJc w:val="left"/>
      <w:pPr>
        <w:ind w:left="3240" w:hanging="360"/>
      </w:pPr>
      <w:rPr>
        <w:rFonts w:ascii="Courier New" w:hAnsi="Courier New" w:hint="default"/>
      </w:rPr>
    </w:lvl>
    <w:lvl w:ilvl="5" w:tplc="C3A87646">
      <w:start w:val="1"/>
      <w:numFmt w:val="bullet"/>
      <w:lvlText w:val=""/>
      <w:lvlJc w:val="left"/>
      <w:pPr>
        <w:ind w:left="3960" w:hanging="360"/>
      </w:pPr>
      <w:rPr>
        <w:rFonts w:ascii="Wingdings" w:hAnsi="Wingdings" w:hint="default"/>
      </w:rPr>
    </w:lvl>
    <w:lvl w:ilvl="6" w:tplc="B73CEC7A">
      <w:start w:val="1"/>
      <w:numFmt w:val="bullet"/>
      <w:lvlText w:val=""/>
      <w:lvlJc w:val="left"/>
      <w:pPr>
        <w:ind w:left="4680" w:hanging="360"/>
      </w:pPr>
      <w:rPr>
        <w:rFonts w:ascii="Symbol" w:hAnsi="Symbol" w:hint="default"/>
      </w:rPr>
    </w:lvl>
    <w:lvl w:ilvl="7" w:tplc="833C2568">
      <w:start w:val="1"/>
      <w:numFmt w:val="bullet"/>
      <w:lvlText w:val="o"/>
      <w:lvlJc w:val="left"/>
      <w:pPr>
        <w:ind w:left="5400" w:hanging="360"/>
      </w:pPr>
      <w:rPr>
        <w:rFonts w:ascii="Courier New" w:hAnsi="Courier New" w:hint="default"/>
      </w:rPr>
    </w:lvl>
    <w:lvl w:ilvl="8" w:tplc="5D90F126">
      <w:start w:val="1"/>
      <w:numFmt w:val="bullet"/>
      <w:lvlText w:val=""/>
      <w:lvlJc w:val="left"/>
      <w:pPr>
        <w:ind w:left="6120" w:hanging="360"/>
      </w:pPr>
      <w:rPr>
        <w:rFonts w:ascii="Wingdings" w:hAnsi="Wingdings" w:hint="default"/>
      </w:rPr>
    </w:lvl>
  </w:abstractNum>
  <w:abstractNum w:abstractNumId="50" w15:restartNumberingAfterBreak="0">
    <w:nsid w:val="7268592B"/>
    <w:multiLevelType w:val="hybridMultilevel"/>
    <w:tmpl w:val="4398AE08"/>
    <w:lvl w:ilvl="0" w:tplc="A9D014DE">
      <w:start w:val="1"/>
      <w:numFmt w:val="bullet"/>
      <w:lvlText w:val=""/>
      <w:lvlJc w:val="left"/>
      <w:pPr>
        <w:ind w:left="927" w:hanging="360"/>
      </w:pPr>
      <w:rPr>
        <w:rFonts w:ascii="Symbol" w:hAnsi="Symbol" w:hint="default"/>
      </w:rPr>
    </w:lvl>
    <w:lvl w:ilvl="1" w:tplc="02AE462C" w:tentative="1">
      <w:start w:val="1"/>
      <w:numFmt w:val="bullet"/>
      <w:lvlText w:val="o"/>
      <w:lvlJc w:val="left"/>
      <w:pPr>
        <w:ind w:left="1647" w:hanging="360"/>
      </w:pPr>
      <w:rPr>
        <w:rFonts w:ascii="Courier New" w:hAnsi="Courier New" w:hint="default"/>
      </w:rPr>
    </w:lvl>
    <w:lvl w:ilvl="2" w:tplc="987C6076" w:tentative="1">
      <w:start w:val="1"/>
      <w:numFmt w:val="bullet"/>
      <w:lvlText w:val=""/>
      <w:lvlJc w:val="left"/>
      <w:pPr>
        <w:ind w:left="2367" w:hanging="360"/>
      </w:pPr>
      <w:rPr>
        <w:rFonts w:ascii="Wingdings" w:hAnsi="Wingdings" w:hint="default"/>
      </w:rPr>
    </w:lvl>
    <w:lvl w:ilvl="3" w:tplc="F200765C" w:tentative="1">
      <w:start w:val="1"/>
      <w:numFmt w:val="bullet"/>
      <w:lvlText w:val=""/>
      <w:lvlJc w:val="left"/>
      <w:pPr>
        <w:ind w:left="3087" w:hanging="360"/>
      </w:pPr>
      <w:rPr>
        <w:rFonts w:ascii="Symbol" w:hAnsi="Symbol" w:hint="default"/>
      </w:rPr>
    </w:lvl>
    <w:lvl w:ilvl="4" w:tplc="10305E98" w:tentative="1">
      <w:start w:val="1"/>
      <w:numFmt w:val="bullet"/>
      <w:lvlText w:val="o"/>
      <w:lvlJc w:val="left"/>
      <w:pPr>
        <w:ind w:left="3807" w:hanging="360"/>
      </w:pPr>
      <w:rPr>
        <w:rFonts w:ascii="Courier New" w:hAnsi="Courier New" w:hint="default"/>
      </w:rPr>
    </w:lvl>
    <w:lvl w:ilvl="5" w:tplc="68B8C4CE" w:tentative="1">
      <w:start w:val="1"/>
      <w:numFmt w:val="bullet"/>
      <w:lvlText w:val=""/>
      <w:lvlJc w:val="left"/>
      <w:pPr>
        <w:ind w:left="4527" w:hanging="360"/>
      </w:pPr>
      <w:rPr>
        <w:rFonts w:ascii="Wingdings" w:hAnsi="Wingdings" w:hint="default"/>
      </w:rPr>
    </w:lvl>
    <w:lvl w:ilvl="6" w:tplc="B69E7D48" w:tentative="1">
      <w:start w:val="1"/>
      <w:numFmt w:val="bullet"/>
      <w:lvlText w:val=""/>
      <w:lvlJc w:val="left"/>
      <w:pPr>
        <w:ind w:left="5247" w:hanging="360"/>
      </w:pPr>
      <w:rPr>
        <w:rFonts w:ascii="Symbol" w:hAnsi="Symbol" w:hint="default"/>
      </w:rPr>
    </w:lvl>
    <w:lvl w:ilvl="7" w:tplc="CF4ACE72" w:tentative="1">
      <w:start w:val="1"/>
      <w:numFmt w:val="bullet"/>
      <w:lvlText w:val="o"/>
      <w:lvlJc w:val="left"/>
      <w:pPr>
        <w:ind w:left="5967" w:hanging="360"/>
      </w:pPr>
      <w:rPr>
        <w:rFonts w:ascii="Courier New" w:hAnsi="Courier New" w:hint="default"/>
      </w:rPr>
    </w:lvl>
    <w:lvl w:ilvl="8" w:tplc="62A4B834" w:tentative="1">
      <w:start w:val="1"/>
      <w:numFmt w:val="bullet"/>
      <w:lvlText w:val=""/>
      <w:lvlJc w:val="left"/>
      <w:pPr>
        <w:ind w:left="6687" w:hanging="360"/>
      </w:pPr>
      <w:rPr>
        <w:rFonts w:ascii="Wingdings" w:hAnsi="Wingdings" w:hint="default"/>
      </w:rPr>
    </w:lvl>
  </w:abstractNum>
  <w:abstractNum w:abstractNumId="51" w15:restartNumberingAfterBreak="0">
    <w:nsid w:val="79F91C43"/>
    <w:multiLevelType w:val="hybridMultilevel"/>
    <w:tmpl w:val="F18E6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AD35A66"/>
    <w:multiLevelType w:val="hybridMultilevel"/>
    <w:tmpl w:val="FFFFFFFF"/>
    <w:lvl w:ilvl="0" w:tplc="56321BAE">
      <w:start w:val="1"/>
      <w:numFmt w:val="bullet"/>
      <w:lvlText w:val=""/>
      <w:lvlJc w:val="left"/>
      <w:pPr>
        <w:ind w:left="360" w:hanging="360"/>
      </w:pPr>
      <w:rPr>
        <w:rFonts w:ascii="Symbol" w:hAnsi="Symbol" w:hint="default"/>
      </w:rPr>
    </w:lvl>
    <w:lvl w:ilvl="1" w:tplc="6152EA7A">
      <w:start w:val="1"/>
      <w:numFmt w:val="bullet"/>
      <w:lvlText w:val="o"/>
      <w:lvlJc w:val="left"/>
      <w:pPr>
        <w:ind w:left="1080" w:hanging="360"/>
      </w:pPr>
      <w:rPr>
        <w:rFonts w:ascii="Courier New" w:hAnsi="Courier New" w:hint="default"/>
      </w:rPr>
    </w:lvl>
    <w:lvl w:ilvl="2" w:tplc="ECAAFB52">
      <w:start w:val="1"/>
      <w:numFmt w:val="bullet"/>
      <w:lvlText w:val=""/>
      <w:lvlJc w:val="left"/>
      <w:pPr>
        <w:ind w:left="1800" w:hanging="360"/>
      </w:pPr>
      <w:rPr>
        <w:rFonts w:ascii="Wingdings" w:hAnsi="Wingdings" w:hint="default"/>
      </w:rPr>
    </w:lvl>
    <w:lvl w:ilvl="3" w:tplc="32E60CB6">
      <w:start w:val="1"/>
      <w:numFmt w:val="bullet"/>
      <w:lvlText w:val=""/>
      <w:lvlJc w:val="left"/>
      <w:pPr>
        <w:ind w:left="2520" w:hanging="360"/>
      </w:pPr>
      <w:rPr>
        <w:rFonts w:ascii="Symbol" w:hAnsi="Symbol" w:hint="default"/>
      </w:rPr>
    </w:lvl>
    <w:lvl w:ilvl="4" w:tplc="ED72CFFE">
      <w:start w:val="1"/>
      <w:numFmt w:val="bullet"/>
      <w:lvlText w:val="o"/>
      <w:lvlJc w:val="left"/>
      <w:pPr>
        <w:ind w:left="3240" w:hanging="360"/>
      </w:pPr>
      <w:rPr>
        <w:rFonts w:ascii="Courier New" w:hAnsi="Courier New" w:hint="default"/>
      </w:rPr>
    </w:lvl>
    <w:lvl w:ilvl="5" w:tplc="02C21626">
      <w:start w:val="1"/>
      <w:numFmt w:val="bullet"/>
      <w:lvlText w:val=""/>
      <w:lvlJc w:val="left"/>
      <w:pPr>
        <w:ind w:left="3960" w:hanging="360"/>
      </w:pPr>
      <w:rPr>
        <w:rFonts w:ascii="Wingdings" w:hAnsi="Wingdings" w:hint="default"/>
      </w:rPr>
    </w:lvl>
    <w:lvl w:ilvl="6" w:tplc="FC866586">
      <w:start w:val="1"/>
      <w:numFmt w:val="bullet"/>
      <w:lvlText w:val=""/>
      <w:lvlJc w:val="left"/>
      <w:pPr>
        <w:ind w:left="4680" w:hanging="360"/>
      </w:pPr>
      <w:rPr>
        <w:rFonts w:ascii="Symbol" w:hAnsi="Symbol" w:hint="default"/>
      </w:rPr>
    </w:lvl>
    <w:lvl w:ilvl="7" w:tplc="57168396">
      <w:start w:val="1"/>
      <w:numFmt w:val="bullet"/>
      <w:lvlText w:val="o"/>
      <w:lvlJc w:val="left"/>
      <w:pPr>
        <w:ind w:left="5400" w:hanging="360"/>
      </w:pPr>
      <w:rPr>
        <w:rFonts w:ascii="Courier New" w:hAnsi="Courier New" w:hint="default"/>
      </w:rPr>
    </w:lvl>
    <w:lvl w:ilvl="8" w:tplc="AF26E09A">
      <w:start w:val="1"/>
      <w:numFmt w:val="bullet"/>
      <w:lvlText w:val=""/>
      <w:lvlJc w:val="left"/>
      <w:pPr>
        <w:ind w:left="6120" w:hanging="360"/>
      </w:pPr>
      <w:rPr>
        <w:rFonts w:ascii="Wingdings" w:hAnsi="Wingdings" w:hint="default"/>
      </w:rPr>
    </w:lvl>
  </w:abstractNum>
  <w:abstractNum w:abstractNumId="53" w15:restartNumberingAfterBreak="0">
    <w:nsid w:val="7D8D541D"/>
    <w:multiLevelType w:val="hybridMultilevel"/>
    <w:tmpl w:val="43FC8782"/>
    <w:lvl w:ilvl="0" w:tplc="282A2690">
      <w:start w:val="1"/>
      <w:numFmt w:val="bullet"/>
      <w:lvlText w:val=""/>
      <w:lvlJc w:val="left"/>
      <w:pPr>
        <w:ind w:left="360" w:hanging="360"/>
      </w:pPr>
      <w:rPr>
        <w:rFonts w:ascii="Symbol" w:hAnsi="Symbol" w:hint="default"/>
      </w:rPr>
    </w:lvl>
    <w:lvl w:ilvl="1" w:tplc="EBA49974" w:tentative="1">
      <w:start w:val="1"/>
      <w:numFmt w:val="bullet"/>
      <w:lvlText w:val="o"/>
      <w:lvlJc w:val="left"/>
      <w:pPr>
        <w:ind w:left="1080" w:hanging="360"/>
      </w:pPr>
      <w:rPr>
        <w:rFonts w:ascii="Courier New" w:hAnsi="Courier New" w:hint="default"/>
      </w:rPr>
    </w:lvl>
    <w:lvl w:ilvl="2" w:tplc="8736ACDC" w:tentative="1">
      <w:start w:val="1"/>
      <w:numFmt w:val="bullet"/>
      <w:lvlText w:val=""/>
      <w:lvlJc w:val="left"/>
      <w:pPr>
        <w:ind w:left="1800" w:hanging="360"/>
      </w:pPr>
      <w:rPr>
        <w:rFonts w:ascii="Wingdings" w:hAnsi="Wingdings" w:hint="default"/>
      </w:rPr>
    </w:lvl>
    <w:lvl w:ilvl="3" w:tplc="EFAC3EF0" w:tentative="1">
      <w:start w:val="1"/>
      <w:numFmt w:val="bullet"/>
      <w:lvlText w:val=""/>
      <w:lvlJc w:val="left"/>
      <w:pPr>
        <w:ind w:left="2520" w:hanging="360"/>
      </w:pPr>
      <w:rPr>
        <w:rFonts w:ascii="Symbol" w:hAnsi="Symbol" w:hint="default"/>
      </w:rPr>
    </w:lvl>
    <w:lvl w:ilvl="4" w:tplc="CEE0110E" w:tentative="1">
      <w:start w:val="1"/>
      <w:numFmt w:val="bullet"/>
      <w:lvlText w:val="o"/>
      <w:lvlJc w:val="left"/>
      <w:pPr>
        <w:ind w:left="3240" w:hanging="360"/>
      </w:pPr>
      <w:rPr>
        <w:rFonts w:ascii="Courier New" w:hAnsi="Courier New" w:hint="default"/>
      </w:rPr>
    </w:lvl>
    <w:lvl w:ilvl="5" w:tplc="A456F6FA" w:tentative="1">
      <w:start w:val="1"/>
      <w:numFmt w:val="bullet"/>
      <w:lvlText w:val=""/>
      <w:lvlJc w:val="left"/>
      <w:pPr>
        <w:ind w:left="3960" w:hanging="360"/>
      </w:pPr>
      <w:rPr>
        <w:rFonts w:ascii="Wingdings" w:hAnsi="Wingdings" w:hint="default"/>
      </w:rPr>
    </w:lvl>
    <w:lvl w:ilvl="6" w:tplc="96444C2A" w:tentative="1">
      <w:start w:val="1"/>
      <w:numFmt w:val="bullet"/>
      <w:lvlText w:val=""/>
      <w:lvlJc w:val="left"/>
      <w:pPr>
        <w:ind w:left="4680" w:hanging="360"/>
      </w:pPr>
      <w:rPr>
        <w:rFonts w:ascii="Symbol" w:hAnsi="Symbol" w:hint="default"/>
      </w:rPr>
    </w:lvl>
    <w:lvl w:ilvl="7" w:tplc="6520059C" w:tentative="1">
      <w:start w:val="1"/>
      <w:numFmt w:val="bullet"/>
      <w:lvlText w:val="o"/>
      <w:lvlJc w:val="left"/>
      <w:pPr>
        <w:ind w:left="5400" w:hanging="360"/>
      </w:pPr>
      <w:rPr>
        <w:rFonts w:ascii="Courier New" w:hAnsi="Courier New" w:hint="default"/>
      </w:rPr>
    </w:lvl>
    <w:lvl w:ilvl="8" w:tplc="84F4EA76" w:tentative="1">
      <w:start w:val="1"/>
      <w:numFmt w:val="bullet"/>
      <w:lvlText w:val=""/>
      <w:lvlJc w:val="left"/>
      <w:pPr>
        <w:ind w:left="6120" w:hanging="360"/>
      </w:pPr>
      <w:rPr>
        <w:rFonts w:ascii="Wingdings" w:hAnsi="Wingdings" w:hint="default"/>
      </w:rPr>
    </w:lvl>
  </w:abstractNum>
  <w:abstractNum w:abstractNumId="54" w15:restartNumberingAfterBreak="0">
    <w:nsid w:val="7E792827"/>
    <w:multiLevelType w:val="hybridMultilevel"/>
    <w:tmpl w:val="C7D02CF0"/>
    <w:lvl w:ilvl="0" w:tplc="6788551C">
      <w:start w:val="1"/>
      <w:numFmt w:val="bullet"/>
      <w:lvlText w:val=""/>
      <w:lvlJc w:val="left"/>
      <w:pPr>
        <w:ind w:left="360" w:hanging="360"/>
      </w:pPr>
      <w:rPr>
        <w:rFonts w:ascii="Symbol" w:hAnsi="Symbol" w:hint="default"/>
      </w:rPr>
    </w:lvl>
    <w:lvl w:ilvl="1" w:tplc="AE36EEA2">
      <w:start w:val="1"/>
      <w:numFmt w:val="bullet"/>
      <w:lvlText w:val="o"/>
      <w:lvlJc w:val="left"/>
      <w:pPr>
        <w:ind w:left="1080" w:hanging="360"/>
      </w:pPr>
      <w:rPr>
        <w:rFonts w:ascii="Courier New" w:hAnsi="Courier New" w:hint="default"/>
      </w:rPr>
    </w:lvl>
    <w:lvl w:ilvl="2" w:tplc="3D9E2E0C">
      <w:start w:val="1"/>
      <w:numFmt w:val="bullet"/>
      <w:lvlText w:val=""/>
      <w:lvlJc w:val="left"/>
      <w:pPr>
        <w:ind w:left="1800" w:hanging="360"/>
      </w:pPr>
      <w:rPr>
        <w:rFonts w:ascii="Wingdings" w:hAnsi="Wingdings" w:hint="default"/>
      </w:rPr>
    </w:lvl>
    <w:lvl w:ilvl="3" w:tplc="FD30A836">
      <w:start w:val="1"/>
      <w:numFmt w:val="bullet"/>
      <w:lvlText w:val=""/>
      <w:lvlJc w:val="left"/>
      <w:pPr>
        <w:ind w:left="2520" w:hanging="360"/>
      </w:pPr>
      <w:rPr>
        <w:rFonts w:ascii="Symbol" w:hAnsi="Symbol" w:hint="default"/>
      </w:rPr>
    </w:lvl>
    <w:lvl w:ilvl="4" w:tplc="B09CBC66">
      <w:start w:val="1"/>
      <w:numFmt w:val="bullet"/>
      <w:lvlText w:val="o"/>
      <w:lvlJc w:val="left"/>
      <w:pPr>
        <w:ind w:left="3240" w:hanging="360"/>
      </w:pPr>
      <w:rPr>
        <w:rFonts w:ascii="Courier New" w:hAnsi="Courier New" w:hint="default"/>
      </w:rPr>
    </w:lvl>
    <w:lvl w:ilvl="5" w:tplc="12464982">
      <w:start w:val="1"/>
      <w:numFmt w:val="bullet"/>
      <w:lvlText w:val=""/>
      <w:lvlJc w:val="left"/>
      <w:pPr>
        <w:ind w:left="3960" w:hanging="360"/>
      </w:pPr>
      <w:rPr>
        <w:rFonts w:ascii="Wingdings" w:hAnsi="Wingdings" w:hint="default"/>
      </w:rPr>
    </w:lvl>
    <w:lvl w:ilvl="6" w:tplc="8B548EBA">
      <w:start w:val="1"/>
      <w:numFmt w:val="bullet"/>
      <w:lvlText w:val=""/>
      <w:lvlJc w:val="left"/>
      <w:pPr>
        <w:ind w:left="4680" w:hanging="360"/>
      </w:pPr>
      <w:rPr>
        <w:rFonts w:ascii="Symbol" w:hAnsi="Symbol" w:hint="default"/>
      </w:rPr>
    </w:lvl>
    <w:lvl w:ilvl="7" w:tplc="2098C81C">
      <w:start w:val="1"/>
      <w:numFmt w:val="bullet"/>
      <w:lvlText w:val="o"/>
      <w:lvlJc w:val="left"/>
      <w:pPr>
        <w:ind w:left="5400" w:hanging="360"/>
      </w:pPr>
      <w:rPr>
        <w:rFonts w:ascii="Courier New" w:hAnsi="Courier New" w:hint="default"/>
      </w:rPr>
    </w:lvl>
    <w:lvl w:ilvl="8" w:tplc="7C02B818">
      <w:start w:val="1"/>
      <w:numFmt w:val="bullet"/>
      <w:lvlText w:val=""/>
      <w:lvlJc w:val="left"/>
      <w:pPr>
        <w:ind w:left="6120" w:hanging="360"/>
      </w:pPr>
      <w:rPr>
        <w:rFonts w:ascii="Wingdings" w:hAnsi="Wingdings" w:hint="default"/>
      </w:rPr>
    </w:lvl>
  </w:abstractNum>
  <w:num w:numId="1" w16cid:durableId="406613919">
    <w:abstractNumId w:val="28"/>
  </w:num>
  <w:num w:numId="2" w16cid:durableId="1197349047">
    <w:abstractNumId w:val="36"/>
  </w:num>
  <w:num w:numId="3" w16cid:durableId="1123354084">
    <w:abstractNumId w:val="46"/>
  </w:num>
  <w:num w:numId="4" w16cid:durableId="616569797">
    <w:abstractNumId w:val="18"/>
  </w:num>
  <w:num w:numId="5" w16cid:durableId="182088509">
    <w:abstractNumId w:val="26"/>
  </w:num>
  <w:num w:numId="6" w16cid:durableId="56128786">
    <w:abstractNumId w:val="52"/>
  </w:num>
  <w:num w:numId="7" w16cid:durableId="2119325149">
    <w:abstractNumId w:val="29"/>
  </w:num>
  <w:num w:numId="8" w16cid:durableId="99187773">
    <w:abstractNumId w:val="16"/>
  </w:num>
  <w:num w:numId="9" w16cid:durableId="691952123">
    <w:abstractNumId w:val="33"/>
  </w:num>
  <w:num w:numId="10" w16cid:durableId="925041170">
    <w:abstractNumId w:val="34"/>
  </w:num>
  <w:num w:numId="11" w16cid:durableId="1435596355">
    <w:abstractNumId w:val="43"/>
  </w:num>
  <w:num w:numId="12" w16cid:durableId="1265729352">
    <w:abstractNumId w:val="19"/>
  </w:num>
  <w:num w:numId="13" w16cid:durableId="1455637014">
    <w:abstractNumId w:val="1"/>
  </w:num>
  <w:num w:numId="14" w16cid:durableId="889733221">
    <w:abstractNumId w:val="17"/>
  </w:num>
  <w:num w:numId="15" w16cid:durableId="371421651">
    <w:abstractNumId w:val="49"/>
  </w:num>
  <w:num w:numId="16" w16cid:durableId="1153058694">
    <w:abstractNumId w:val="47"/>
  </w:num>
  <w:num w:numId="17" w16cid:durableId="819080467">
    <w:abstractNumId w:val="41"/>
  </w:num>
  <w:num w:numId="18" w16cid:durableId="1330478625">
    <w:abstractNumId w:val="48"/>
  </w:num>
  <w:num w:numId="19" w16cid:durableId="1719621579">
    <w:abstractNumId w:val="11"/>
  </w:num>
  <w:num w:numId="20" w16cid:durableId="1129132855">
    <w:abstractNumId w:val="27"/>
  </w:num>
  <w:num w:numId="21" w16cid:durableId="355927924">
    <w:abstractNumId w:val="20"/>
  </w:num>
  <w:num w:numId="22" w16cid:durableId="686641315">
    <w:abstractNumId w:val="35"/>
  </w:num>
  <w:num w:numId="23" w16cid:durableId="216553617">
    <w:abstractNumId w:val="50"/>
  </w:num>
  <w:num w:numId="24" w16cid:durableId="1684816653">
    <w:abstractNumId w:val="51"/>
  </w:num>
  <w:num w:numId="25" w16cid:durableId="417793977">
    <w:abstractNumId w:val="21"/>
  </w:num>
  <w:num w:numId="26" w16cid:durableId="1120420245">
    <w:abstractNumId w:val="3"/>
  </w:num>
  <w:num w:numId="27" w16cid:durableId="799345249">
    <w:abstractNumId w:val="38"/>
  </w:num>
  <w:num w:numId="28" w16cid:durableId="236870014">
    <w:abstractNumId w:val="25"/>
  </w:num>
  <w:num w:numId="29" w16cid:durableId="1592202460">
    <w:abstractNumId w:val="53"/>
  </w:num>
  <w:num w:numId="30" w16cid:durableId="1379284702">
    <w:abstractNumId w:val="4"/>
  </w:num>
  <w:num w:numId="31" w16cid:durableId="184757976">
    <w:abstractNumId w:val="0"/>
  </w:num>
  <w:num w:numId="32" w16cid:durableId="1458256178">
    <w:abstractNumId w:val="32"/>
  </w:num>
  <w:num w:numId="33" w16cid:durableId="1276332216">
    <w:abstractNumId w:val="9"/>
  </w:num>
  <w:num w:numId="34" w16cid:durableId="1029182205">
    <w:abstractNumId w:val="22"/>
  </w:num>
  <w:num w:numId="35" w16cid:durableId="220287403">
    <w:abstractNumId w:val="44"/>
  </w:num>
  <w:num w:numId="36" w16cid:durableId="828207946">
    <w:abstractNumId w:val="54"/>
  </w:num>
  <w:num w:numId="37" w16cid:durableId="253517707">
    <w:abstractNumId w:val="7"/>
  </w:num>
  <w:num w:numId="38" w16cid:durableId="823743207">
    <w:abstractNumId w:val="37"/>
  </w:num>
  <w:num w:numId="39" w16cid:durableId="1717775649">
    <w:abstractNumId w:val="39"/>
  </w:num>
  <w:num w:numId="40" w16cid:durableId="1823768001">
    <w:abstractNumId w:val="12"/>
  </w:num>
  <w:num w:numId="41" w16cid:durableId="1335844452">
    <w:abstractNumId w:val="23"/>
  </w:num>
  <w:num w:numId="42" w16cid:durableId="954675168">
    <w:abstractNumId w:val="13"/>
  </w:num>
  <w:num w:numId="43" w16cid:durableId="1773890381">
    <w:abstractNumId w:val="31"/>
  </w:num>
  <w:num w:numId="44" w16cid:durableId="916013130">
    <w:abstractNumId w:val="15"/>
  </w:num>
  <w:num w:numId="45" w16cid:durableId="803621945">
    <w:abstractNumId w:val="6"/>
  </w:num>
  <w:num w:numId="46" w16cid:durableId="610474270">
    <w:abstractNumId w:val="10"/>
  </w:num>
  <w:num w:numId="47" w16cid:durableId="940408582">
    <w:abstractNumId w:val="40"/>
  </w:num>
  <w:num w:numId="48" w16cid:durableId="568197188">
    <w:abstractNumId w:val="2"/>
  </w:num>
  <w:num w:numId="49" w16cid:durableId="1559050358">
    <w:abstractNumId w:val="8"/>
  </w:num>
  <w:num w:numId="50" w16cid:durableId="350767876">
    <w:abstractNumId w:val="5"/>
  </w:num>
  <w:num w:numId="51" w16cid:durableId="1651055357">
    <w:abstractNumId w:val="30"/>
  </w:num>
  <w:num w:numId="52" w16cid:durableId="201598011">
    <w:abstractNumId w:val="45"/>
  </w:num>
  <w:num w:numId="53" w16cid:durableId="2098014071">
    <w:abstractNumId w:val="28"/>
  </w:num>
  <w:num w:numId="54" w16cid:durableId="401223065">
    <w:abstractNumId w:val="24"/>
  </w:num>
  <w:num w:numId="55" w16cid:durableId="46343179">
    <w:abstractNumId w:val="42"/>
  </w:num>
  <w:num w:numId="56" w16cid:durableId="1877230950">
    <w:abstractNumId w:val="1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StatTag Metadata" w:val="{&quot;MetadataFormatVersion&quot;:&quot;1.0.0&quot;,&quot;TagFormatVersion&quot;:&quot;1.0.0&quot;,&quot;StatTagVersion&quot;:&quot;StatTag v5.0.2&quot;,&quot;RepresentMissingValues&quot;:null,&quot;CustomMissingValue&quot;:null}"/>
  </w:docVars>
  <w:rsids>
    <w:rsidRoot w:val="00364A70"/>
    <w:rsid w:val="00001761"/>
    <w:rsid w:val="00002AB2"/>
    <w:rsid w:val="00003912"/>
    <w:rsid w:val="000044B8"/>
    <w:rsid w:val="000047E1"/>
    <w:rsid w:val="00005704"/>
    <w:rsid w:val="000057E8"/>
    <w:rsid w:val="00006847"/>
    <w:rsid w:val="00010DAE"/>
    <w:rsid w:val="000139B2"/>
    <w:rsid w:val="00013CA0"/>
    <w:rsid w:val="000269A6"/>
    <w:rsid w:val="00026B46"/>
    <w:rsid w:val="000308D6"/>
    <w:rsid w:val="000312E1"/>
    <w:rsid w:val="00032B74"/>
    <w:rsid w:val="00033B54"/>
    <w:rsid w:val="0003421B"/>
    <w:rsid w:val="00037B6C"/>
    <w:rsid w:val="0004028B"/>
    <w:rsid w:val="00041056"/>
    <w:rsid w:val="0004540E"/>
    <w:rsid w:val="000505FD"/>
    <w:rsid w:val="00050CD2"/>
    <w:rsid w:val="00051202"/>
    <w:rsid w:val="000513F9"/>
    <w:rsid w:val="00052FEC"/>
    <w:rsid w:val="00060C4D"/>
    <w:rsid w:val="00061AFB"/>
    <w:rsid w:val="00061D28"/>
    <w:rsid w:val="00063A6A"/>
    <w:rsid w:val="00065257"/>
    <w:rsid w:val="00067A71"/>
    <w:rsid w:val="00074C43"/>
    <w:rsid w:val="00074C61"/>
    <w:rsid w:val="00077DA8"/>
    <w:rsid w:val="000814E1"/>
    <w:rsid w:val="000840BB"/>
    <w:rsid w:val="00084B52"/>
    <w:rsid w:val="00084E29"/>
    <w:rsid w:val="00085767"/>
    <w:rsid w:val="00086D0D"/>
    <w:rsid w:val="0009237A"/>
    <w:rsid w:val="000935EE"/>
    <w:rsid w:val="000938C4"/>
    <w:rsid w:val="00096F2F"/>
    <w:rsid w:val="000973F7"/>
    <w:rsid w:val="000A0D06"/>
    <w:rsid w:val="000A3567"/>
    <w:rsid w:val="000A3F00"/>
    <w:rsid w:val="000A762E"/>
    <w:rsid w:val="000B1A4E"/>
    <w:rsid w:val="000B6271"/>
    <w:rsid w:val="000B7AEA"/>
    <w:rsid w:val="000C16E3"/>
    <w:rsid w:val="000C1711"/>
    <w:rsid w:val="000C49DA"/>
    <w:rsid w:val="000C556C"/>
    <w:rsid w:val="000D168C"/>
    <w:rsid w:val="000D1C8A"/>
    <w:rsid w:val="000D1DF2"/>
    <w:rsid w:val="000D3E21"/>
    <w:rsid w:val="000D4853"/>
    <w:rsid w:val="000D755C"/>
    <w:rsid w:val="000E12FA"/>
    <w:rsid w:val="000E7C87"/>
    <w:rsid w:val="000F1537"/>
    <w:rsid w:val="000F63B8"/>
    <w:rsid w:val="001009A4"/>
    <w:rsid w:val="001015C8"/>
    <w:rsid w:val="00102B30"/>
    <w:rsid w:val="00105632"/>
    <w:rsid w:val="0010597A"/>
    <w:rsid w:val="00106728"/>
    <w:rsid w:val="0010739C"/>
    <w:rsid w:val="00111A05"/>
    <w:rsid w:val="00112099"/>
    <w:rsid w:val="00116541"/>
    <w:rsid w:val="001168BD"/>
    <w:rsid w:val="001170DD"/>
    <w:rsid w:val="00117D6D"/>
    <w:rsid w:val="001214D1"/>
    <w:rsid w:val="00121B15"/>
    <w:rsid w:val="00123BB3"/>
    <w:rsid w:val="001243D8"/>
    <w:rsid w:val="00127B5E"/>
    <w:rsid w:val="00130421"/>
    <w:rsid w:val="001313DA"/>
    <w:rsid w:val="001338D6"/>
    <w:rsid w:val="0013416F"/>
    <w:rsid w:val="00135638"/>
    <w:rsid w:val="00141C2B"/>
    <w:rsid w:val="001420D7"/>
    <w:rsid w:val="00142C51"/>
    <w:rsid w:val="00145056"/>
    <w:rsid w:val="00146D15"/>
    <w:rsid w:val="00154DE8"/>
    <w:rsid w:val="00154EA7"/>
    <w:rsid w:val="00155A2E"/>
    <w:rsid w:val="00155DC8"/>
    <w:rsid w:val="0015604B"/>
    <w:rsid w:val="0015776C"/>
    <w:rsid w:val="00163557"/>
    <w:rsid w:val="00163B56"/>
    <w:rsid w:val="00164DFF"/>
    <w:rsid w:val="001658F3"/>
    <w:rsid w:val="001659FA"/>
    <w:rsid w:val="0016630B"/>
    <w:rsid w:val="00167454"/>
    <w:rsid w:val="0017018D"/>
    <w:rsid w:val="00170310"/>
    <w:rsid w:val="00170C43"/>
    <w:rsid w:val="00170F32"/>
    <w:rsid w:val="0017174B"/>
    <w:rsid w:val="001734F5"/>
    <w:rsid w:val="001744B7"/>
    <w:rsid w:val="00176485"/>
    <w:rsid w:val="00182B02"/>
    <w:rsid w:val="00183220"/>
    <w:rsid w:val="00183624"/>
    <w:rsid w:val="00184748"/>
    <w:rsid w:val="00184DE5"/>
    <w:rsid w:val="00184EDD"/>
    <w:rsid w:val="00186BCA"/>
    <w:rsid w:val="0018716B"/>
    <w:rsid w:val="001877CE"/>
    <w:rsid w:val="00192AEE"/>
    <w:rsid w:val="00196444"/>
    <w:rsid w:val="001A0B13"/>
    <w:rsid w:val="001A2169"/>
    <w:rsid w:val="001A242A"/>
    <w:rsid w:val="001A54FF"/>
    <w:rsid w:val="001A5ABE"/>
    <w:rsid w:val="001A6C1D"/>
    <w:rsid w:val="001A6EE7"/>
    <w:rsid w:val="001B0411"/>
    <w:rsid w:val="001B1DE9"/>
    <w:rsid w:val="001B2885"/>
    <w:rsid w:val="001B7F38"/>
    <w:rsid w:val="001C00C4"/>
    <w:rsid w:val="001C092D"/>
    <w:rsid w:val="001C1242"/>
    <w:rsid w:val="001C1CE1"/>
    <w:rsid w:val="001C2AA2"/>
    <w:rsid w:val="001C31CC"/>
    <w:rsid w:val="001C37E3"/>
    <w:rsid w:val="001C3FAE"/>
    <w:rsid w:val="001D1DEC"/>
    <w:rsid w:val="001D63B5"/>
    <w:rsid w:val="001E24B6"/>
    <w:rsid w:val="001E3EDD"/>
    <w:rsid w:val="001E4462"/>
    <w:rsid w:val="001E4DB9"/>
    <w:rsid w:val="001E6D2A"/>
    <w:rsid w:val="001F0DF6"/>
    <w:rsid w:val="001F3FAA"/>
    <w:rsid w:val="001F45CF"/>
    <w:rsid w:val="001F70EA"/>
    <w:rsid w:val="001F741E"/>
    <w:rsid w:val="00202E6D"/>
    <w:rsid w:val="002034B9"/>
    <w:rsid w:val="00205561"/>
    <w:rsid w:val="00211BEF"/>
    <w:rsid w:val="002130F8"/>
    <w:rsid w:val="00215689"/>
    <w:rsid w:val="00215DAF"/>
    <w:rsid w:val="00215F6D"/>
    <w:rsid w:val="0021732A"/>
    <w:rsid w:val="0021785B"/>
    <w:rsid w:val="00220D9E"/>
    <w:rsid w:val="00222E0E"/>
    <w:rsid w:val="0022352F"/>
    <w:rsid w:val="0022367B"/>
    <w:rsid w:val="00224202"/>
    <w:rsid w:val="00225ACD"/>
    <w:rsid w:val="00230FF2"/>
    <w:rsid w:val="00232486"/>
    <w:rsid w:val="00232C2F"/>
    <w:rsid w:val="002333B3"/>
    <w:rsid w:val="002337C6"/>
    <w:rsid w:val="002372C3"/>
    <w:rsid w:val="00237580"/>
    <w:rsid w:val="002402F7"/>
    <w:rsid w:val="002403AB"/>
    <w:rsid w:val="002408F1"/>
    <w:rsid w:val="00241055"/>
    <w:rsid w:val="00243B5B"/>
    <w:rsid w:val="00244F92"/>
    <w:rsid w:val="00252169"/>
    <w:rsid w:val="002529C3"/>
    <w:rsid w:val="002546F3"/>
    <w:rsid w:val="0025515F"/>
    <w:rsid w:val="00255BBA"/>
    <w:rsid w:val="0025632B"/>
    <w:rsid w:val="00256AAB"/>
    <w:rsid w:val="00256F2F"/>
    <w:rsid w:val="002572C8"/>
    <w:rsid w:val="0026086F"/>
    <w:rsid w:val="0026097A"/>
    <w:rsid w:val="00262D98"/>
    <w:rsid w:val="00265EDE"/>
    <w:rsid w:val="0026793A"/>
    <w:rsid w:val="00267D0A"/>
    <w:rsid w:val="0027093A"/>
    <w:rsid w:val="00271497"/>
    <w:rsid w:val="00274DA0"/>
    <w:rsid w:val="00274F4A"/>
    <w:rsid w:val="00276603"/>
    <w:rsid w:val="00281943"/>
    <w:rsid w:val="00281EFD"/>
    <w:rsid w:val="00282818"/>
    <w:rsid w:val="00283CC3"/>
    <w:rsid w:val="00284DFE"/>
    <w:rsid w:val="00284EE9"/>
    <w:rsid w:val="00285903"/>
    <w:rsid w:val="00285BE8"/>
    <w:rsid w:val="00285D6A"/>
    <w:rsid w:val="00291758"/>
    <w:rsid w:val="0029346C"/>
    <w:rsid w:val="00293BEE"/>
    <w:rsid w:val="0029614F"/>
    <w:rsid w:val="002A2BA5"/>
    <w:rsid w:val="002A70F8"/>
    <w:rsid w:val="002A7F6F"/>
    <w:rsid w:val="002B145F"/>
    <w:rsid w:val="002B267C"/>
    <w:rsid w:val="002B3142"/>
    <w:rsid w:val="002B3521"/>
    <w:rsid w:val="002B4F56"/>
    <w:rsid w:val="002B59A5"/>
    <w:rsid w:val="002B647F"/>
    <w:rsid w:val="002C2D5D"/>
    <w:rsid w:val="002C2DAC"/>
    <w:rsid w:val="002C4DBD"/>
    <w:rsid w:val="002C50CE"/>
    <w:rsid w:val="002C6B61"/>
    <w:rsid w:val="002C7BB5"/>
    <w:rsid w:val="002D39CE"/>
    <w:rsid w:val="002D4645"/>
    <w:rsid w:val="002E03D7"/>
    <w:rsid w:val="002E2A0B"/>
    <w:rsid w:val="002E4BB4"/>
    <w:rsid w:val="002E6C09"/>
    <w:rsid w:val="002F2E25"/>
    <w:rsid w:val="002F523C"/>
    <w:rsid w:val="002F5F22"/>
    <w:rsid w:val="00301367"/>
    <w:rsid w:val="00302727"/>
    <w:rsid w:val="0030514D"/>
    <w:rsid w:val="00305B8A"/>
    <w:rsid w:val="00305BD1"/>
    <w:rsid w:val="00306CAA"/>
    <w:rsid w:val="00311B67"/>
    <w:rsid w:val="00313E36"/>
    <w:rsid w:val="0031756F"/>
    <w:rsid w:val="00320C4F"/>
    <w:rsid w:val="0032175A"/>
    <w:rsid w:val="003224ED"/>
    <w:rsid w:val="00323DE3"/>
    <w:rsid w:val="003241EB"/>
    <w:rsid w:val="00325601"/>
    <w:rsid w:val="0033281E"/>
    <w:rsid w:val="0033284E"/>
    <w:rsid w:val="0033470F"/>
    <w:rsid w:val="0033517F"/>
    <w:rsid w:val="00336C5D"/>
    <w:rsid w:val="00336D68"/>
    <w:rsid w:val="00336EA9"/>
    <w:rsid w:val="00336EC6"/>
    <w:rsid w:val="003375F6"/>
    <w:rsid w:val="00337CE6"/>
    <w:rsid w:val="003400E8"/>
    <w:rsid w:val="00344359"/>
    <w:rsid w:val="00344F4E"/>
    <w:rsid w:val="00347260"/>
    <w:rsid w:val="00353991"/>
    <w:rsid w:val="00356DED"/>
    <w:rsid w:val="003608CC"/>
    <w:rsid w:val="003614DC"/>
    <w:rsid w:val="00362802"/>
    <w:rsid w:val="00364A70"/>
    <w:rsid w:val="00367DEE"/>
    <w:rsid w:val="003749AE"/>
    <w:rsid w:val="00375459"/>
    <w:rsid w:val="003834F1"/>
    <w:rsid w:val="00383639"/>
    <w:rsid w:val="00387544"/>
    <w:rsid w:val="00387F55"/>
    <w:rsid w:val="003903F5"/>
    <w:rsid w:val="00393B7F"/>
    <w:rsid w:val="00393CE4"/>
    <w:rsid w:val="0039589C"/>
    <w:rsid w:val="0039606C"/>
    <w:rsid w:val="003979B3"/>
    <w:rsid w:val="003A00CB"/>
    <w:rsid w:val="003A032A"/>
    <w:rsid w:val="003A10A0"/>
    <w:rsid w:val="003A30B1"/>
    <w:rsid w:val="003A411E"/>
    <w:rsid w:val="003A4D0A"/>
    <w:rsid w:val="003A5415"/>
    <w:rsid w:val="003A66A2"/>
    <w:rsid w:val="003A7C90"/>
    <w:rsid w:val="003B0E31"/>
    <w:rsid w:val="003B1ECF"/>
    <w:rsid w:val="003B355D"/>
    <w:rsid w:val="003B37DD"/>
    <w:rsid w:val="003B4063"/>
    <w:rsid w:val="003B50CC"/>
    <w:rsid w:val="003B6204"/>
    <w:rsid w:val="003B6BFC"/>
    <w:rsid w:val="003C2455"/>
    <w:rsid w:val="003C2887"/>
    <w:rsid w:val="003C347B"/>
    <w:rsid w:val="003C3624"/>
    <w:rsid w:val="003C3FDC"/>
    <w:rsid w:val="003C720C"/>
    <w:rsid w:val="003D0364"/>
    <w:rsid w:val="003D1A1F"/>
    <w:rsid w:val="003E4727"/>
    <w:rsid w:val="003E4D4E"/>
    <w:rsid w:val="003E629A"/>
    <w:rsid w:val="003E731D"/>
    <w:rsid w:val="003F254E"/>
    <w:rsid w:val="003F6EA5"/>
    <w:rsid w:val="003F719B"/>
    <w:rsid w:val="0040052E"/>
    <w:rsid w:val="00401EC3"/>
    <w:rsid w:val="00403677"/>
    <w:rsid w:val="00404127"/>
    <w:rsid w:val="00405830"/>
    <w:rsid w:val="00406B28"/>
    <w:rsid w:val="00414B4A"/>
    <w:rsid w:val="0041519C"/>
    <w:rsid w:val="00417B0F"/>
    <w:rsid w:val="004216F9"/>
    <w:rsid w:val="004238F5"/>
    <w:rsid w:val="00425190"/>
    <w:rsid w:val="00425870"/>
    <w:rsid w:val="004259BF"/>
    <w:rsid w:val="00426811"/>
    <w:rsid w:val="00426F5F"/>
    <w:rsid w:val="004308E4"/>
    <w:rsid w:val="00432714"/>
    <w:rsid w:val="00433DF1"/>
    <w:rsid w:val="00433EE0"/>
    <w:rsid w:val="00435668"/>
    <w:rsid w:val="0043794F"/>
    <w:rsid w:val="0044217B"/>
    <w:rsid w:val="0044299E"/>
    <w:rsid w:val="004440EF"/>
    <w:rsid w:val="00446AAF"/>
    <w:rsid w:val="004473F3"/>
    <w:rsid w:val="00447BE1"/>
    <w:rsid w:val="00447D42"/>
    <w:rsid w:val="0045141B"/>
    <w:rsid w:val="0045562A"/>
    <w:rsid w:val="004557BD"/>
    <w:rsid w:val="004558D6"/>
    <w:rsid w:val="00455B7A"/>
    <w:rsid w:val="0045619F"/>
    <w:rsid w:val="004562E1"/>
    <w:rsid w:val="004572B0"/>
    <w:rsid w:val="004572D6"/>
    <w:rsid w:val="004603C7"/>
    <w:rsid w:val="004635C7"/>
    <w:rsid w:val="00464214"/>
    <w:rsid w:val="00464BE0"/>
    <w:rsid w:val="00465941"/>
    <w:rsid w:val="00466E72"/>
    <w:rsid w:val="00467A51"/>
    <w:rsid w:val="00470382"/>
    <w:rsid w:val="00471821"/>
    <w:rsid w:val="00472B41"/>
    <w:rsid w:val="0047466E"/>
    <w:rsid w:val="004751EE"/>
    <w:rsid w:val="004757E8"/>
    <w:rsid w:val="00477310"/>
    <w:rsid w:val="00481333"/>
    <w:rsid w:val="004832E0"/>
    <w:rsid w:val="004837FE"/>
    <w:rsid w:val="00484B33"/>
    <w:rsid w:val="00485F0C"/>
    <w:rsid w:val="00486699"/>
    <w:rsid w:val="00495C91"/>
    <w:rsid w:val="004972AD"/>
    <w:rsid w:val="004A18EB"/>
    <w:rsid w:val="004A343C"/>
    <w:rsid w:val="004B044B"/>
    <w:rsid w:val="004B1325"/>
    <w:rsid w:val="004B315E"/>
    <w:rsid w:val="004B3D2D"/>
    <w:rsid w:val="004B4A8F"/>
    <w:rsid w:val="004B54DF"/>
    <w:rsid w:val="004B6A42"/>
    <w:rsid w:val="004B7D46"/>
    <w:rsid w:val="004C2AE4"/>
    <w:rsid w:val="004C2FC4"/>
    <w:rsid w:val="004C3410"/>
    <w:rsid w:val="004C41AA"/>
    <w:rsid w:val="004C4E8A"/>
    <w:rsid w:val="004C7DFA"/>
    <w:rsid w:val="004D0569"/>
    <w:rsid w:val="004D0735"/>
    <w:rsid w:val="004D28C0"/>
    <w:rsid w:val="004D36C8"/>
    <w:rsid w:val="004D47D6"/>
    <w:rsid w:val="004D5C70"/>
    <w:rsid w:val="004D7434"/>
    <w:rsid w:val="004E7CFF"/>
    <w:rsid w:val="004F1B11"/>
    <w:rsid w:val="004F35B7"/>
    <w:rsid w:val="004F3A12"/>
    <w:rsid w:val="004F4734"/>
    <w:rsid w:val="004F4B2B"/>
    <w:rsid w:val="004F637B"/>
    <w:rsid w:val="0050032C"/>
    <w:rsid w:val="00500488"/>
    <w:rsid w:val="00500CE7"/>
    <w:rsid w:val="005029B3"/>
    <w:rsid w:val="00503C04"/>
    <w:rsid w:val="00505647"/>
    <w:rsid w:val="0050710E"/>
    <w:rsid w:val="005073F4"/>
    <w:rsid w:val="00507BC2"/>
    <w:rsid w:val="00507CA7"/>
    <w:rsid w:val="005140F6"/>
    <w:rsid w:val="0051455D"/>
    <w:rsid w:val="005209F3"/>
    <w:rsid w:val="005210CB"/>
    <w:rsid w:val="00521E59"/>
    <w:rsid w:val="00531957"/>
    <w:rsid w:val="00533BFD"/>
    <w:rsid w:val="00533C4C"/>
    <w:rsid w:val="00533D89"/>
    <w:rsid w:val="00535621"/>
    <w:rsid w:val="00535812"/>
    <w:rsid w:val="005358B1"/>
    <w:rsid w:val="00537F9D"/>
    <w:rsid w:val="00540977"/>
    <w:rsid w:val="00541183"/>
    <w:rsid w:val="00542041"/>
    <w:rsid w:val="005433A7"/>
    <w:rsid w:val="00547213"/>
    <w:rsid w:val="00551619"/>
    <w:rsid w:val="005518C9"/>
    <w:rsid w:val="0055234A"/>
    <w:rsid w:val="00552528"/>
    <w:rsid w:val="00552F5E"/>
    <w:rsid w:val="005531C0"/>
    <w:rsid w:val="0055383B"/>
    <w:rsid w:val="00553BEF"/>
    <w:rsid w:val="00554422"/>
    <w:rsid w:val="005545B1"/>
    <w:rsid w:val="00554A21"/>
    <w:rsid w:val="00557DBD"/>
    <w:rsid w:val="00561073"/>
    <w:rsid w:val="00561158"/>
    <w:rsid w:val="00561278"/>
    <w:rsid w:val="00563BB2"/>
    <w:rsid w:val="0056793C"/>
    <w:rsid w:val="00570590"/>
    <w:rsid w:val="00570881"/>
    <w:rsid w:val="0057403C"/>
    <w:rsid w:val="0057420C"/>
    <w:rsid w:val="00574DD8"/>
    <w:rsid w:val="00575176"/>
    <w:rsid w:val="005757A9"/>
    <w:rsid w:val="00576945"/>
    <w:rsid w:val="0058108A"/>
    <w:rsid w:val="00582412"/>
    <w:rsid w:val="005860EA"/>
    <w:rsid w:val="005900E1"/>
    <w:rsid w:val="00590972"/>
    <w:rsid w:val="00591027"/>
    <w:rsid w:val="00591902"/>
    <w:rsid w:val="005933AB"/>
    <w:rsid w:val="0059351E"/>
    <w:rsid w:val="00594077"/>
    <w:rsid w:val="00595B41"/>
    <w:rsid w:val="00596C07"/>
    <w:rsid w:val="005A04C3"/>
    <w:rsid w:val="005A09FB"/>
    <w:rsid w:val="005A146A"/>
    <w:rsid w:val="005A1FF7"/>
    <w:rsid w:val="005A6028"/>
    <w:rsid w:val="005A7955"/>
    <w:rsid w:val="005A7B85"/>
    <w:rsid w:val="005B4246"/>
    <w:rsid w:val="005B4CE7"/>
    <w:rsid w:val="005B4F43"/>
    <w:rsid w:val="005B5495"/>
    <w:rsid w:val="005C17A6"/>
    <w:rsid w:val="005C228A"/>
    <w:rsid w:val="005C307B"/>
    <w:rsid w:val="005C45B8"/>
    <w:rsid w:val="005C5E1D"/>
    <w:rsid w:val="005C7957"/>
    <w:rsid w:val="005D074A"/>
    <w:rsid w:val="005D1F7A"/>
    <w:rsid w:val="005D3177"/>
    <w:rsid w:val="005D6E3E"/>
    <w:rsid w:val="005E09D3"/>
    <w:rsid w:val="005E0BB8"/>
    <w:rsid w:val="005E105D"/>
    <w:rsid w:val="005E2060"/>
    <w:rsid w:val="005E283D"/>
    <w:rsid w:val="005E4CE5"/>
    <w:rsid w:val="005E5CDC"/>
    <w:rsid w:val="005F2302"/>
    <w:rsid w:val="005F2638"/>
    <w:rsid w:val="005F296A"/>
    <w:rsid w:val="005F3E0B"/>
    <w:rsid w:val="005F7997"/>
    <w:rsid w:val="00600218"/>
    <w:rsid w:val="006007A9"/>
    <w:rsid w:val="00607336"/>
    <w:rsid w:val="006073FA"/>
    <w:rsid w:val="00615F81"/>
    <w:rsid w:val="00617218"/>
    <w:rsid w:val="00621356"/>
    <w:rsid w:val="00622834"/>
    <w:rsid w:val="00623835"/>
    <w:rsid w:val="00624C58"/>
    <w:rsid w:val="0063604C"/>
    <w:rsid w:val="00637709"/>
    <w:rsid w:val="00640EFF"/>
    <w:rsid w:val="00641EF7"/>
    <w:rsid w:val="006456C9"/>
    <w:rsid w:val="00645EBA"/>
    <w:rsid w:val="0064736E"/>
    <w:rsid w:val="00647BCE"/>
    <w:rsid w:val="00650037"/>
    <w:rsid w:val="00651A1A"/>
    <w:rsid w:val="00653625"/>
    <w:rsid w:val="006550C9"/>
    <w:rsid w:val="00655DF3"/>
    <w:rsid w:val="00656350"/>
    <w:rsid w:val="00656C7F"/>
    <w:rsid w:val="00656DD5"/>
    <w:rsid w:val="0065748D"/>
    <w:rsid w:val="00662D6E"/>
    <w:rsid w:val="0066337C"/>
    <w:rsid w:val="0066361C"/>
    <w:rsid w:val="00664F8A"/>
    <w:rsid w:val="0066579C"/>
    <w:rsid w:val="006716E6"/>
    <w:rsid w:val="00671C0D"/>
    <w:rsid w:val="006737AF"/>
    <w:rsid w:val="0067550B"/>
    <w:rsid w:val="00675700"/>
    <w:rsid w:val="00681667"/>
    <w:rsid w:val="00681E8D"/>
    <w:rsid w:val="00684608"/>
    <w:rsid w:val="00685315"/>
    <w:rsid w:val="00685E39"/>
    <w:rsid w:val="00687630"/>
    <w:rsid w:val="00691F18"/>
    <w:rsid w:val="00692C96"/>
    <w:rsid w:val="00694773"/>
    <w:rsid w:val="006949B5"/>
    <w:rsid w:val="00694B90"/>
    <w:rsid w:val="0069524B"/>
    <w:rsid w:val="00695EC9"/>
    <w:rsid w:val="00697B69"/>
    <w:rsid w:val="00697D74"/>
    <w:rsid w:val="006A3483"/>
    <w:rsid w:val="006A4842"/>
    <w:rsid w:val="006A5461"/>
    <w:rsid w:val="006A5F30"/>
    <w:rsid w:val="006A60B6"/>
    <w:rsid w:val="006A6503"/>
    <w:rsid w:val="006B02A7"/>
    <w:rsid w:val="006B4082"/>
    <w:rsid w:val="006C292E"/>
    <w:rsid w:val="006C2FC7"/>
    <w:rsid w:val="006C4303"/>
    <w:rsid w:val="006C64D1"/>
    <w:rsid w:val="006C6FA2"/>
    <w:rsid w:val="006D25B7"/>
    <w:rsid w:val="006D26DD"/>
    <w:rsid w:val="006D27D0"/>
    <w:rsid w:val="006D3EE8"/>
    <w:rsid w:val="006D7B54"/>
    <w:rsid w:val="006E273A"/>
    <w:rsid w:val="006E2A8E"/>
    <w:rsid w:val="006E3CE6"/>
    <w:rsid w:val="006E5018"/>
    <w:rsid w:val="006E51E9"/>
    <w:rsid w:val="006E7DC3"/>
    <w:rsid w:val="006F0A24"/>
    <w:rsid w:val="006F2166"/>
    <w:rsid w:val="006F6C35"/>
    <w:rsid w:val="006F7436"/>
    <w:rsid w:val="00700366"/>
    <w:rsid w:val="00700B8C"/>
    <w:rsid w:val="00701461"/>
    <w:rsid w:val="00701C4D"/>
    <w:rsid w:val="00702010"/>
    <w:rsid w:val="0070281E"/>
    <w:rsid w:val="00702BC6"/>
    <w:rsid w:val="00703C67"/>
    <w:rsid w:val="00703F73"/>
    <w:rsid w:val="007043A8"/>
    <w:rsid w:val="00707A0C"/>
    <w:rsid w:val="007107E4"/>
    <w:rsid w:val="00710C94"/>
    <w:rsid w:val="007119C9"/>
    <w:rsid w:val="00711A54"/>
    <w:rsid w:val="00713D03"/>
    <w:rsid w:val="007146C1"/>
    <w:rsid w:val="007151E9"/>
    <w:rsid w:val="00715A6E"/>
    <w:rsid w:val="00715E37"/>
    <w:rsid w:val="00715EA0"/>
    <w:rsid w:val="00720074"/>
    <w:rsid w:val="00724F03"/>
    <w:rsid w:val="00726485"/>
    <w:rsid w:val="00727490"/>
    <w:rsid w:val="007279CB"/>
    <w:rsid w:val="007306CB"/>
    <w:rsid w:val="00730BA9"/>
    <w:rsid w:val="00732E8F"/>
    <w:rsid w:val="00734989"/>
    <w:rsid w:val="007350DB"/>
    <w:rsid w:val="00735A5C"/>
    <w:rsid w:val="00735BE7"/>
    <w:rsid w:val="00736781"/>
    <w:rsid w:val="00736B4D"/>
    <w:rsid w:val="00740AA8"/>
    <w:rsid w:val="00741E6F"/>
    <w:rsid w:val="0074478B"/>
    <w:rsid w:val="00744B0C"/>
    <w:rsid w:val="0075312D"/>
    <w:rsid w:val="00753A65"/>
    <w:rsid w:val="00760AAF"/>
    <w:rsid w:val="00760E01"/>
    <w:rsid w:val="0076198A"/>
    <w:rsid w:val="00761EED"/>
    <w:rsid w:val="00762364"/>
    <w:rsid w:val="00763AE7"/>
    <w:rsid w:val="00764881"/>
    <w:rsid w:val="0076526C"/>
    <w:rsid w:val="007652E9"/>
    <w:rsid w:val="00766593"/>
    <w:rsid w:val="00766666"/>
    <w:rsid w:val="00770632"/>
    <w:rsid w:val="00771710"/>
    <w:rsid w:val="00771B6B"/>
    <w:rsid w:val="007720AA"/>
    <w:rsid w:val="00772A7D"/>
    <w:rsid w:val="00773571"/>
    <w:rsid w:val="0077643B"/>
    <w:rsid w:val="00776BF0"/>
    <w:rsid w:val="00781387"/>
    <w:rsid w:val="0078678A"/>
    <w:rsid w:val="0079150D"/>
    <w:rsid w:val="00792337"/>
    <w:rsid w:val="007961B2"/>
    <w:rsid w:val="00796AF9"/>
    <w:rsid w:val="007A0268"/>
    <w:rsid w:val="007A2393"/>
    <w:rsid w:val="007A2851"/>
    <w:rsid w:val="007A44C5"/>
    <w:rsid w:val="007A53C2"/>
    <w:rsid w:val="007A554F"/>
    <w:rsid w:val="007A6B99"/>
    <w:rsid w:val="007B014E"/>
    <w:rsid w:val="007B12B1"/>
    <w:rsid w:val="007C0B1E"/>
    <w:rsid w:val="007C1886"/>
    <w:rsid w:val="007C54E1"/>
    <w:rsid w:val="007D15F5"/>
    <w:rsid w:val="007D315E"/>
    <w:rsid w:val="007D370B"/>
    <w:rsid w:val="007D4892"/>
    <w:rsid w:val="007D4EBB"/>
    <w:rsid w:val="007E0852"/>
    <w:rsid w:val="007E4469"/>
    <w:rsid w:val="007E5C22"/>
    <w:rsid w:val="007E7D88"/>
    <w:rsid w:val="007F2634"/>
    <w:rsid w:val="007F7097"/>
    <w:rsid w:val="008027CB"/>
    <w:rsid w:val="00803421"/>
    <w:rsid w:val="0080559B"/>
    <w:rsid w:val="00812663"/>
    <w:rsid w:val="00813DFB"/>
    <w:rsid w:val="008150A5"/>
    <w:rsid w:val="00816603"/>
    <w:rsid w:val="00823407"/>
    <w:rsid w:val="008252BA"/>
    <w:rsid w:val="0083046B"/>
    <w:rsid w:val="00834962"/>
    <w:rsid w:val="00834AA0"/>
    <w:rsid w:val="008359CE"/>
    <w:rsid w:val="008363FA"/>
    <w:rsid w:val="00837100"/>
    <w:rsid w:val="0084241A"/>
    <w:rsid w:val="00844B52"/>
    <w:rsid w:val="00844D95"/>
    <w:rsid w:val="00846974"/>
    <w:rsid w:val="008470AF"/>
    <w:rsid w:val="00847220"/>
    <w:rsid w:val="0084784E"/>
    <w:rsid w:val="00847C21"/>
    <w:rsid w:val="0085013E"/>
    <w:rsid w:val="008503DC"/>
    <w:rsid w:val="00850790"/>
    <w:rsid w:val="008522DE"/>
    <w:rsid w:val="0085357A"/>
    <w:rsid w:val="00853E96"/>
    <w:rsid w:val="00857320"/>
    <w:rsid w:val="00857B83"/>
    <w:rsid w:val="00860989"/>
    <w:rsid w:val="008624B3"/>
    <w:rsid w:val="008646C5"/>
    <w:rsid w:val="00865038"/>
    <w:rsid w:val="00866539"/>
    <w:rsid w:val="008667A4"/>
    <w:rsid w:val="00867245"/>
    <w:rsid w:val="008675A8"/>
    <w:rsid w:val="00871482"/>
    <w:rsid w:val="00872454"/>
    <w:rsid w:val="00873155"/>
    <w:rsid w:val="008755E6"/>
    <w:rsid w:val="00882A3D"/>
    <w:rsid w:val="00882CCB"/>
    <w:rsid w:val="00887A6D"/>
    <w:rsid w:val="0089095A"/>
    <w:rsid w:val="0089128F"/>
    <w:rsid w:val="00894753"/>
    <w:rsid w:val="00895675"/>
    <w:rsid w:val="0089613F"/>
    <w:rsid w:val="0089687D"/>
    <w:rsid w:val="00896CDF"/>
    <w:rsid w:val="008A093C"/>
    <w:rsid w:val="008A0F79"/>
    <w:rsid w:val="008A2285"/>
    <w:rsid w:val="008A6DDD"/>
    <w:rsid w:val="008A7A39"/>
    <w:rsid w:val="008B1F63"/>
    <w:rsid w:val="008B2ED1"/>
    <w:rsid w:val="008B6516"/>
    <w:rsid w:val="008B65BF"/>
    <w:rsid w:val="008B6886"/>
    <w:rsid w:val="008C0B10"/>
    <w:rsid w:val="008C276B"/>
    <w:rsid w:val="008C3498"/>
    <w:rsid w:val="008C4298"/>
    <w:rsid w:val="008D03C9"/>
    <w:rsid w:val="008D1A5C"/>
    <w:rsid w:val="008D20D1"/>
    <w:rsid w:val="008D30F7"/>
    <w:rsid w:val="008D53C8"/>
    <w:rsid w:val="008D6B11"/>
    <w:rsid w:val="008D714A"/>
    <w:rsid w:val="008E05A3"/>
    <w:rsid w:val="008E0D7F"/>
    <w:rsid w:val="008E15E3"/>
    <w:rsid w:val="008E1D4D"/>
    <w:rsid w:val="008E2E18"/>
    <w:rsid w:val="008E53F6"/>
    <w:rsid w:val="008E66B3"/>
    <w:rsid w:val="008E7346"/>
    <w:rsid w:val="008F0FD0"/>
    <w:rsid w:val="008F1E98"/>
    <w:rsid w:val="008F1F5A"/>
    <w:rsid w:val="008F338C"/>
    <w:rsid w:val="008F3F41"/>
    <w:rsid w:val="008F60B7"/>
    <w:rsid w:val="008F6B6C"/>
    <w:rsid w:val="008F6B93"/>
    <w:rsid w:val="00900A28"/>
    <w:rsid w:val="009043C3"/>
    <w:rsid w:val="00905F8B"/>
    <w:rsid w:val="00906630"/>
    <w:rsid w:val="009079AF"/>
    <w:rsid w:val="00910583"/>
    <w:rsid w:val="00910CB8"/>
    <w:rsid w:val="00911126"/>
    <w:rsid w:val="009131C7"/>
    <w:rsid w:val="00915DC0"/>
    <w:rsid w:val="0091749A"/>
    <w:rsid w:val="00917C3C"/>
    <w:rsid w:val="0092152B"/>
    <w:rsid w:val="00924E83"/>
    <w:rsid w:val="00926016"/>
    <w:rsid w:val="00926422"/>
    <w:rsid w:val="00930A36"/>
    <w:rsid w:val="00932EBF"/>
    <w:rsid w:val="00935A91"/>
    <w:rsid w:val="00936260"/>
    <w:rsid w:val="00936D2B"/>
    <w:rsid w:val="00940D62"/>
    <w:rsid w:val="00940DAB"/>
    <w:rsid w:val="00940DB9"/>
    <w:rsid w:val="009423C3"/>
    <w:rsid w:val="00942DD4"/>
    <w:rsid w:val="009453AC"/>
    <w:rsid w:val="009469B2"/>
    <w:rsid w:val="009478AB"/>
    <w:rsid w:val="0094791C"/>
    <w:rsid w:val="00950441"/>
    <w:rsid w:val="00950F21"/>
    <w:rsid w:val="009510B8"/>
    <w:rsid w:val="00951EA2"/>
    <w:rsid w:val="0095286C"/>
    <w:rsid w:val="0095388C"/>
    <w:rsid w:val="00954934"/>
    <w:rsid w:val="00956E1A"/>
    <w:rsid w:val="009663E3"/>
    <w:rsid w:val="00972299"/>
    <w:rsid w:val="009728CE"/>
    <w:rsid w:val="00972984"/>
    <w:rsid w:val="00976237"/>
    <w:rsid w:val="009810EC"/>
    <w:rsid w:val="00982388"/>
    <w:rsid w:val="00982582"/>
    <w:rsid w:val="00983213"/>
    <w:rsid w:val="00983614"/>
    <w:rsid w:val="00983F31"/>
    <w:rsid w:val="009867CB"/>
    <w:rsid w:val="0099021C"/>
    <w:rsid w:val="0099062D"/>
    <w:rsid w:val="00996EF7"/>
    <w:rsid w:val="009A012F"/>
    <w:rsid w:val="009A0F80"/>
    <w:rsid w:val="009A22D5"/>
    <w:rsid w:val="009A41DA"/>
    <w:rsid w:val="009A5D6D"/>
    <w:rsid w:val="009B0218"/>
    <w:rsid w:val="009B0BFE"/>
    <w:rsid w:val="009B568F"/>
    <w:rsid w:val="009B62E2"/>
    <w:rsid w:val="009B6535"/>
    <w:rsid w:val="009C4932"/>
    <w:rsid w:val="009C678B"/>
    <w:rsid w:val="009C6DE5"/>
    <w:rsid w:val="009D1BD2"/>
    <w:rsid w:val="009D1D7C"/>
    <w:rsid w:val="009D38FF"/>
    <w:rsid w:val="009D394D"/>
    <w:rsid w:val="009D3F9A"/>
    <w:rsid w:val="009D4927"/>
    <w:rsid w:val="009D4AB0"/>
    <w:rsid w:val="009D4C73"/>
    <w:rsid w:val="009D4FE9"/>
    <w:rsid w:val="009D74E9"/>
    <w:rsid w:val="009D7BD1"/>
    <w:rsid w:val="009E1750"/>
    <w:rsid w:val="009E178F"/>
    <w:rsid w:val="009E22A7"/>
    <w:rsid w:val="009E2DED"/>
    <w:rsid w:val="009E5681"/>
    <w:rsid w:val="009E5B48"/>
    <w:rsid w:val="009E7F62"/>
    <w:rsid w:val="009F1A00"/>
    <w:rsid w:val="009F30D5"/>
    <w:rsid w:val="009F48CA"/>
    <w:rsid w:val="009F5E84"/>
    <w:rsid w:val="009F61DE"/>
    <w:rsid w:val="00A001A7"/>
    <w:rsid w:val="00A0056F"/>
    <w:rsid w:val="00A030E8"/>
    <w:rsid w:val="00A05A6B"/>
    <w:rsid w:val="00A067B7"/>
    <w:rsid w:val="00A077F2"/>
    <w:rsid w:val="00A07C31"/>
    <w:rsid w:val="00A104A1"/>
    <w:rsid w:val="00A148C5"/>
    <w:rsid w:val="00A14C4B"/>
    <w:rsid w:val="00A15F49"/>
    <w:rsid w:val="00A16E15"/>
    <w:rsid w:val="00A17E03"/>
    <w:rsid w:val="00A216B4"/>
    <w:rsid w:val="00A22939"/>
    <w:rsid w:val="00A25CED"/>
    <w:rsid w:val="00A25D78"/>
    <w:rsid w:val="00A305A6"/>
    <w:rsid w:val="00A315C3"/>
    <w:rsid w:val="00A33497"/>
    <w:rsid w:val="00A34C2C"/>
    <w:rsid w:val="00A35E5B"/>
    <w:rsid w:val="00A36EA1"/>
    <w:rsid w:val="00A40324"/>
    <w:rsid w:val="00A40656"/>
    <w:rsid w:val="00A4165B"/>
    <w:rsid w:val="00A428B1"/>
    <w:rsid w:val="00A44AE8"/>
    <w:rsid w:val="00A4590E"/>
    <w:rsid w:val="00A45C14"/>
    <w:rsid w:val="00A45F7F"/>
    <w:rsid w:val="00A47576"/>
    <w:rsid w:val="00A47DA7"/>
    <w:rsid w:val="00A519FE"/>
    <w:rsid w:val="00A53A39"/>
    <w:rsid w:val="00A57BA9"/>
    <w:rsid w:val="00A61537"/>
    <w:rsid w:val="00A62E65"/>
    <w:rsid w:val="00A63C50"/>
    <w:rsid w:val="00A64058"/>
    <w:rsid w:val="00A6406E"/>
    <w:rsid w:val="00A64186"/>
    <w:rsid w:val="00A7121A"/>
    <w:rsid w:val="00A72405"/>
    <w:rsid w:val="00A72FCA"/>
    <w:rsid w:val="00A741D4"/>
    <w:rsid w:val="00A742FB"/>
    <w:rsid w:val="00A75210"/>
    <w:rsid w:val="00A76C52"/>
    <w:rsid w:val="00A80EC9"/>
    <w:rsid w:val="00A814FF"/>
    <w:rsid w:val="00A82B2A"/>
    <w:rsid w:val="00A84ABF"/>
    <w:rsid w:val="00A86697"/>
    <w:rsid w:val="00A86A6B"/>
    <w:rsid w:val="00A86B89"/>
    <w:rsid w:val="00A86C19"/>
    <w:rsid w:val="00A86E2D"/>
    <w:rsid w:val="00A87F33"/>
    <w:rsid w:val="00A90FC8"/>
    <w:rsid w:val="00A918AD"/>
    <w:rsid w:val="00A91A70"/>
    <w:rsid w:val="00A93921"/>
    <w:rsid w:val="00A9396C"/>
    <w:rsid w:val="00A9546A"/>
    <w:rsid w:val="00AA1649"/>
    <w:rsid w:val="00AA2744"/>
    <w:rsid w:val="00AA3E7C"/>
    <w:rsid w:val="00AA4620"/>
    <w:rsid w:val="00AA69CE"/>
    <w:rsid w:val="00AA6A2C"/>
    <w:rsid w:val="00AA6C28"/>
    <w:rsid w:val="00AA7F80"/>
    <w:rsid w:val="00AB1194"/>
    <w:rsid w:val="00AB4AA7"/>
    <w:rsid w:val="00AB6B07"/>
    <w:rsid w:val="00AB6DEB"/>
    <w:rsid w:val="00AC195E"/>
    <w:rsid w:val="00AC1C17"/>
    <w:rsid w:val="00AC25E8"/>
    <w:rsid w:val="00AC3A8B"/>
    <w:rsid w:val="00AC4EC9"/>
    <w:rsid w:val="00AC79E0"/>
    <w:rsid w:val="00AD01B4"/>
    <w:rsid w:val="00AD44A0"/>
    <w:rsid w:val="00ADBCC6"/>
    <w:rsid w:val="00AE217B"/>
    <w:rsid w:val="00AE2702"/>
    <w:rsid w:val="00AE38E9"/>
    <w:rsid w:val="00AE3DF1"/>
    <w:rsid w:val="00AE49CF"/>
    <w:rsid w:val="00AE684F"/>
    <w:rsid w:val="00AE76D8"/>
    <w:rsid w:val="00AF070B"/>
    <w:rsid w:val="00AF2106"/>
    <w:rsid w:val="00AF37D0"/>
    <w:rsid w:val="00AF3E58"/>
    <w:rsid w:val="00AF47E3"/>
    <w:rsid w:val="00AF4902"/>
    <w:rsid w:val="00AF4996"/>
    <w:rsid w:val="00AF7CA6"/>
    <w:rsid w:val="00B00A94"/>
    <w:rsid w:val="00B012EE"/>
    <w:rsid w:val="00B01D88"/>
    <w:rsid w:val="00B0563B"/>
    <w:rsid w:val="00B10E7E"/>
    <w:rsid w:val="00B133A7"/>
    <w:rsid w:val="00B14CA0"/>
    <w:rsid w:val="00B151F2"/>
    <w:rsid w:val="00B16175"/>
    <w:rsid w:val="00B17619"/>
    <w:rsid w:val="00B21505"/>
    <w:rsid w:val="00B224BA"/>
    <w:rsid w:val="00B260AA"/>
    <w:rsid w:val="00B2682D"/>
    <w:rsid w:val="00B26ED2"/>
    <w:rsid w:val="00B27B5C"/>
    <w:rsid w:val="00B27DEB"/>
    <w:rsid w:val="00B31C87"/>
    <w:rsid w:val="00B31F04"/>
    <w:rsid w:val="00B33554"/>
    <w:rsid w:val="00B33D43"/>
    <w:rsid w:val="00B33E96"/>
    <w:rsid w:val="00B3426A"/>
    <w:rsid w:val="00B34322"/>
    <w:rsid w:val="00B40D73"/>
    <w:rsid w:val="00B44C07"/>
    <w:rsid w:val="00B4561B"/>
    <w:rsid w:val="00B45B97"/>
    <w:rsid w:val="00B45D3B"/>
    <w:rsid w:val="00B46E11"/>
    <w:rsid w:val="00B47393"/>
    <w:rsid w:val="00B50B6B"/>
    <w:rsid w:val="00B51B2D"/>
    <w:rsid w:val="00B5259D"/>
    <w:rsid w:val="00B54800"/>
    <w:rsid w:val="00B5535C"/>
    <w:rsid w:val="00B57FE2"/>
    <w:rsid w:val="00B60565"/>
    <w:rsid w:val="00B60A6B"/>
    <w:rsid w:val="00B60D61"/>
    <w:rsid w:val="00B619A6"/>
    <w:rsid w:val="00B61F2D"/>
    <w:rsid w:val="00B65CF8"/>
    <w:rsid w:val="00B66790"/>
    <w:rsid w:val="00B679B4"/>
    <w:rsid w:val="00B67EFF"/>
    <w:rsid w:val="00B711F3"/>
    <w:rsid w:val="00B71210"/>
    <w:rsid w:val="00B721A8"/>
    <w:rsid w:val="00B7630E"/>
    <w:rsid w:val="00B778DA"/>
    <w:rsid w:val="00B8042E"/>
    <w:rsid w:val="00B813B0"/>
    <w:rsid w:val="00B82564"/>
    <w:rsid w:val="00B82C0A"/>
    <w:rsid w:val="00B850F4"/>
    <w:rsid w:val="00B85671"/>
    <w:rsid w:val="00B85D54"/>
    <w:rsid w:val="00B903A6"/>
    <w:rsid w:val="00B908CB"/>
    <w:rsid w:val="00B93605"/>
    <w:rsid w:val="00B948C2"/>
    <w:rsid w:val="00B96A3A"/>
    <w:rsid w:val="00BA09A3"/>
    <w:rsid w:val="00BA7D66"/>
    <w:rsid w:val="00BB1755"/>
    <w:rsid w:val="00BB47C4"/>
    <w:rsid w:val="00BB61E9"/>
    <w:rsid w:val="00BB666F"/>
    <w:rsid w:val="00BC4A41"/>
    <w:rsid w:val="00BC4CB9"/>
    <w:rsid w:val="00BC5537"/>
    <w:rsid w:val="00BC5AC7"/>
    <w:rsid w:val="00BD15A1"/>
    <w:rsid w:val="00BD47D0"/>
    <w:rsid w:val="00BD4C05"/>
    <w:rsid w:val="00BD7393"/>
    <w:rsid w:val="00BD7B70"/>
    <w:rsid w:val="00BD7D60"/>
    <w:rsid w:val="00BD7F12"/>
    <w:rsid w:val="00BE0095"/>
    <w:rsid w:val="00BE31AE"/>
    <w:rsid w:val="00BE3552"/>
    <w:rsid w:val="00BF0575"/>
    <w:rsid w:val="00BF16CB"/>
    <w:rsid w:val="00BF329A"/>
    <w:rsid w:val="00BF3EF6"/>
    <w:rsid w:val="00BF4DAA"/>
    <w:rsid w:val="00BF64E0"/>
    <w:rsid w:val="00BF7C8F"/>
    <w:rsid w:val="00C01CBF"/>
    <w:rsid w:val="00C02B8E"/>
    <w:rsid w:val="00C0765B"/>
    <w:rsid w:val="00C07816"/>
    <w:rsid w:val="00C10943"/>
    <w:rsid w:val="00C1182D"/>
    <w:rsid w:val="00C12550"/>
    <w:rsid w:val="00C23335"/>
    <w:rsid w:val="00C23AD7"/>
    <w:rsid w:val="00C240B1"/>
    <w:rsid w:val="00C25766"/>
    <w:rsid w:val="00C25EB4"/>
    <w:rsid w:val="00C25F86"/>
    <w:rsid w:val="00C26CC0"/>
    <w:rsid w:val="00C26D32"/>
    <w:rsid w:val="00C31421"/>
    <w:rsid w:val="00C32E3F"/>
    <w:rsid w:val="00C331E1"/>
    <w:rsid w:val="00C33F67"/>
    <w:rsid w:val="00C3505D"/>
    <w:rsid w:val="00C35426"/>
    <w:rsid w:val="00C417C3"/>
    <w:rsid w:val="00C4606E"/>
    <w:rsid w:val="00C5420E"/>
    <w:rsid w:val="00C56D15"/>
    <w:rsid w:val="00C61873"/>
    <w:rsid w:val="00C61FDA"/>
    <w:rsid w:val="00C6392C"/>
    <w:rsid w:val="00C6404B"/>
    <w:rsid w:val="00C642A6"/>
    <w:rsid w:val="00C665D0"/>
    <w:rsid w:val="00C666D0"/>
    <w:rsid w:val="00C67A8E"/>
    <w:rsid w:val="00C70E60"/>
    <w:rsid w:val="00C711A4"/>
    <w:rsid w:val="00C72927"/>
    <w:rsid w:val="00C737E4"/>
    <w:rsid w:val="00C7397A"/>
    <w:rsid w:val="00C73ADA"/>
    <w:rsid w:val="00C75140"/>
    <w:rsid w:val="00C75EAB"/>
    <w:rsid w:val="00C76120"/>
    <w:rsid w:val="00C77490"/>
    <w:rsid w:val="00C81006"/>
    <w:rsid w:val="00C825DF"/>
    <w:rsid w:val="00C86190"/>
    <w:rsid w:val="00C86B49"/>
    <w:rsid w:val="00C87C52"/>
    <w:rsid w:val="00C87DEF"/>
    <w:rsid w:val="00C91C96"/>
    <w:rsid w:val="00C94819"/>
    <w:rsid w:val="00C95EED"/>
    <w:rsid w:val="00C97A82"/>
    <w:rsid w:val="00CA0309"/>
    <w:rsid w:val="00CA084E"/>
    <w:rsid w:val="00CA2660"/>
    <w:rsid w:val="00CA403E"/>
    <w:rsid w:val="00CA57C8"/>
    <w:rsid w:val="00CA7622"/>
    <w:rsid w:val="00CA77E5"/>
    <w:rsid w:val="00CB09FA"/>
    <w:rsid w:val="00CB0A52"/>
    <w:rsid w:val="00CB0BE6"/>
    <w:rsid w:val="00CB2373"/>
    <w:rsid w:val="00CB23DF"/>
    <w:rsid w:val="00CB267F"/>
    <w:rsid w:val="00CB28C1"/>
    <w:rsid w:val="00CB302F"/>
    <w:rsid w:val="00CB33BB"/>
    <w:rsid w:val="00CC00B4"/>
    <w:rsid w:val="00CC1F64"/>
    <w:rsid w:val="00CC26E2"/>
    <w:rsid w:val="00CC2934"/>
    <w:rsid w:val="00CC2FAC"/>
    <w:rsid w:val="00CC3749"/>
    <w:rsid w:val="00CC4E8B"/>
    <w:rsid w:val="00CD0FA1"/>
    <w:rsid w:val="00CD1304"/>
    <w:rsid w:val="00CD2146"/>
    <w:rsid w:val="00CD3074"/>
    <w:rsid w:val="00CD39D9"/>
    <w:rsid w:val="00CD7022"/>
    <w:rsid w:val="00CD7BA1"/>
    <w:rsid w:val="00CE1739"/>
    <w:rsid w:val="00CE1DB7"/>
    <w:rsid w:val="00CE4A3A"/>
    <w:rsid w:val="00CE57B9"/>
    <w:rsid w:val="00CE785B"/>
    <w:rsid w:val="00CE7F18"/>
    <w:rsid w:val="00CF1A7C"/>
    <w:rsid w:val="00CF673B"/>
    <w:rsid w:val="00CF70AC"/>
    <w:rsid w:val="00D01B7A"/>
    <w:rsid w:val="00D02D04"/>
    <w:rsid w:val="00D03F89"/>
    <w:rsid w:val="00D04A27"/>
    <w:rsid w:val="00D05D4D"/>
    <w:rsid w:val="00D065DE"/>
    <w:rsid w:val="00D10238"/>
    <w:rsid w:val="00D10E25"/>
    <w:rsid w:val="00D11EDD"/>
    <w:rsid w:val="00D13209"/>
    <w:rsid w:val="00D142DD"/>
    <w:rsid w:val="00D15913"/>
    <w:rsid w:val="00D1594F"/>
    <w:rsid w:val="00D16568"/>
    <w:rsid w:val="00D20986"/>
    <w:rsid w:val="00D20EA1"/>
    <w:rsid w:val="00D235D5"/>
    <w:rsid w:val="00D23A2B"/>
    <w:rsid w:val="00D23D67"/>
    <w:rsid w:val="00D25FB1"/>
    <w:rsid w:val="00D25FF0"/>
    <w:rsid w:val="00D26F38"/>
    <w:rsid w:val="00D30B52"/>
    <w:rsid w:val="00D31B9F"/>
    <w:rsid w:val="00D327C9"/>
    <w:rsid w:val="00D37CBF"/>
    <w:rsid w:val="00D4016A"/>
    <w:rsid w:val="00D4354F"/>
    <w:rsid w:val="00D44321"/>
    <w:rsid w:val="00D44970"/>
    <w:rsid w:val="00D45131"/>
    <w:rsid w:val="00D466B7"/>
    <w:rsid w:val="00D51333"/>
    <w:rsid w:val="00D52BBD"/>
    <w:rsid w:val="00D53752"/>
    <w:rsid w:val="00D5444D"/>
    <w:rsid w:val="00D54691"/>
    <w:rsid w:val="00D56EA4"/>
    <w:rsid w:val="00D57E1A"/>
    <w:rsid w:val="00D6014B"/>
    <w:rsid w:val="00D651FC"/>
    <w:rsid w:val="00D65555"/>
    <w:rsid w:val="00D65A49"/>
    <w:rsid w:val="00D66E71"/>
    <w:rsid w:val="00D67A49"/>
    <w:rsid w:val="00D67B30"/>
    <w:rsid w:val="00D73723"/>
    <w:rsid w:val="00D73D33"/>
    <w:rsid w:val="00D73D86"/>
    <w:rsid w:val="00D74053"/>
    <w:rsid w:val="00D75673"/>
    <w:rsid w:val="00D772C3"/>
    <w:rsid w:val="00D77DE0"/>
    <w:rsid w:val="00D80ABA"/>
    <w:rsid w:val="00D83D9C"/>
    <w:rsid w:val="00D86E16"/>
    <w:rsid w:val="00D9282C"/>
    <w:rsid w:val="00D92B7C"/>
    <w:rsid w:val="00D9373F"/>
    <w:rsid w:val="00D95B9F"/>
    <w:rsid w:val="00DA182F"/>
    <w:rsid w:val="00DA5BDA"/>
    <w:rsid w:val="00DB23E9"/>
    <w:rsid w:val="00DB3F4E"/>
    <w:rsid w:val="00DB40C5"/>
    <w:rsid w:val="00DB5433"/>
    <w:rsid w:val="00DB5ECE"/>
    <w:rsid w:val="00DB7DB9"/>
    <w:rsid w:val="00DC1EAA"/>
    <w:rsid w:val="00DC1F34"/>
    <w:rsid w:val="00DC4536"/>
    <w:rsid w:val="00DD003F"/>
    <w:rsid w:val="00DD007C"/>
    <w:rsid w:val="00DD0EE7"/>
    <w:rsid w:val="00DD3ECF"/>
    <w:rsid w:val="00DD4EDC"/>
    <w:rsid w:val="00DD6B22"/>
    <w:rsid w:val="00DD6B55"/>
    <w:rsid w:val="00DD736D"/>
    <w:rsid w:val="00DE0257"/>
    <w:rsid w:val="00DE1D8E"/>
    <w:rsid w:val="00DE6082"/>
    <w:rsid w:val="00DE7C20"/>
    <w:rsid w:val="00DF043B"/>
    <w:rsid w:val="00DF1195"/>
    <w:rsid w:val="00DF3463"/>
    <w:rsid w:val="00DF3787"/>
    <w:rsid w:val="00DF485D"/>
    <w:rsid w:val="00DF5505"/>
    <w:rsid w:val="00DF69AA"/>
    <w:rsid w:val="00DF70FB"/>
    <w:rsid w:val="00DF7E64"/>
    <w:rsid w:val="00E04E38"/>
    <w:rsid w:val="00E0521C"/>
    <w:rsid w:val="00E05CCE"/>
    <w:rsid w:val="00E065CC"/>
    <w:rsid w:val="00E06864"/>
    <w:rsid w:val="00E11A86"/>
    <w:rsid w:val="00E12735"/>
    <w:rsid w:val="00E13B5A"/>
    <w:rsid w:val="00E160DC"/>
    <w:rsid w:val="00E20573"/>
    <w:rsid w:val="00E22B30"/>
    <w:rsid w:val="00E22E3C"/>
    <w:rsid w:val="00E24BAC"/>
    <w:rsid w:val="00E24EF3"/>
    <w:rsid w:val="00E26C7A"/>
    <w:rsid w:val="00E306CA"/>
    <w:rsid w:val="00E314FB"/>
    <w:rsid w:val="00E31C02"/>
    <w:rsid w:val="00E35F7C"/>
    <w:rsid w:val="00E37924"/>
    <w:rsid w:val="00E401CE"/>
    <w:rsid w:val="00E40652"/>
    <w:rsid w:val="00E40B9A"/>
    <w:rsid w:val="00E40EE9"/>
    <w:rsid w:val="00E41365"/>
    <w:rsid w:val="00E4218B"/>
    <w:rsid w:val="00E4291E"/>
    <w:rsid w:val="00E43B19"/>
    <w:rsid w:val="00E44CD0"/>
    <w:rsid w:val="00E45038"/>
    <w:rsid w:val="00E4536B"/>
    <w:rsid w:val="00E45432"/>
    <w:rsid w:val="00E455B3"/>
    <w:rsid w:val="00E45602"/>
    <w:rsid w:val="00E45BD4"/>
    <w:rsid w:val="00E50105"/>
    <w:rsid w:val="00E51AEE"/>
    <w:rsid w:val="00E52BE1"/>
    <w:rsid w:val="00E53934"/>
    <w:rsid w:val="00E57607"/>
    <w:rsid w:val="00E60593"/>
    <w:rsid w:val="00E6060A"/>
    <w:rsid w:val="00E613D7"/>
    <w:rsid w:val="00E64449"/>
    <w:rsid w:val="00E66F30"/>
    <w:rsid w:val="00E67D2C"/>
    <w:rsid w:val="00E7074B"/>
    <w:rsid w:val="00E727FF"/>
    <w:rsid w:val="00E77386"/>
    <w:rsid w:val="00E804CD"/>
    <w:rsid w:val="00E80F74"/>
    <w:rsid w:val="00E811AF"/>
    <w:rsid w:val="00E813D0"/>
    <w:rsid w:val="00E81E66"/>
    <w:rsid w:val="00E86927"/>
    <w:rsid w:val="00E87B1E"/>
    <w:rsid w:val="00E87DBF"/>
    <w:rsid w:val="00E9179B"/>
    <w:rsid w:val="00E92730"/>
    <w:rsid w:val="00E92C3B"/>
    <w:rsid w:val="00E941C4"/>
    <w:rsid w:val="00E94384"/>
    <w:rsid w:val="00E95D1D"/>
    <w:rsid w:val="00E95F50"/>
    <w:rsid w:val="00E96C34"/>
    <w:rsid w:val="00EA0981"/>
    <w:rsid w:val="00EA56D9"/>
    <w:rsid w:val="00EA78BD"/>
    <w:rsid w:val="00EB088A"/>
    <w:rsid w:val="00EB0E2D"/>
    <w:rsid w:val="00EB3382"/>
    <w:rsid w:val="00EB4ABD"/>
    <w:rsid w:val="00EB6466"/>
    <w:rsid w:val="00EC10F8"/>
    <w:rsid w:val="00EC1C73"/>
    <w:rsid w:val="00EC2F3F"/>
    <w:rsid w:val="00EC3161"/>
    <w:rsid w:val="00EC418B"/>
    <w:rsid w:val="00EC6CDA"/>
    <w:rsid w:val="00ED34FD"/>
    <w:rsid w:val="00EE0E14"/>
    <w:rsid w:val="00EE279A"/>
    <w:rsid w:val="00EE3087"/>
    <w:rsid w:val="00EE418C"/>
    <w:rsid w:val="00EE67B8"/>
    <w:rsid w:val="00EF0D75"/>
    <w:rsid w:val="00EF2ED7"/>
    <w:rsid w:val="00EF3D84"/>
    <w:rsid w:val="00EF3DD0"/>
    <w:rsid w:val="00EF453C"/>
    <w:rsid w:val="00EF4956"/>
    <w:rsid w:val="00EF4A6F"/>
    <w:rsid w:val="00EF55C9"/>
    <w:rsid w:val="00EF6DF9"/>
    <w:rsid w:val="00F00597"/>
    <w:rsid w:val="00F00D89"/>
    <w:rsid w:val="00F01C97"/>
    <w:rsid w:val="00F023B2"/>
    <w:rsid w:val="00F03DB8"/>
    <w:rsid w:val="00F042FD"/>
    <w:rsid w:val="00F1068E"/>
    <w:rsid w:val="00F10773"/>
    <w:rsid w:val="00F12F21"/>
    <w:rsid w:val="00F13561"/>
    <w:rsid w:val="00F201D5"/>
    <w:rsid w:val="00F20D91"/>
    <w:rsid w:val="00F21BDC"/>
    <w:rsid w:val="00F2285D"/>
    <w:rsid w:val="00F231AA"/>
    <w:rsid w:val="00F2326E"/>
    <w:rsid w:val="00F26493"/>
    <w:rsid w:val="00F27D34"/>
    <w:rsid w:val="00F33CF3"/>
    <w:rsid w:val="00F350D0"/>
    <w:rsid w:val="00F37301"/>
    <w:rsid w:val="00F40947"/>
    <w:rsid w:val="00F432E9"/>
    <w:rsid w:val="00F502F2"/>
    <w:rsid w:val="00F5185C"/>
    <w:rsid w:val="00F51AFF"/>
    <w:rsid w:val="00F527A1"/>
    <w:rsid w:val="00F53B43"/>
    <w:rsid w:val="00F55026"/>
    <w:rsid w:val="00F551DF"/>
    <w:rsid w:val="00F5528F"/>
    <w:rsid w:val="00F562E6"/>
    <w:rsid w:val="00F57501"/>
    <w:rsid w:val="00F57B87"/>
    <w:rsid w:val="00F62DB4"/>
    <w:rsid w:val="00F6385D"/>
    <w:rsid w:val="00F65430"/>
    <w:rsid w:val="00F66003"/>
    <w:rsid w:val="00F707B5"/>
    <w:rsid w:val="00F70CE2"/>
    <w:rsid w:val="00F7183B"/>
    <w:rsid w:val="00F73291"/>
    <w:rsid w:val="00F82264"/>
    <w:rsid w:val="00F834D3"/>
    <w:rsid w:val="00F84765"/>
    <w:rsid w:val="00F85E69"/>
    <w:rsid w:val="00F86490"/>
    <w:rsid w:val="00F86813"/>
    <w:rsid w:val="00F86BAD"/>
    <w:rsid w:val="00F947C5"/>
    <w:rsid w:val="00F96740"/>
    <w:rsid w:val="00F971C0"/>
    <w:rsid w:val="00FA0A25"/>
    <w:rsid w:val="00FA16F8"/>
    <w:rsid w:val="00FA2A6B"/>
    <w:rsid w:val="00FA57C8"/>
    <w:rsid w:val="00FA5D0A"/>
    <w:rsid w:val="00FA628D"/>
    <w:rsid w:val="00FA65D7"/>
    <w:rsid w:val="00FA6F45"/>
    <w:rsid w:val="00FA6FE5"/>
    <w:rsid w:val="00FB1BC9"/>
    <w:rsid w:val="00FB30FF"/>
    <w:rsid w:val="00FB728D"/>
    <w:rsid w:val="00FC018B"/>
    <w:rsid w:val="00FC0630"/>
    <w:rsid w:val="00FC3F32"/>
    <w:rsid w:val="00FC5C87"/>
    <w:rsid w:val="00FC7B3F"/>
    <w:rsid w:val="00FD05F5"/>
    <w:rsid w:val="00FD0F10"/>
    <w:rsid w:val="00FD2A8F"/>
    <w:rsid w:val="00FD6C55"/>
    <w:rsid w:val="00FD7A9F"/>
    <w:rsid w:val="00FE1975"/>
    <w:rsid w:val="00FE19B1"/>
    <w:rsid w:val="00FE3495"/>
    <w:rsid w:val="00FE416D"/>
    <w:rsid w:val="00FE4646"/>
    <w:rsid w:val="00FE55FB"/>
    <w:rsid w:val="00FE59FC"/>
    <w:rsid w:val="00FE7096"/>
    <w:rsid w:val="00FF014E"/>
    <w:rsid w:val="00FF616A"/>
    <w:rsid w:val="00FF65ED"/>
    <w:rsid w:val="02293A49"/>
    <w:rsid w:val="026368E7"/>
    <w:rsid w:val="03021688"/>
    <w:rsid w:val="0360BB64"/>
    <w:rsid w:val="045A98DE"/>
    <w:rsid w:val="05FE91D0"/>
    <w:rsid w:val="07C8F6DB"/>
    <w:rsid w:val="0809AEB8"/>
    <w:rsid w:val="09518A68"/>
    <w:rsid w:val="0D7F452A"/>
    <w:rsid w:val="0FD0E0A2"/>
    <w:rsid w:val="11083A3F"/>
    <w:rsid w:val="11366D88"/>
    <w:rsid w:val="116A25F6"/>
    <w:rsid w:val="12199B32"/>
    <w:rsid w:val="129BD62D"/>
    <w:rsid w:val="13F456D1"/>
    <w:rsid w:val="14A451C5"/>
    <w:rsid w:val="15A7C190"/>
    <w:rsid w:val="15A8479A"/>
    <w:rsid w:val="176B6931"/>
    <w:rsid w:val="17DBF287"/>
    <w:rsid w:val="18FDD616"/>
    <w:rsid w:val="190CD647"/>
    <w:rsid w:val="19494332"/>
    <w:rsid w:val="19BF1498"/>
    <w:rsid w:val="1A7C005E"/>
    <w:rsid w:val="1BBBD4B6"/>
    <w:rsid w:val="1C1C00EE"/>
    <w:rsid w:val="1D4BC5A4"/>
    <w:rsid w:val="1D650B97"/>
    <w:rsid w:val="1EC706CA"/>
    <w:rsid w:val="1F7DF3E1"/>
    <w:rsid w:val="1FF567D9"/>
    <w:rsid w:val="201CD3BF"/>
    <w:rsid w:val="207B78A1"/>
    <w:rsid w:val="21D5AC51"/>
    <w:rsid w:val="22C69193"/>
    <w:rsid w:val="22C69EC3"/>
    <w:rsid w:val="243096A2"/>
    <w:rsid w:val="254C6DA4"/>
    <w:rsid w:val="25EACE9D"/>
    <w:rsid w:val="269A0DEF"/>
    <w:rsid w:val="26F9438D"/>
    <w:rsid w:val="2824A379"/>
    <w:rsid w:val="2833ED11"/>
    <w:rsid w:val="28384A37"/>
    <w:rsid w:val="2852A5AA"/>
    <w:rsid w:val="28A6EE06"/>
    <w:rsid w:val="2987438C"/>
    <w:rsid w:val="2A0B90EC"/>
    <w:rsid w:val="2A688148"/>
    <w:rsid w:val="2A910838"/>
    <w:rsid w:val="2AE93F9A"/>
    <w:rsid w:val="2AF7A17D"/>
    <w:rsid w:val="2BA7614D"/>
    <w:rsid w:val="2C606C88"/>
    <w:rsid w:val="2CE26D39"/>
    <w:rsid w:val="2DA0CD83"/>
    <w:rsid w:val="2DB0AD6C"/>
    <w:rsid w:val="2DE4A87C"/>
    <w:rsid w:val="2DF52E20"/>
    <w:rsid w:val="2E14D142"/>
    <w:rsid w:val="2E640987"/>
    <w:rsid w:val="2F383C18"/>
    <w:rsid w:val="2F3BF26B"/>
    <w:rsid w:val="2FEC801B"/>
    <w:rsid w:val="2FED38F4"/>
    <w:rsid w:val="2FF4FA33"/>
    <w:rsid w:val="3000F9C7"/>
    <w:rsid w:val="306CD62B"/>
    <w:rsid w:val="309F080B"/>
    <w:rsid w:val="30BED593"/>
    <w:rsid w:val="314890A0"/>
    <w:rsid w:val="31D146F8"/>
    <w:rsid w:val="31DB50A1"/>
    <w:rsid w:val="31EE05C2"/>
    <w:rsid w:val="323AAD3F"/>
    <w:rsid w:val="329E32CF"/>
    <w:rsid w:val="32F2BA1D"/>
    <w:rsid w:val="34E20C14"/>
    <w:rsid w:val="34E9FE24"/>
    <w:rsid w:val="365E4975"/>
    <w:rsid w:val="38E27352"/>
    <w:rsid w:val="39F6D099"/>
    <w:rsid w:val="3A5BF70E"/>
    <w:rsid w:val="3AF86F8D"/>
    <w:rsid w:val="3BBF8FE6"/>
    <w:rsid w:val="3CD7F4EB"/>
    <w:rsid w:val="3E158CC2"/>
    <w:rsid w:val="3E2C707D"/>
    <w:rsid w:val="3F9C0DA5"/>
    <w:rsid w:val="407BF481"/>
    <w:rsid w:val="4099B0E4"/>
    <w:rsid w:val="413F9BE6"/>
    <w:rsid w:val="4288AF02"/>
    <w:rsid w:val="42BED41C"/>
    <w:rsid w:val="437D79EA"/>
    <w:rsid w:val="43F7F104"/>
    <w:rsid w:val="444CE21C"/>
    <w:rsid w:val="45194A4B"/>
    <w:rsid w:val="463E73C9"/>
    <w:rsid w:val="463FDF54"/>
    <w:rsid w:val="481F61F2"/>
    <w:rsid w:val="4864FE5F"/>
    <w:rsid w:val="48B27C83"/>
    <w:rsid w:val="49BD7E44"/>
    <w:rsid w:val="49C7ABCF"/>
    <w:rsid w:val="49F880C9"/>
    <w:rsid w:val="4B150298"/>
    <w:rsid w:val="4B72AEFA"/>
    <w:rsid w:val="4C5A167A"/>
    <w:rsid w:val="4C747BEE"/>
    <w:rsid w:val="4E6818F6"/>
    <w:rsid w:val="4FB8D308"/>
    <w:rsid w:val="50C43D77"/>
    <w:rsid w:val="515ADD94"/>
    <w:rsid w:val="52033E2D"/>
    <w:rsid w:val="52144737"/>
    <w:rsid w:val="521C38D3"/>
    <w:rsid w:val="53202742"/>
    <w:rsid w:val="550B07DD"/>
    <w:rsid w:val="55FDFAE6"/>
    <w:rsid w:val="58F063FF"/>
    <w:rsid w:val="5A6F4916"/>
    <w:rsid w:val="5A9B2798"/>
    <w:rsid w:val="5B522AC2"/>
    <w:rsid w:val="5BDBAB56"/>
    <w:rsid w:val="5BF7E85C"/>
    <w:rsid w:val="5BF832FE"/>
    <w:rsid w:val="5CAD253E"/>
    <w:rsid w:val="5DC017BA"/>
    <w:rsid w:val="5E22C94F"/>
    <w:rsid w:val="5E3F554F"/>
    <w:rsid w:val="5E4D8E69"/>
    <w:rsid w:val="5F9FB01A"/>
    <w:rsid w:val="609B13FA"/>
    <w:rsid w:val="61689561"/>
    <w:rsid w:val="630D589F"/>
    <w:rsid w:val="6327FD51"/>
    <w:rsid w:val="635BCD4D"/>
    <w:rsid w:val="63C06C58"/>
    <w:rsid w:val="640406B7"/>
    <w:rsid w:val="646D69EF"/>
    <w:rsid w:val="669DD6AF"/>
    <w:rsid w:val="66F937EE"/>
    <w:rsid w:val="6713EF68"/>
    <w:rsid w:val="6781D2E0"/>
    <w:rsid w:val="67E6FF39"/>
    <w:rsid w:val="6813E42F"/>
    <w:rsid w:val="6A5433BC"/>
    <w:rsid w:val="6CBB6386"/>
    <w:rsid w:val="6CC1FB21"/>
    <w:rsid w:val="6D0EF5FF"/>
    <w:rsid w:val="6DD61667"/>
    <w:rsid w:val="6E68A12C"/>
    <w:rsid w:val="6F3938B4"/>
    <w:rsid w:val="706383D9"/>
    <w:rsid w:val="714ED841"/>
    <w:rsid w:val="72ED74A6"/>
    <w:rsid w:val="737B57FF"/>
    <w:rsid w:val="740CDBE4"/>
    <w:rsid w:val="747CA899"/>
    <w:rsid w:val="758C6DC2"/>
    <w:rsid w:val="75EAD668"/>
    <w:rsid w:val="760BED0B"/>
    <w:rsid w:val="782199DE"/>
    <w:rsid w:val="78239595"/>
    <w:rsid w:val="78C85363"/>
    <w:rsid w:val="79585FC9"/>
    <w:rsid w:val="7A01CE11"/>
    <w:rsid w:val="7B408146"/>
    <w:rsid w:val="7C35D2B6"/>
    <w:rsid w:val="7D94CD15"/>
    <w:rsid w:val="7F8338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15205"/>
  <w15:docId w15:val="{4F55004A-6155-45F9-ABCE-FA89DF404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535C"/>
    <w:pPr>
      <w:spacing w:before="120" w:after="120"/>
    </w:pPr>
    <w:rPr>
      <w:rFonts w:cs="Arial"/>
      <w:sz w:val="24"/>
      <w:szCs w:val="24"/>
    </w:rPr>
  </w:style>
  <w:style w:type="paragraph" w:styleId="Heading1">
    <w:name w:val="heading 1"/>
    <w:basedOn w:val="Normal"/>
    <w:next w:val="Normal"/>
    <w:link w:val="Heading1Char"/>
    <w:uiPriority w:val="9"/>
    <w:qFormat/>
    <w:rsid w:val="00500CE7"/>
    <w:pPr>
      <w:keepNext/>
      <w:keepLines/>
      <w:numPr>
        <w:numId w:val="1"/>
      </w:numPr>
      <w:spacing w:before="360" w:after="240"/>
      <w:outlineLvl w:val="0"/>
    </w:pPr>
    <w:rPr>
      <w:rFonts w:eastAsiaTheme="majorEastAsia"/>
      <w:b/>
      <w:bCs/>
      <w:sz w:val="32"/>
      <w:szCs w:val="32"/>
    </w:rPr>
  </w:style>
  <w:style w:type="paragraph" w:styleId="Heading2">
    <w:name w:val="heading 2"/>
    <w:basedOn w:val="Normal"/>
    <w:next w:val="Normal"/>
    <w:link w:val="Heading2Char"/>
    <w:uiPriority w:val="9"/>
    <w:unhideWhenUsed/>
    <w:qFormat/>
    <w:rsid w:val="00033B54"/>
    <w:pPr>
      <w:keepNext/>
      <w:keepLines/>
      <w:numPr>
        <w:ilvl w:val="1"/>
        <w:numId w:val="1"/>
      </w:numPr>
      <w:spacing w:before="200"/>
      <w:outlineLvl w:val="1"/>
    </w:pPr>
    <w:rPr>
      <w:rFonts w:eastAsiaTheme="majorEastAsia"/>
      <w:b/>
      <w:bCs/>
      <w:color w:val="2D7C82"/>
      <w:sz w:val="28"/>
      <w:szCs w:val="28"/>
    </w:rPr>
  </w:style>
  <w:style w:type="paragraph" w:styleId="Heading3">
    <w:name w:val="heading 3"/>
    <w:basedOn w:val="Normal"/>
    <w:next w:val="Normal"/>
    <w:link w:val="Heading3Char"/>
    <w:uiPriority w:val="9"/>
    <w:unhideWhenUsed/>
    <w:qFormat/>
    <w:rsid w:val="006B4082"/>
    <w:pPr>
      <w:numPr>
        <w:ilvl w:val="2"/>
        <w:numId w:val="1"/>
      </w:numPr>
      <w:ind w:left="720"/>
      <w:outlineLvl w:val="2"/>
    </w:pPr>
    <w:rPr>
      <w:rFonts w:eastAsia="Calibri"/>
      <w:b/>
    </w:rPr>
  </w:style>
  <w:style w:type="paragraph" w:styleId="Heading4">
    <w:name w:val="heading 4"/>
    <w:basedOn w:val="Normal"/>
    <w:next w:val="Normal"/>
    <w:link w:val="Heading4Char"/>
    <w:uiPriority w:val="9"/>
    <w:semiHidden/>
    <w:unhideWhenUsed/>
    <w:rsid w:val="00EF3DD0"/>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EF3DD0"/>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F3DD0"/>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F3DD0"/>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F3DD0"/>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F3DD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CE7"/>
    <w:rPr>
      <w:rFonts w:eastAsiaTheme="majorEastAsia" w:cs="Arial"/>
      <w:b/>
      <w:bCs/>
      <w:sz w:val="32"/>
      <w:szCs w:val="32"/>
    </w:rPr>
  </w:style>
  <w:style w:type="character" w:customStyle="1" w:styleId="Heading2Char">
    <w:name w:val="Heading 2 Char"/>
    <w:basedOn w:val="DefaultParagraphFont"/>
    <w:link w:val="Heading2"/>
    <w:uiPriority w:val="9"/>
    <w:rsid w:val="00033B54"/>
    <w:rPr>
      <w:rFonts w:eastAsiaTheme="majorEastAsia" w:cs="Arial"/>
      <w:b/>
      <w:bCs/>
      <w:color w:val="2D7C82"/>
      <w:sz w:val="28"/>
      <w:szCs w:val="28"/>
    </w:rPr>
  </w:style>
  <w:style w:type="character" w:customStyle="1" w:styleId="Heading3Char">
    <w:name w:val="Heading 3 Char"/>
    <w:basedOn w:val="DefaultParagraphFont"/>
    <w:link w:val="Heading3"/>
    <w:uiPriority w:val="9"/>
    <w:rsid w:val="00F00597"/>
    <w:rPr>
      <w:rFonts w:eastAsia="Calibri" w:cs="Arial"/>
      <w:b/>
      <w:sz w:val="24"/>
      <w:szCs w:val="24"/>
    </w:rPr>
  </w:style>
  <w:style w:type="character" w:customStyle="1" w:styleId="Heading4Char">
    <w:name w:val="Heading 4 Char"/>
    <w:basedOn w:val="DefaultParagraphFont"/>
    <w:link w:val="Heading4"/>
    <w:uiPriority w:val="9"/>
    <w:semiHidden/>
    <w:rsid w:val="00EF3DD0"/>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semiHidden/>
    <w:rsid w:val="00EF3DD0"/>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EF3DD0"/>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EF3DD0"/>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EF3DD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F3DD0"/>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956E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6E1A"/>
    <w:rPr>
      <w:rFonts w:ascii="Tahoma" w:hAnsi="Tahoma" w:cs="Tahoma"/>
      <w:sz w:val="16"/>
      <w:szCs w:val="16"/>
    </w:rPr>
  </w:style>
  <w:style w:type="paragraph" w:styleId="TOCHeading">
    <w:name w:val="TOC Heading"/>
    <w:basedOn w:val="Heading1"/>
    <w:next w:val="Normal"/>
    <w:uiPriority w:val="39"/>
    <w:semiHidden/>
    <w:unhideWhenUsed/>
    <w:qFormat/>
    <w:rsid w:val="00F2326E"/>
    <w:pPr>
      <w:spacing w:before="480" w:after="0"/>
      <w:outlineLvl w:val="9"/>
    </w:pPr>
    <w:rPr>
      <w:rFonts w:asciiTheme="majorHAnsi" w:hAnsiTheme="majorHAnsi" w:cstheme="majorBidi"/>
      <w:color w:val="365F91" w:themeColor="accent1" w:themeShade="BF"/>
      <w:sz w:val="28"/>
      <w:szCs w:val="28"/>
      <w:lang w:val="en-US" w:eastAsia="ja-JP"/>
    </w:rPr>
  </w:style>
  <w:style w:type="paragraph" w:styleId="TOC1">
    <w:name w:val="toc 1"/>
    <w:basedOn w:val="Normal"/>
    <w:next w:val="Normal"/>
    <w:autoRedefine/>
    <w:uiPriority w:val="39"/>
    <w:unhideWhenUsed/>
    <w:qFormat/>
    <w:rsid w:val="00302727"/>
    <w:pPr>
      <w:spacing w:before="360" w:after="240"/>
    </w:pPr>
    <w:rPr>
      <w:b/>
      <w:sz w:val="32"/>
    </w:rPr>
  </w:style>
  <w:style w:type="paragraph" w:styleId="TOC2">
    <w:name w:val="toc 2"/>
    <w:basedOn w:val="Normal"/>
    <w:next w:val="Normal"/>
    <w:autoRedefine/>
    <w:uiPriority w:val="39"/>
    <w:unhideWhenUsed/>
    <w:rsid w:val="00302727"/>
    <w:pPr>
      <w:spacing w:after="100"/>
      <w:ind w:left="240"/>
    </w:pPr>
  </w:style>
  <w:style w:type="character" w:styleId="Hyperlink">
    <w:name w:val="Hyperlink"/>
    <w:basedOn w:val="DefaultParagraphFont"/>
    <w:uiPriority w:val="99"/>
    <w:unhideWhenUsed/>
    <w:rsid w:val="00F2326E"/>
    <w:rPr>
      <w:color w:val="0000FF" w:themeColor="hyperlink"/>
      <w:u w:val="single"/>
    </w:rPr>
  </w:style>
  <w:style w:type="paragraph" w:styleId="Header">
    <w:name w:val="header"/>
    <w:basedOn w:val="Normal"/>
    <w:link w:val="HeaderChar"/>
    <w:uiPriority w:val="99"/>
    <w:unhideWhenUsed/>
    <w:rsid w:val="00CE57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57B9"/>
    <w:rPr>
      <w:rFonts w:ascii="Arial" w:hAnsi="Arial" w:cs="Arial"/>
      <w:sz w:val="24"/>
      <w:szCs w:val="24"/>
    </w:rPr>
  </w:style>
  <w:style w:type="paragraph" w:styleId="Footer">
    <w:name w:val="footer"/>
    <w:basedOn w:val="Normal"/>
    <w:link w:val="FooterChar"/>
    <w:uiPriority w:val="99"/>
    <w:unhideWhenUsed/>
    <w:rsid w:val="00CE57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57B9"/>
    <w:rPr>
      <w:rFonts w:ascii="Arial" w:hAnsi="Arial" w:cs="Arial"/>
      <w:sz w:val="24"/>
      <w:szCs w:val="24"/>
    </w:rPr>
  </w:style>
  <w:style w:type="paragraph" w:styleId="TOC3">
    <w:name w:val="toc 3"/>
    <w:basedOn w:val="Normal"/>
    <w:next w:val="Normal"/>
    <w:autoRedefine/>
    <w:uiPriority w:val="39"/>
    <w:unhideWhenUsed/>
    <w:rsid w:val="00061AFB"/>
    <w:pPr>
      <w:spacing w:after="100"/>
      <w:ind w:left="440"/>
    </w:pPr>
    <w:rPr>
      <w:rFonts w:cstheme="minorBidi"/>
      <w:sz w:val="22"/>
      <w:szCs w:val="22"/>
      <w:lang w:val="en-US" w:eastAsia="ja-JP"/>
    </w:rPr>
  </w:style>
  <w:style w:type="table" w:styleId="TableGrid">
    <w:name w:val="Table Grid"/>
    <w:basedOn w:val="TableNormal"/>
    <w:uiPriority w:val="59"/>
    <w:rsid w:val="00837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PHO2ndattempt">
    <w:name w:val="KPHO 2nd attempt"/>
    <w:basedOn w:val="TableNormal"/>
    <w:uiPriority w:val="99"/>
    <w:rsid w:val="00866539"/>
    <w:pPr>
      <w:spacing w:before="120" w:after="120" w:line="240" w:lineRule="auto"/>
    </w:pPr>
    <w:rPr>
      <w:rFonts w:ascii="Arial" w:hAnsi="Arial"/>
      <w:sz w:val="24"/>
    </w:rPr>
    <w:tblPr>
      <w:tblStyleRowBandSize w:val="1"/>
      <w:tblBorders>
        <w:top w:val="single" w:sz="12" w:space="0" w:color="D9D9D9" w:themeColor="background1" w:themeShade="D9"/>
        <w:left w:val="single" w:sz="12" w:space="0" w:color="D9D9D9" w:themeColor="background1" w:themeShade="D9"/>
        <w:bottom w:val="single" w:sz="12" w:space="0" w:color="D9D9D9" w:themeColor="background1" w:themeShade="D9"/>
        <w:right w:val="single" w:sz="12" w:space="0" w:color="D9D9D9" w:themeColor="background1" w:themeShade="D9"/>
        <w:insideH w:val="single" w:sz="12" w:space="0" w:color="FFFFFF" w:themeColor="background1"/>
        <w:insideV w:val="single" w:sz="12" w:space="0" w:color="FFFFFF" w:themeColor="background1"/>
      </w:tblBorders>
    </w:tblPr>
    <w:tblStylePr w:type="firstRow">
      <w:rPr>
        <w:b/>
      </w:rPr>
      <w:tblPr/>
      <w:tcPr>
        <w:tcBorders>
          <w:top w:val="single" w:sz="8" w:space="0" w:color="D9D9D9" w:themeColor="background1" w:themeShade="D9"/>
          <w:left w:val="single" w:sz="8" w:space="0" w:color="D9D9D9" w:themeColor="background1" w:themeShade="D9"/>
          <w:bottom w:val="single" w:sz="12" w:space="0" w:color="FFFFFF" w:themeColor="background1"/>
          <w:right w:val="single" w:sz="8" w:space="0" w:color="D9D9D9" w:themeColor="background1" w:themeShade="D9"/>
          <w:insideH w:val="nil"/>
          <w:insideV w:val="single" w:sz="12" w:space="0" w:color="FFFFFF" w:themeColor="background1"/>
          <w:tl2br w:val="nil"/>
          <w:tr2bl w:val="nil"/>
        </w:tcBorders>
        <w:shd w:val="pct5" w:color="auto" w:fill="auto"/>
      </w:tcPr>
    </w:tblStylePr>
    <w:tblStylePr w:type="lastRow">
      <w:tblPr/>
      <w:tcPr>
        <w:tcBorders>
          <w:top w:val="nil"/>
          <w:left w:val="single" w:sz="12" w:space="0" w:color="D9D9D9" w:themeColor="background1" w:themeShade="D9"/>
          <w:bottom w:val="single" w:sz="12" w:space="0" w:color="D9D9D9" w:themeColor="background1" w:themeShade="D9"/>
          <w:right w:val="single" w:sz="12" w:space="0" w:color="D9D9D9" w:themeColor="background1" w:themeShade="D9"/>
          <w:insideH w:val="nil"/>
          <w:insideV w:val="single" w:sz="12" w:space="0" w:color="FFFFFF" w:themeColor="background1"/>
          <w:tl2br w:val="nil"/>
          <w:tr2bl w:val="nil"/>
        </w:tcBorders>
      </w:tcPr>
    </w:tblStylePr>
    <w:tblStylePr w:type="band1Horz">
      <w:tblPr/>
      <w:tcPr>
        <w:tcBorders>
          <w:top w:val="nil"/>
          <w:left w:val="single" w:sz="8" w:space="0" w:color="D9D9D9" w:themeColor="background1" w:themeShade="D9"/>
          <w:bottom w:val="single" w:sz="12" w:space="0" w:color="FFFFFF" w:themeColor="background1"/>
          <w:right w:val="single" w:sz="8" w:space="0" w:color="D9D9D9" w:themeColor="background1" w:themeShade="D9"/>
          <w:insideH w:val="nil"/>
          <w:insideV w:val="single" w:sz="12" w:space="0" w:color="FFFFFF" w:themeColor="background1"/>
          <w:tl2br w:val="nil"/>
          <w:tr2bl w:val="nil"/>
        </w:tcBorders>
      </w:tcPr>
    </w:tblStylePr>
    <w:tblStylePr w:type="band2Horz">
      <w:tblPr/>
      <w:tcPr>
        <w:tcBorders>
          <w:top w:val="nil"/>
          <w:left w:val="single" w:sz="8" w:space="0" w:color="D9D9D9" w:themeColor="background1" w:themeShade="D9"/>
          <w:bottom w:val="single" w:sz="12" w:space="0" w:color="FFFFFF" w:themeColor="background1"/>
          <w:right w:val="single" w:sz="8" w:space="0" w:color="D9D9D9" w:themeColor="background1" w:themeShade="D9"/>
          <w:insideH w:val="nil"/>
          <w:insideV w:val="single" w:sz="12" w:space="0" w:color="FFFFFF" w:themeColor="background1"/>
          <w:tl2br w:val="nil"/>
          <w:tr2bl w:val="nil"/>
        </w:tcBorders>
        <w:shd w:val="pct5" w:color="auto" w:fill="auto"/>
      </w:tcPr>
    </w:tblStylePr>
  </w:style>
  <w:style w:type="table" w:styleId="MediumShading1">
    <w:name w:val="Medium Shading 1"/>
    <w:basedOn w:val="TableNormal"/>
    <w:uiPriority w:val="63"/>
    <w:rsid w:val="007A6B99"/>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FootnoteText">
    <w:name w:val="footnote text"/>
    <w:basedOn w:val="Normal"/>
    <w:link w:val="FootnoteTextChar"/>
    <w:uiPriority w:val="99"/>
    <w:semiHidden/>
    <w:unhideWhenUsed/>
    <w:rsid w:val="001F3FAA"/>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1F3FAA"/>
    <w:rPr>
      <w:rFonts w:ascii="Arial" w:hAnsi="Arial" w:cs="Arial"/>
      <w:sz w:val="20"/>
      <w:szCs w:val="20"/>
    </w:rPr>
  </w:style>
  <w:style w:type="character" w:styleId="FootnoteReference">
    <w:name w:val="footnote reference"/>
    <w:basedOn w:val="DefaultParagraphFont"/>
    <w:uiPriority w:val="99"/>
    <w:semiHidden/>
    <w:unhideWhenUsed/>
    <w:rsid w:val="001F3FAA"/>
    <w:rPr>
      <w:vertAlign w:val="superscript"/>
    </w:rPr>
  </w:style>
  <w:style w:type="paragraph" w:customStyle="1" w:styleId="paragraph">
    <w:name w:val="paragraph"/>
    <w:basedOn w:val="Normal"/>
    <w:rsid w:val="00EB0E2D"/>
    <w:pPr>
      <w:spacing w:before="100" w:beforeAutospacing="1" w:after="100" w:afterAutospacing="1" w:line="240" w:lineRule="auto"/>
    </w:pPr>
    <w:rPr>
      <w:rFonts w:ascii="Times New Roman" w:eastAsia="Times New Roman" w:hAnsi="Times New Roman" w:cs="Times New Roman"/>
    </w:rPr>
  </w:style>
  <w:style w:type="character" w:customStyle="1" w:styleId="normaltextrun">
    <w:name w:val="normaltextrun"/>
    <w:basedOn w:val="DefaultParagraphFont"/>
    <w:rsid w:val="00EB0E2D"/>
  </w:style>
  <w:style w:type="character" w:customStyle="1" w:styleId="eop">
    <w:name w:val="eop"/>
    <w:basedOn w:val="DefaultParagraphFont"/>
    <w:rsid w:val="00EB0E2D"/>
  </w:style>
  <w:style w:type="character" w:styleId="UnresolvedMention">
    <w:name w:val="Unresolved Mention"/>
    <w:basedOn w:val="DefaultParagraphFont"/>
    <w:uiPriority w:val="99"/>
    <w:semiHidden/>
    <w:unhideWhenUsed/>
    <w:rsid w:val="00873155"/>
    <w:rPr>
      <w:color w:val="605E5C"/>
      <w:shd w:val="clear" w:color="auto" w:fill="E1DFDD"/>
    </w:rPr>
  </w:style>
  <w:style w:type="character" w:customStyle="1" w:styleId="scxw21155419">
    <w:name w:val="scxw21155419"/>
    <w:basedOn w:val="DefaultParagraphFont"/>
    <w:rsid w:val="00770632"/>
  </w:style>
  <w:style w:type="character" w:customStyle="1" w:styleId="scxw154537999">
    <w:name w:val="scxw154537999"/>
    <w:basedOn w:val="DefaultParagraphFont"/>
    <w:rsid w:val="00B8042E"/>
  </w:style>
  <w:style w:type="paragraph" w:styleId="ListParagraph">
    <w:name w:val="List Paragraph"/>
    <w:basedOn w:val="Normal"/>
    <w:uiPriority w:val="34"/>
    <w:qFormat/>
    <w:rsid w:val="00AB4AA7"/>
    <w:pPr>
      <w:spacing w:before="0" w:after="200"/>
      <w:ind w:left="720"/>
      <w:contextualSpacing/>
    </w:pPr>
    <w:rPr>
      <w:rFonts w:eastAsiaTheme="minorHAnsi" w:cstheme="minorBidi"/>
      <w:sz w:val="22"/>
      <w:szCs w:val="22"/>
      <w:lang w:eastAsia="en-US"/>
    </w:rPr>
  </w:style>
  <w:style w:type="paragraph" w:customStyle="1" w:styleId="xmsonormal">
    <w:name w:val="x_msonormal"/>
    <w:basedOn w:val="Normal"/>
    <w:rsid w:val="007146C1"/>
    <w:pPr>
      <w:spacing w:before="0" w:after="0" w:line="240" w:lineRule="auto"/>
    </w:pPr>
    <w:rPr>
      <w:rFonts w:ascii="Calibri" w:eastAsiaTheme="minorHAnsi" w:hAnsi="Calibri" w:cs="Calibri"/>
      <w:sz w:val="22"/>
      <w:szCs w:val="22"/>
    </w:rPr>
  </w:style>
  <w:style w:type="paragraph" w:styleId="Caption">
    <w:name w:val="caption"/>
    <w:basedOn w:val="Normal"/>
    <w:next w:val="Normal"/>
    <w:uiPriority w:val="35"/>
    <w:unhideWhenUsed/>
    <w:qFormat/>
    <w:rsid w:val="00291758"/>
    <w:pPr>
      <w:spacing w:before="0" w:after="200" w:line="240" w:lineRule="auto"/>
    </w:pPr>
    <w:rPr>
      <w:b/>
      <w:iCs/>
      <w:szCs w:val="18"/>
    </w:rPr>
  </w:style>
  <w:style w:type="paragraph" w:styleId="BodyText">
    <w:name w:val="Body Text"/>
    <w:aliases w:val="Body Text Char1 Char,Body Text Char Char Char,Body Text Char1 Char Char Char,Body Text Char Char Char Char Char,Body Text Char1 Char Char Char Char Char,Body Text Char Char Char Char Char Char Char,Body Text Char2"/>
    <w:basedOn w:val="Normal"/>
    <w:link w:val="BodyTextChar"/>
    <w:qFormat/>
    <w:rsid w:val="007119C9"/>
    <w:pPr>
      <w:spacing w:after="0" w:line="240" w:lineRule="auto"/>
      <w:ind w:left="567"/>
      <w:jc w:val="both"/>
    </w:pPr>
    <w:rPr>
      <w:rFonts w:ascii="Arial" w:eastAsia="Times New Roman" w:hAnsi="Arial" w:cs="Times New Roman"/>
      <w:sz w:val="22"/>
      <w:szCs w:val="20"/>
      <w:lang w:eastAsia="en-US"/>
    </w:rPr>
  </w:style>
  <w:style w:type="character" w:customStyle="1" w:styleId="BodyTextChar">
    <w:name w:val="Body Text Char"/>
    <w:aliases w:val="Body Text Char1 Char Char,Body Text Char Char Char Char,Body Text Char1 Char Char Char Char,Body Text Char Char Char Char Char Char,Body Text Char1 Char Char Char Char Char Char,Body Text Char Char Char Char Char Char Char Char"/>
    <w:basedOn w:val="DefaultParagraphFont"/>
    <w:link w:val="BodyText"/>
    <w:rsid w:val="007119C9"/>
    <w:rPr>
      <w:rFonts w:ascii="Arial" w:eastAsia="Times New Roman" w:hAnsi="Arial" w:cs="Times New Roman"/>
      <w:szCs w:val="20"/>
      <w:lang w:eastAsia="en-US"/>
    </w:rPr>
  </w:style>
  <w:style w:type="paragraph" w:styleId="NormalWeb">
    <w:name w:val="Normal (Web)"/>
    <w:basedOn w:val="Normal"/>
    <w:uiPriority w:val="99"/>
    <w:unhideWhenUsed/>
    <w:rsid w:val="008D20D1"/>
    <w:pPr>
      <w:spacing w:before="100" w:beforeAutospacing="1" w:after="100" w:afterAutospacing="1" w:line="240" w:lineRule="auto"/>
    </w:pPr>
    <w:rPr>
      <w:rFonts w:ascii="Times New Roman" w:eastAsia="Times New Roman" w:hAnsi="Times New Roman" w:cs="Times New Roman"/>
    </w:rPr>
  </w:style>
  <w:style w:type="table" w:styleId="PlainTable4">
    <w:name w:val="Plain Table 4"/>
    <w:basedOn w:val="TableNormal"/>
    <w:uiPriority w:val="44"/>
    <w:rsid w:val="00DD007C"/>
    <w:pPr>
      <w:spacing w:after="0" w:line="240" w:lineRule="auto"/>
    </w:pPr>
    <w:rPr>
      <w:rFonts w:eastAsiaTheme="minorHAns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6C64D1"/>
    <w:rPr>
      <w:color w:val="800080" w:themeColor="followedHyperlink"/>
      <w:u w:val="single"/>
    </w:rPr>
  </w:style>
  <w:style w:type="paragraph" w:styleId="Revision">
    <w:name w:val="Revision"/>
    <w:hidden/>
    <w:uiPriority w:val="99"/>
    <w:semiHidden/>
    <w:rsid w:val="0026097A"/>
    <w:pPr>
      <w:spacing w:after="0" w:line="240" w:lineRule="auto"/>
    </w:pPr>
    <w:rPr>
      <w:rFonts w:cs="Arial"/>
      <w:sz w:val="24"/>
      <w:szCs w:val="24"/>
    </w:rPr>
  </w:style>
  <w:style w:type="paragraph" w:styleId="NoSpacing">
    <w:name w:val="No Spacing"/>
    <w:uiPriority w:val="1"/>
    <w:qFormat/>
    <w:rsid w:val="00715A6E"/>
    <w:pPr>
      <w:spacing w:after="0" w:line="240" w:lineRule="auto"/>
    </w:pPr>
    <w:rPr>
      <w:rFonts w:cs="Arial"/>
      <w:sz w:val="24"/>
      <w:szCs w:val="24"/>
    </w:rPr>
  </w:style>
  <w:style w:type="character" w:styleId="CommentReference">
    <w:name w:val="annotation reference"/>
    <w:basedOn w:val="DefaultParagraphFont"/>
    <w:uiPriority w:val="99"/>
    <w:semiHidden/>
    <w:unhideWhenUsed/>
    <w:rsid w:val="009D1BD2"/>
    <w:rPr>
      <w:sz w:val="16"/>
      <w:szCs w:val="16"/>
    </w:rPr>
  </w:style>
  <w:style w:type="paragraph" w:styleId="CommentText">
    <w:name w:val="annotation text"/>
    <w:basedOn w:val="Normal"/>
    <w:link w:val="CommentTextChar"/>
    <w:uiPriority w:val="99"/>
    <w:unhideWhenUsed/>
    <w:rsid w:val="009D1BD2"/>
    <w:pPr>
      <w:spacing w:line="240" w:lineRule="auto"/>
    </w:pPr>
    <w:rPr>
      <w:sz w:val="20"/>
      <w:szCs w:val="20"/>
    </w:rPr>
  </w:style>
  <w:style w:type="character" w:customStyle="1" w:styleId="CommentTextChar">
    <w:name w:val="Comment Text Char"/>
    <w:basedOn w:val="DefaultParagraphFont"/>
    <w:link w:val="CommentText"/>
    <w:uiPriority w:val="99"/>
    <w:rsid w:val="009D1BD2"/>
    <w:rPr>
      <w:rFonts w:cs="Arial"/>
      <w:sz w:val="20"/>
      <w:szCs w:val="20"/>
    </w:rPr>
  </w:style>
  <w:style w:type="paragraph" w:styleId="CommentSubject">
    <w:name w:val="annotation subject"/>
    <w:basedOn w:val="CommentText"/>
    <w:next w:val="CommentText"/>
    <w:link w:val="CommentSubjectChar"/>
    <w:uiPriority w:val="99"/>
    <w:semiHidden/>
    <w:unhideWhenUsed/>
    <w:rsid w:val="009D1BD2"/>
    <w:rPr>
      <w:b/>
      <w:bCs/>
    </w:rPr>
  </w:style>
  <w:style w:type="character" w:customStyle="1" w:styleId="CommentSubjectChar">
    <w:name w:val="Comment Subject Char"/>
    <w:basedOn w:val="CommentTextChar"/>
    <w:link w:val="CommentSubject"/>
    <w:uiPriority w:val="99"/>
    <w:semiHidden/>
    <w:rsid w:val="009D1BD2"/>
    <w:rPr>
      <w:rFonts w:cs="Arial"/>
      <w:b/>
      <w:bCs/>
      <w:sz w:val="20"/>
      <w:szCs w:val="20"/>
    </w:rPr>
  </w:style>
  <w:style w:type="character" w:styleId="Mention">
    <w:name w:val="Mention"/>
    <w:basedOn w:val="DefaultParagraphFont"/>
    <w:uiPriority w:val="99"/>
    <w:unhideWhenUsed/>
    <w:rsid w:val="00F40947"/>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9987">
      <w:bodyDiv w:val="1"/>
      <w:marLeft w:val="0"/>
      <w:marRight w:val="0"/>
      <w:marTop w:val="0"/>
      <w:marBottom w:val="0"/>
      <w:divBdr>
        <w:top w:val="none" w:sz="0" w:space="0" w:color="auto"/>
        <w:left w:val="none" w:sz="0" w:space="0" w:color="auto"/>
        <w:bottom w:val="none" w:sz="0" w:space="0" w:color="auto"/>
        <w:right w:val="none" w:sz="0" w:space="0" w:color="auto"/>
      </w:divBdr>
      <w:divsChild>
        <w:div w:id="386346425">
          <w:marLeft w:val="0"/>
          <w:marRight w:val="0"/>
          <w:marTop w:val="0"/>
          <w:marBottom w:val="0"/>
          <w:divBdr>
            <w:top w:val="none" w:sz="0" w:space="0" w:color="auto"/>
            <w:left w:val="none" w:sz="0" w:space="0" w:color="auto"/>
            <w:bottom w:val="none" w:sz="0" w:space="0" w:color="auto"/>
            <w:right w:val="none" w:sz="0" w:space="0" w:color="auto"/>
          </w:divBdr>
        </w:div>
        <w:div w:id="392583116">
          <w:marLeft w:val="0"/>
          <w:marRight w:val="0"/>
          <w:marTop w:val="0"/>
          <w:marBottom w:val="0"/>
          <w:divBdr>
            <w:top w:val="none" w:sz="0" w:space="0" w:color="auto"/>
            <w:left w:val="none" w:sz="0" w:space="0" w:color="auto"/>
            <w:bottom w:val="none" w:sz="0" w:space="0" w:color="auto"/>
            <w:right w:val="none" w:sz="0" w:space="0" w:color="auto"/>
          </w:divBdr>
          <w:divsChild>
            <w:div w:id="188420144">
              <w:marLeft w:val="0"/>
              <w:marRight w:val="0"/>
              <w:marTop w:val="0"/>
              <w:marBottom w:val="0"/>
              <w:divBdr>
                <w:top w:val="none" w:sz="0" w:space="0" w:color="auto"/>
                <w:left w:val="none" w:sz="0" w:space="0" w:color="auto"/>
                <w:bottom w:val="none" w:sz="0" w:space="0" w:color="auto"/>
                <w:right w:val="none" w:sz="0" w:space="0" w:color="auto"/>
              </w:divBdr>
            </w:div>
            <w:div w:id="1354066921">
              <w:marLeft w:val="0"/>
              <w:marRight w:val="0"/>
              <w:marTop w:val="0"/>
              <w:marBottom w:val="0"/>
              <w:divBdr>
                <w:top w:val="none" w:sz="0" w:space="0" w:color="auto"/>
                <w:left w:val="none" w:sz="0" w:space="0" w:color="auto"/>
                <w:bottom w:val="none" w:sz="0" w:space="0" w:color="auto"/>
                <w:right w:val="none" w:sz="0" w:space="0" w:color="auto"/>
              </w:divBdr>
            </w:div>
            <w:div w:id="1365474739">
              <w:marLeft w:val="0"/>
              <w:marRight w:val="0"/>
              <w:marTop w:val="0"/>
              <w:marBottom w:val="0"/>
              <w:divBdr>
                <w:top w:val="none" w:sz="0" w:space="0" w:color="auto"/>
                <w:left w:val="none" w:sz="0" w:space="0" w:color="auto"/>
                <w:bottom w:val="none" w:sz="0" w:space="0" w:color="auto"/>
                <w:right w:val="none" w:sz="0" w:space="0" w:color="auto"/>
              </w:divBdr>
            </w:div>
            <w:div w:id="1565675701">
              <w:marLeft w:val="0"/>
              <w:marRight w:val="0"/>
              <w:marTop w:val="0"/>
              <w:marBottom w:val="0"/>
              <w:divBdr>
                <w:top w:val="none" w:sz="0" w:space="0" w:color="auto"/>
                <w:left w:val="none" w:sz="0" w:space="0" w:color="auto"/>
                <w:bottom w:val="none" w:sz="0" w:space="0" w:color="auto"/>
                <w:right w:val="none" w:sz="0" w:space="0" w:color="auto"/>
              </w:divBdr>
            </w:div>
            <w:div w:id="2023626340">
              <w:marLeft w:val="0"/>
              <w:marRight w:val="0"/>
              <w:marTop w:val="0"/>
              <w:marBottom w:val="0"/>
              <w:divBdr>
                <w:top w:val="none" w:sz="0" w:space="0" w:color="auto"/>
                <w:left w:val="none" w:sz="0" w:space="0" w:color="auto"/>
                <w:bottom w:val="none" w:sz="0" w:space="0" w:color="auto"/>
                <w:right w:val="none" w:sz="0" w:space="0" w:color="auto"/>
              </w:divBdr>
            </w:div>
          </w:divsChild>
        </w:div>
        <w:div w:id="491991195">
          <w:marLeft w:val="0"/>
          <w:marRight w:val="0"/>
          <w:marTop w:val="0"/>
          <w:marBottom w:val="0"/>
          <w:divBdr>
            <w:top w:val="none" w:sz="0" w:space="0" w:color="auto"/>
            <w:left w:val="none" w:sz="0" w:space="0" w:color="auto"/>
            <w:bottom w:val="none" w:sz="0" w:space="0" w:color="auto"/>
            <w:right w:val="none" w:sz="0" w:space="0" w:color="auto"/>
          </w:divBdr>
        </w:div>
        <w:div w:id="526136048">
          <w:marLeft w:val="0"/>
          <w:marRight w:val="0"/>
          <w:marTop w:val="0"/>
          <w:marBottom w:val="0"/>
          <w:divBdr>
            <w:top w:val="none" w:sz="0" w:space="0" w:color="auto"/>
            <w:left w:val="none" w:sz="0" w:space="0" w:color="auto"/>
            <w:bottom w:val="none" w:sz="0" w:space="0" w:color="auto"/>
            <w:right w:val="none" w:sz="0" w:space="0" w:color="auto"/>
          </w:divBdr>
        </w:div>
        <w:div w:id="529343023">
          <w:marLeft w:val="0"/>
          <w:marRight w:val="0"/>
          <w:marTop w:val="0"/>
          <w:marBottom w:val="0"/>
          <w:divBdr>
            <w:top w:val="none" w:sz="0" w:space="0" w:color="auto"/>
            <w:left w:val="none" w:sz="0" w:space="0" w:color="auto"/>
            <w:bottom w:val="none" w:sz="0" w:space="0" w:color="auto"/>
            <w:right w:val="none" w:sz="0" w:space="0" w:color="auto"/>
          </w:divBdr>
          <w:divsChild>
            <w:div w:id="2039578577">
              <w:marLeft w:val="0"/>
              <w:marRight w:val="0"/>
              <w:marTop w:val="30"/>
              <w:marBottom w:val="30"/>
              <w:divBdr>
                <w:top w:val="none" w:sz="0" w:space="0" w:color="auto"/>
                <w:left w:val="none" w:sz="0" w:space="0" w:color="auto"/>
                <w:bottom w:val="none" w:sz="0" w:space="0" w:color="auto"/>
                <w:right w:val="none" w:sz="0" w:space="0" w:color="auto"/>
              </w:divBdr>
              <w:divsChild>
                <w:div w:id="395511826">
                  <w:marLeft w:val="0"/>
                  <w:marRight w:val="0"/>
                  <w:marTop w:val="0"/>
                  <w:marBottom w:val="0"/>
                  <w:divBdr>
                    <w:top w:val="none" w:sz="0" w:space="0" w:color="auto"/>
                    <w:left w:val="none" w:sz="0" w:space="0" w:color="auto"/>
                    <w:bottom w:val="none" w:sz="0" w:space="0" w:color="auto"/>
                    <w:right w:val="none" w:sz="0" w:space="0" w:color="auto"/>
                  </w:divBdr>
                  <w:divsChild>
                    <w:div w:id="1019431628">
                      <w:marLeft w:val="0"/>
                      <w:marRight w:val="0"/>
                      <w:marTop w:val="0"/>
                      <w:marBottom w:val="0"/>
                      <w:divBdr>
                        <w:top w:val="none" w:sz="0" w:space="0" w:color="auto"/>
                        <w:left w:val="none" w:sz="0" w:space="0" w:color="auto"/>
                        <w:bottom w:val="none" w:sz="0" w:space="0" w:color="auto"/>
                        <w:right w:val="none" w:sz="0" w:space="0" w:color="auto"/>
                      </w:divBdr>
                    </w:div>
                  </w:divsChild>
                </w:div>
                <w:div w:id="923297919">
                  <w:marLeft w:val="0"/>
                  <w:marRight w:val="0"/>
                  <w:marTop w:val="0"/>
                  <w:marBottom w:val="0"/>
                  <w:divBdr>
                    <w:top w:val="none" w:sz="0" w:space="0" w:color="auto"/>
                    <w:left w:val="none" w:sz="0" w:space="0" w:color="auto"/>
                    <w:bottom w:val="none" w:sz="0" w:space="0" w:color="auto"/>
                    <w:right w:val="none" w:sz="0" w:space="0" w:color="auto"/>
                  </w:divBdr>
                  <w:divsChild>
                    <w:div w:id="2111196360">
                      <w:marLeft w:val="0"/>
                      <w:marRight w:val="0"/>
                      <w:marTop w:val="0"/>
                      <w:marBottom w:val="0"/>
                      <w:divBdr>
                        <w:top w:val="none" w:sz="0" w:space="0" w:color="auto"/>
                        <w:left w:val="none" w:sz="0" w:space="0" w:color="auto"/>
                        <w:bottom w:val="none" w:sz="0" w:space="0" w:color="auto"/>
                        <w:right w:val="none" w:sz="0" w:space="0" w:color="auto"/>
                      </w:divBdr>
                    </w:div>
                  </w:divsChild>
                </w:div>
                <w:div w:id="1386762551">
                  <w:marLeft w:val="0"/>
                  <w:marRight w:val="0"/>
                  <w:marTop w:val="0"/>
                  <w:marBottom w:val="0"/>
                  <w:divBdr>
                    <w:top w:val="none" w:sz="0" w:space="0" w:color="auto"/>
                    <w:left w:val="none" w:sz="0" w:space="0" w:color="auto"/>
                    <w:bottom w:val="none" w:sz="0" w:space="0" w:color="auto"/>
                    <w:right w:val="none" w:sz="0" w:space="0" w:color="auto"/>
                  </w:divBdr>
                  <w:divsChild>
                    <w:div w:id="2089570982">
                      <w:marLeft w:val="0"/>
                      <w:marRight w:val="0"/>
                      <w:marTop w:val="0"/>
                      <w:marBottom w:val="0"/>
                      <w:divBdr>
                        <w:top w:val="none" w:sz="0" w:space="0" w:color="auto"/>
                        <w:left w:val="none" w:sz="0" w:space="0" w:color="auto"/>
                        <w:bottom w:val="none" w:sz="0" w:space="0" w:color="auto"/>
                        <w:right w:val="none" w:sz="0" w:space="0" w:color="auto"/>
                      </w:divBdr>
                    </w:div>
                  </w:divsChild>
                </w:div>
                <w:div w:id="1495606251">
                  <w:marLeft w:val="0"/>
                  <w:marRight w:val="0"/>
                  <w:marTop w:val="0"/>
                  <w:marBottom w:val="0"/>
                  <w:divBdr>
                    <w:top w:val="none" w:sz="0" w:space="0" w:color="auto"/>
                    <w:left w:val="none" w:sz="0" w:space="0" w:color="auto"/>
                    <w:bottom w:val="none" w:sz="0" w:space="0" w:color="auto"/>
                    <w:right w:val="none" w:sz="0" w:space="0" w:color="auto"/>
                  </w:divBdr>
                  <w:divsChild>
                    <w:div w:id="126117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938430">
          <w:marLeft w:val="0"/>
          <w:marRight w:val="0"/>
          <w:marTop w:val="0"/>
          <w:marBottom w:val="0"/>
          <w:divBdr>
            <w:top w:val="none" w:sz="0" w:space="0" w:color="auto"/>
            <w:left w:val="none" w:sz="0" w:space="0" w:color="auto"/>
            <w:bottom w:val="none" w:sz="0" w:space="0" w:color="auto"/>
            <w:right w:val="none" w:sz="0" w:space="0" w:color="auto"/>
          </w:divBdr>
        </w:div>
        <w:div w:id="820004074">
          <w:marLeft w:val="0"/>
          <w:marRight w:val="0"/>
          <w:marTop w:val="0"/>
          <w:marBottom w:val="0"/>
          <w:divBdr>
            <w:top w:val="none" w:sz="0" w:space="0" w:color="auto"/>
            <w:left w:val="none" w:sz="0" w:space="0" w:color="auto"/>
            <w:bottom w:val="none" w:sz="0" w:space="0" w:color="auto"/>
            <w:right w:val="none" w:sz="0" w:space="0" w:color="auto"/>
          </w:divBdr>
        </w:div>
        <w:div w:id="981160081">
          <w:marLeft w:val="0"/>
          <w:marRight w:val="0"/>
          <w:marTop w:val="0"/>
          <w:marBottom w:val="0"/>
          <w:divBdr>
            <w:top w:val="none" w:sz="0" w:space="0" w:color="auto"/>
            <w:left w:val="none" w:sz="0" w:space="0" w:color="auto"/>
            <w:bottom w:val="none" w:sz="0" w:space="0" w:color="auto"/>
            <w:right w:val="none" w:sz="0" w:space="0" w:color="auto"/>
          </w:divBdr>
        </w:div>
        <w:div w:id="1032921880">
          <w:marLeft w:val="0"/>
          <w:marRight w:val="0"/>
          <w:marTop w:val="0"/>
          <w:marBottom w:val="0"/>
          <w:divBdr>
            <w:top w:val="none" w:sz="0" w:space="0" w:color="auto"/>
            <w:left w:val="none" w:sz="0" w:space="0" w:color="auto"/>
            <w:bottom w:val="none" w:sz="0" w:space="0" w:color="auto"/>
            <w:right w:val="none" w:sz="0" w:space="0" w:color="auto"/>
          </w:divBdr>
        </w:div>
        <w:div w:id="1112090788">
          <w:marLeft w:val="0"/>
          <w:marRight w:val="0"/>
          <w:marTop w:val="0"/>
          <w:marBottom w:val="0"/>
          <w:divBdr>
            <w:top w:val="none" w:sz="0" w:space="0" w:color="auto"/>
            <w:left w:val="none" w:sz="0" w:space="0" w:color="auto"/>
            <w:bottom w:val="none" w:sz="0" w:space="0" w:color="auto"/>
            <w:right w:val="none" w:sz="0" w:space="0" w:color="auto"/>
          </w:divBdr>
        </w:div>
        <w:div w:id="1250190883">
          <w:marLeft w:val="0"/>
          <w:marRight w:val="0"/>
          <w:marTop w:val="0"/>
          <w:marBottom w:val="0"/>
          <w:divBdr>
            <w:top w:val="none" w:sz="0" w:space="0" w:color="auto"/>
            <w:left w:val="none" w:sz="0" w:space="0" w:color="auto"/>
            <w:bottom w:val="none" w:sz="0" w:space="0" w:color="auto"/>
            <w:right w:val="none" w:sz="0" w:space="0" w:color="auto"/>
          </w:divBdr>
        </w:div>
        <w:div w:id="1350444720">
          <w:marLeft w:val="0"/>
          <w:marRight w:val="0"/>
          <w:marTop w:val="0"/>
          <w:marBottom w:val="0"/>
          <w:divBdr>
            <w:top w:val="none" w:sz="0" w:space="0" w:color="auto"/>
            <w:left w:val="none" w:sz="0" w:space="0" w:color="auto"/>
            <w:bottom w:val="none" w:sz="0" w:space="0" w:color="auto"/>
            <w:right w:val="none" w:sz="0" w:space="0" w:color="auto"/>
          </w:divBdr>
        </w:div>
        <w:div w:id="1414208063">
          <w:marLeft w:val="0"/>
          <w:marRight w:val="0"/>
          <w:marTop w:val="0"/>
          <w:marBottom w:val="0"/>
          <w:divBdr>
            <w:top w:val="none" w:sz="0" w:space="0" w:color="auto"/>
            <w:left w:val="none" w:sz="0" w:space="0" w:color="auto"/>
            <w:bottom w:val="none" w:sz="0" w:space="0" w:color="auto"/>
            <w:right w:val="none" w:sz="0" w:space="0" w:color="auto"/>
          </w:divBdr>
        </w:div>
        <w:div w:id="1711418585">
          <w:marLeft w:val="0"/>
          <w:marRight w:val="0"/>
          <w:marTop w:val="0"/>
          <w:marBottom w:val="0"/>
          <w:divBdr>
            <w:top w:val="none" w:sz="0" w:space="0" w:color="auto"/>
            <w:left w:val="none" w:sz="0" w:space="0" w:color="auto"/>
            <w:bottom w:val="none" w:sz="0" w:space="0" w:color="auto"/>
            <w:right w:val="none" w:sz="0" w:space="0" w:color="auto"/>
          </w:divBdr>
        </w:div>
        <w:div w:id="1793473612">
          <w:marLeft w:val="0"/>
          <w:marRight w:val="0"/>
          <w:marTop w:val="0"/>
          <w:marBottom w:val="0"/>
          <w:divBdr>
            <w:top w:val="none" w:sz="0" w:space="0" w:color="auto"/>
            <w:left w:val="none" w:sz="0" w:space="0" w:color="auto"/>
            <w:bottom w:val="none" w:sz="0" w:space="0" w:color="auto"/>
            <w:right w:val="none" w:sz="0" w:space="0" w:color="auto"/>
          </w:divBdr>
        </w:div>
        <w:div w:id="1905143229">
          <w:marLeft w:val="0"/>
          <w:marRight w:val="0"/>
          <w:marTop w:val="0"/>
          <w:marBottom w:val="0"/>
          <w:divBdr>
            <w:top w:val="none" w:sz="0" w:space="0" w:color="auto"/>
            <w:left w:val="none" w:sz="0" w:space="0" w:color="auto"/>
            <w:bottom w:val="none" w:sz="0" w:space="0" w:color="auto"/>
            <w:right w:val="none" w:sz="0" w:space="0" w:color="auto"/>
          </w:divBdr>
        </w:div>
        <w:div w:id="1945965001">
          <w:marLeft w:val="0"/>
          <w:marRight w:val="0"/>
          <w:marTop w:val="0"/>
          <w:marBottom w:val="0"/>
          <w:divBdr>
            <w:top w:val="none" w:sz="0" w:space="0" w:color="auto"/>
            <w:left w:val="none" w:sz="0" w:space="0" w:color="auto"/>
            <w:bottom w:val="none" w:sz="0" w:space="0" w:color="auto"/>
            <w:right w:val="none" w:sz="0" w:space="0" w:color="auto"/>
          </w:divBdr>
          <w:divsChild>
            <w:div w:id="1559825522">
              <w:marLeft w:val="0"/>
              <w:marRight w:val="0"/>
              <w:marTop w:val="0"/>
              <w:marBottom w:val="0"/>
              <w:divBdr>
                <w:top w:val="none" w:sz="0" w:space="0" w:color="auto"/>
                <w:left w:val="none" w:sz="0" w:space="0" w:color="auto"/>
                <w:bottom w:val="none" w:sz="0" w:space="0" w:color="auto"/>
                <w:right w:val="none" w:sz="0" w:space="0" w:color="auto"/>
              </w:divBdr>
            </w:div>
            <w:div w:id="1778477254">
              <w:marLeft w:val="0"/>
              <w:marRight w:val="0"/>
              <w:marTop w:val="0"/>
              <w:marBottom w:val="0"/>
              <w:divBdr>
                <w:top w:val="none" w:sz="0" w:space="0" w:color="auto"/>
                <w:left w:val="none" w:sz="0" w:space="0" w:color="auto"/>
                <w:bottom w:val="none" w:sz="0" w:space="0" w:color="auto"/>
                <w:right w:val="none" w:sz="0" w:space="0" w:color="auto"/>
              </w:divBdr>
            </w:div>
          </w:divsChild>
        </w:div>
        <w:div w:id="2088844207">
          <w:marLeft w:val="0"/>
          <w:marRight w:val="0"/>
          <w:marTop w:val="0"/>
          <w:marBottom w:val="0"/>
          <w:divBdr>
            <w:top w:val="none" w:sz="0" w:space="0" w:color="auto"/>
            <w:left w:val="none" w:sz="0" w:space="0" w:color="auto"/>
            <w:bottom w:val="none" w:sz="0" w:space="0" w:color="auto"/>
            <w:right w:val="none" w:sz="0" w:space="0" w:color="auto"/>
          </w:divBdr>
        </w:div>
      </w:divsChild>
    </w:div>
    <w:div w:id="9063063">
      <w:bodyDiv w:val="1"/>
      <w:marLeft w:val="0"/>
      <w:marRight w:val="0"/>
      <w:marTop w:val="0"/>
      <w:marBottom w:val="0"/>
      <w:divBdr>
        <w:top w:val="none" w:sz="0" w:space="0" w:color="auto"/>
        <w:left w:val="none" w:sz="0" w:space="0" w:color="auto"/>
        <w:bottom w:val="none" w:sz="0" w:space="0" w:color="auto"/>
        <w:right w:val="none" w:sz="0" w:space="0" w:color="auto"/>
      </w:divBdr>
    </w:div>
    <w:div w:id="10567216">
      <w:bodyDiv w:val="1"/>
      <w:marLeft w:val="0"/>
      <w:marRight w:val="0"/>
      <w:marTop w:val="0"/>
      <w:marBottom w:val="0"/>
      <w:divBdr>
        <w:top w:val="none" w:sz="0" w:space="0" w:color="auto"/>
        <w:left w:val="none" w:sz="0" w:space="0" w:color="auto"/>
        <w:bottom w:val="none" w:sz="0" w:space="0" w:color="auto"/>
        <w:right w:val="none" w:sz="0" w:space="0" w:color="auto"/>
      </w:divBdr>
    </w:div>
    <w:div w:id="597181410">
      <w:bodyDiv w:val="1"/>
      <w:marLeft w:val="0"/>
      <w:marRight w:val="0"/>
      <w:marTop w:val="0"/>
      <w:marBottom w:val="0"/>
      <w:divBdr>
        <w:top w:val="none" w:sz="0" w:space="0" w:color="auto"/>
        <w:left w:val="none" w:sz="0" w:space="0" w:color="auto"/>
        <w:bottom w:val="none" w:sz="0" w:space="0" w:color="auto"/>
        <w:right w:val="none" w:sz="0" w:space="0" w:color="auto"/>
      </w:divBdr>
      <w:divsChild>
        <w:div w:id="28334957">
          <w:marLeft w:val="0"/>
          <w:marRight w:val="0"/>
          <w:marTop w:val="0"/>
          <w:marBottom w:val="0"/>
          <w:divBdr>
            <w:top w:val="none" w:sz="0" w:space="0" w:color="auto"/>
            <w:left w:val="none" w:sz="0" w:space="0" w:color="auto"/>
            <w:bottom w:val="none" w:sz="0" w:space="0" w:color="auto"/>
            <w:right w:val="none" w:sz="0" w:space="0" w:color="auto"/>
          </w:divBdr>
        </w:div>
        <w:div w:id="53891432">
          <w:marLeft w:val="0"/>
          <w:marRight w:val="0"/>
          <w:marTop w:val="0"/>
          <w:marBottom w:val="0"/>
          <w:divBdr>
            <w:top w:val="none" w:sz="0" w:space="0" w:color="auto"/>
            <w:left w:val="none" w:sz="0" w:space="0" w:color="auto"/>
            <w:bottom w:val="none" w:sz="0" w:space="0" w:color="auto"/>
            <w:right w:val="none" w:sz="0" w:space="0" w:color="auto"/>
          </w:divBdr>
        </w:div>
        <w:div w:id="78869927">
          <w:marLeft w:val="0"/>
          <w:marRight w:val="0"/>
          <w:marTop w:val="0"/>
          <w:marBottom w:val="0"/>
          <w:divBdr>
            <w:top w:val="none" w:sz="0" w:space="0" w:color="auto"/>
            <w:left w:val="none" w:sz="0" w:space="0" w:color="auto"/>
            <w:bottom w:val="none" w:sz="0" w:space="0" w:color="auto"/>
            <w:right w:val="none" w:sz="0" w:space="0" w:color="auto"/>
          </w:divBdr>
        </w:div>
        <w:div w:id="95640387">
          <w:marLeft w:val="0"/>
          <w:marRight w:val="0"/>
          <w:marTop w:val="0"/>
          <w:marBottom w:val="0"/>
          <w:divBdr>
            <w:top w:val="none" w:sz="0" w:space="0" w:color="auto"/>
            <w:left w:val="none" w:sz="0" w:space="0" w:color="auto"/>
            <w:bottom w:val="none" w:sz="0" w:space="0" w:color="auto"/>
            <w:right w:val="none" w:sz="0" w:space="0" w:color="auto"/>
          </w:divBdr>
        </w:div>
        <w:div w:id="199127551">
          <w:marLeft w:val="0"/>
          <w:marRight w:val="0"/>
          <w:marTop w:val="0"/>
          <w:marBottom w:val="0"/>
          <w:divBdr>
            <w:top w:val="none" w:sz="0" w:space="0" w:color="auto"/>
            <w:left w:val="none" w:sz="0" w:space="0" w:color="auto"/>
            <w:bottom w:val="none" w:sz="0" w:space="0" w:color="auto"/>
            <w:right w:val="none" w:sz="0" w:space="0" w:color="auto"/>
          </w:divBdr>
        </w:div>
        <w:div w:id="302349234">
          <w:marLeft w:val="0"/>
          <w:marRight w:val="0"/>
          <w:marTop w:val="0"/>
          <w:marBottom w:val="0"/>
          <w:divBdr>
            <w:top w:val="none" w:sz="0" w:space="0" w:color="auto"/>
            <w:left w:val="none" w:sz="0" w:space="0" w:color="auto"/>
            <w:bottom w:val="none" w:sz="0" w:space="0" w:color="auto"/>
            <w:right w:val="none" w:sz="0" w:space="0" w:color="auto"/>
          </w:divBdr>
        </w:div>
        <w:div w:id="343172764">
          <w:marLeft w:val="0"/>
          <w:marRight w:val="0"/>
          <w:marTop w:val="0"/>
          <w:marBottom w:val="0"/>
          <w:divBdr>
            <w:top w:val="none" w:sz="0" w:space="0" w:color="auto"/>
            <w:left w:val="none" w:sz="0" w:space="0" w:color="auto"/>
            <w:bottom w:val="none" w:sz="0" w:space="0" w:color="auto"/>
            <w:right w:val="none" w:sz="0" w:space="0" w:color="auto"/>
          </w:divBdr>
        </w:div>
        <w:div w:id="443690378">
          <w:marLeft w:val="0"/>
          <w:marRight w:val="0"/>
          <w:marTop w:val="0"/>
          <w:marBottom w:val="0"/>
          <w:divBdr>
            <w:top w:val="none" w:sz="0" w:space="0" w:color="auto"/>
            <w:left w:val="none" w:sz="0" w:space="0" w:color="auto"/>
            <w:bottom w:val="none" w:sz="0" w:space="0" w:color="auto"/>
            <w:right w:val="none" w:sz="0" w:space="0" w:color="auto"/>
          </w:divBdr>
        </w:div>
        <w:div w:id="498498135">
          <w:marLeft w:val="0"/>
          <w:marRight w:val="0"/>
          <w:marTop w:val="0"/>
          <w:marBottom w:val="0"/>
          <w:divBdr>
            <w:top w:val="none" w:sz="0" w:space="0" w:color="auto"/>
            <w:left w:val="none" w:sz="0" w:space="0" w:color="auto"/>
            <w:bottom w:val="none" w:sz="0" w:space="0" w:color="auto"/>
            <w:right w:val="none" w:sz="0" w:space="0" w:color="auto"/>
          </w:divBdr>
        </w:div>
        <w:div w:id="612786901">
          <w:marLeft w:val="0"/>
          <w:marRight w:val="0"/>
          <w:marTop w:val="0"/>
          <w:marBottom w:val="0"/>
          <w:divBdr>
            <w:top w:val="none" w:sz="0" w:space="0" w:color="auto"/>
            <w:left w:val="none" w:sz="0" w:space="0" w:color="auto"/>
            <w:bottom w:val="none" w:sz="0" w:space="0" w:color="auto"/>
            <w:right w:val="none" w:sz="0" w:space="0" w:color="auto"/>
          </w:divBdr>
        </w:div>
        <w:div w:id="731780292">
          <w:marLeft w:val="0"/>
          <w:marRight w:val="0"/>
          <w:marTop w:val="0"/>
          <w:marBottom w:val="0"/>
          <w:divBdr>
            <w:top w:val="none" w:sz="0" w:space="0" w:color="auto"/>
            <w:left w:val="none" w:sz="0" w:space="0" w:color="auto"/>
            <w:bottom w:val="none" w:sz="0" w:space="0" w:color="auto"/>
            <w:right w:val="none" w:sz="0" w:space="0" w:color="auto"/>
          </w:divBdr>
          <w:divsChild>
            <w:div w:id="186674683">
              <w:marLeft w:val="0"/>
              <w:marRight w:val="0"/>
              <w:marTop w:val="0"/>
              <w:marBottom w:val="0"/>
              <w:divBdr>
                <w:top w:val="none" w:sz="0" w:space="0" w:color="auto"/>
                <w:left w:val="none" w:sz="0" w:space="0" w:color="auto"/>
                <w:bottom w:val="none" w:sz="0" w:space="0" w:color="auto"/>
                <w:right w:val="none" w:sz="0" w:space="0" w:color="auto"/>
              </w:divBdr>
            </w:div>
            <w:div w:id="226888058">
              <w:marLeft w:val="0"/>
              <w:marRight w:val="0"/>
              <w:marTop w:val="0"/>
              <w:marBottom w:val="0"/>
              <w:divBdr>
                <w:top w:val="none" w:sz="0" w:space="0" w:color="auto"/>
                <w:left w:val="none" w:sz="0" w:space="0" w:color="auto"/>
                <w:bottom w:val="none" w:sz="0" w:space="0" w:color="auto"/>
                <w:right w:val="none" w:sz="0" w:space="0" w:color="auto"/>
              </w:divBdr>
            </w:div>
            <w:div w:id="1750734997">
              <w:marLeft w:val="0"/>
              <w:marRight w:val="0"/>
              <w:marTop w:val="0"/>
              <w:marBottom w:val="0"/>
              <w:divBdr>
                <w:top w:val="none" w:sz="0" w:space="0" w:color="auto"/>
                <w:left w:val="none" w:sz="0" w:space="0" w:color="auto"/>
                <w:bottom w:val="none" w:sz="0" w:space="0" w:color="auto"/>
                <w:right w:val="none" w:sz="0" w:space="0" w:color="auto"/>
              </w:divBdr>
            </w:div>
          </w:divsChild>
        </w:div>
        <w:div w:id="775834849">
          <w:marLeft w:val="0"/>
          <w:marRight w:val="0"/>
          <w:marTop w:val="0"/>
          <w:marBottom w:val="0"/>
          <w:divBdr>
            <w:top w:val="none" w:sz="0" w:space="0" w:color="auto"/>
            <w:left w:val="none" w:sz="0" w:space="0" w:color="auto"/>
            <w:bottom w:val="none" w:sz="0" w:space="0" w:color="auto"/>
            <w:right w:val="none" w:sz="0" w:space="0" w:color="auto"/>
          </w:divBdr>
        </w:div>
        <w:div w:id="844825154">
          <w:marLeft w:val="0"/>
          <w:marRight w:val="0"/>
          <w:marTop w:val="0"/>
          <w:marBottom w:val="0"/>
          <w:divBdr>
            <w:top w:val="none" w:sz="0" w:space="0" w:color="auto"/>
            <w:left w:val="none" w:sz="0" w:space="0" w:color="auto"/>
            <w:bottom w:val="none" w:sz="0" w:space="0" w:color="auto"/>
            <w:right w:val="none" w:sz="0" w:space="0" w:color="auto"/>
          </w:divBdr>
        </w:div>
        <w:div w:id="875772227">
          <w:marLeft w:val="0"/>
          <w:marRight w:val="0"/>
          <w:marTop w:val="0"/>
          <w:marBottom w:val="0"/>
          <w:divBdr>
            <w:top w:val="none" w:sz="0" w:space="0" w:color="auto"/>
            <w:left w:val="none" w:sz="0" w:space="0" w:color="auto"/>
            <w:bottom w:val="none" w:sz="0" w:space="0" w:color="auto"/>
            <w:right w:val="none" w:sz="0" w:space="0" w:color="auto"/>
          </w:divBdr>
        </w:div>
        <w:div w:id="887377209">
          <w:marLeft w:val="0"/>
          <w:marRight w:val="0"/>
          <w:marTop w:val="0"/>
          <w:marBottom w:val="0"/>
          <w:divBdr>
            <w:top w:val="none" w:sz="0" w:space="0" w:color="auto"/>
            <w:left w:val="none" w:sz="0" w:space="0" w:color="auto"/>
            <w:bottom w:val="none" w:sz="0" w:space="0" w:color="auto"/>
            <w:right w:val="none" w:sz="0" w:space="0" w:color="auto"/>
          </w:divBdr>
        </w:div>
        <w:div w:id="1107654920">
          <w:marLeft w:val="0"/>
          <w:marRight w:val="0"/>
          <w:marTop w:val="0"/>
          <w:marBottom w:val="0"/>
          <w:divBdr>
            <w:top w:val="none" w:sz="0" w:space="0" w:color="auto"/>
            <w:left w:val="none" w:sz="0" w:space="0" w:color="auto"/>
            <w:bottom w:val="none" w:sz="0" w:space="0" w:color="auto"/>
            <w:right w:val="none" w:sz="0" w:space="0" w:color="auto"/>
          </w:divBdr>
        </w:div>
        <w:div w:id="1174733352">
          <w:marLeft w:val="0"/>
          <w:marRight w:val="0"/>
          <w:marTop w:val="0"/>
          <w:marBottom w:val="0"/>
          <w:divBdr>
            <w:top w:val="none" w:sz="0" w:space="0" w:color="auto"/>
            <w:left w:val="none" w:sz="0" w:space="0" w:color="auto"/>
            <w:bottom w:val="none" w:sz="0" w:space="0" w:color="auto"/>
            <w:right w:val="none" w:sz="0" w:space="0" w:color="auto"/>
          </w:divBdr>
        </w:div>
        <w:div w:id="1230143454">
          <w:marLeft w:val="0"/>
          <w:marRight w:val="0"/>
          <w:marTop w:val="0"/>
          <w:marBottom w:val="0"/>
          <w:divBdr>
            <w:top w:val="none" w:sz="0" w:space="0" w:color="auto"/>
            <w:left w:val="none" w:sz="0" w:space="0" w:color="auto"/>
            <w:bottom w:val="none" w:sz="0" w:space="0" w:color="auto"/>
            <w:right w:val="none" w:sz="0" w:space="0" w:color="auto"/>
          </w:divBdr>
        </w:div>
        <w:div w:id="1342925870">
          <w:marLeft w:val="0"/>
          <w:marRight w:val="0"/>
          <w:marTop w:val="0"/>
          <w:marBottom w:val="0"/>
          <w:divBdr>
            <w:top w:val="none" w:sz="0" w:space="0" w:color="auto"/>
            <w:left w:val="none" w:sz="0" w:space="0" w:color="auto"/>
            <w:bottom w:val="none" w:sz="0" w:space="0" w:color="auto"/>
            <w:right w:val="none" w:sz="0" w:space="0" w:color="auto"/>
          </w:divBdr>
        </w:div>
        <w:div w:id="1407461818">
          <w:marLeft w:val="0"/>
          <w:marRight w:val="0"/>
          <w:marTop w:val="0"/>
          <w:marBottom w:val="0"/>
          <w:divBdr>
            <w:top w:val="none" w:sz="0" w:space="0" w:color="auto"/>
            <w:left w:val="none" w:sz="0" w:space="0" w:color="auto"/>
            <w:bottom w:val="none" w:sz="0" w:space="0" w:color="auto"/>
            <w:right w:val="none" w:sz="0" w:space="0" w:color="auto"/>
          </w:divBdr>
        </w:div>
        <w:div w:id="1410932037">
          <w:marLeft w:val="0"/>
          <w:marRight w:val="0"/>
          <w:marTop w:val="0"/>
          <w:marBottom w:val="0"/>
          <w:divBdr>
            <w:top w:val="none" w:sz="0" w:space="0" w:color="auto"/>
            <w:left w:val="none" w:sz="0" w:space="0" w:color="auto"/>
            <w:bottom w:val="none" w:sz="0" w:space="0" w:color="auto"/>
            <w:right w:val="none" w:sz="0" w:space="0" w:color="auto"/>
          </w:divBdr>
        </w:div>
        <w:div w:id="1804426825">
          <w:marLeft w:val="0"/>
          <w:marRight w:val="0"/>
          <w:marTop w:val="0"/>
          <w:marBottom w:val="0"/>
          <w:divBdr>
            <w:top w:val="none" w:sz="0" w:space="0" w:color="auto"/>
            <w:left w:val="none" w:sz="0" w:space="0" w:color="auto"/>
            <w:bottom w:val="none" w:sz="0" w:space="0" w:color="auto"/>
            <w:right w:val="none" w:sz="0" w:space="0" w:color="auto"/>
          </w:divBdr>
        </w:div>
        <w:div w:id="1889027342">
          <w:marLeft w:val="0"/>
          <w:marRight w:val="0"/>
          <w:marTop w:val="0"/>
          <w:marBottom w:val="0"/>
          <w:divBdr>
            <w:top w:val="none" w:sz="0" w:space="0" w:color="auto"/>
            <w:left w:val="none" w:sz="0" w:space="0" w:color="auto"/>
            <w:bottom w:val="none" w:sz="0" w:space="0" w:color="auto"/>
            <w:right w:val="none" w:sz="0" w:space="0" w:color="auto"/>
          </w:divBdr>
        </w:div>
        <w:div w:id="1902714090">
          <w:marLeft w:val="0"/>
          <w:marRight w:val="0"/>
          <w:marTop w:val="0"/>
          <w:marBottom w:val="0"/>
          <w:divBdr>
            <w:top w:val="none" w:sz="0" w:space="0" w:color="auto"/>
            <w:left w:val="none" w:sz="0" w:space="0" w:color="auto"/>
            <w:bottom w:val="none" w:sz="0" w:space="0" w:color="auto"/>
            <w:right w:val="none" w:sz="0" w:space="0" w:color="auto"/>
          </w:divBdr>
        </w:div>
        <w:div w:id="1921089186">
          <w:marLeft w:val="0"/>
          <w:marRight w:val="0"/>
          <w:marTop w:val="0"/>
          <w:marBottom w:val="0"/>
          <w:divBdr>
            <w:top w:val="none" w:sz="0" w:space="0" w:color="auto"/>
            <w:left w:val="none" w:sz="0" w:space="0" w:color="auto"/>
            <w:bottom w:val="none" w:sz="0" w:space="0" w:color="auto"/>
            <w:right w:val="none" w:sz="0" w:space="0" w:color="auto"/>
          </w:divBdr>
          <w:divsChild>
            <w:div w:id="1001128355">
              <w:marLeft w:val="0"/>
              <w:marRight w:val="0"/>
              <w:marTop w:val="0"/>
              <w:marBottom w:val="0"/>
              <w:divBdr>
                <w:top w:val="none" w:sz="0" w:space="0" w:color="auto"/>
                <w:left w:val="none" w:sz="0" w:space="0" w:color="auto"/>
                <w:bottom w:val="none" w:sz="0" w:space="0" w:color="auto"/>
                <w:right w:val="none" w:sz="0" w:space="0" w:color="auto"/>
              </w:divBdr>
            </w:div>
            <w:div w:id="1164737935">
              <w:marLeft w:val="0"/>
              <w:marRight w:val="0"/>
              <w:marTop w:val="0"/>
              <w:marBottom w:val="0"/>
              <w:divBdr>
                <w:top w:val="none" w:sz="0" w:space="0" w:color="auto"/>
                <w:left w:val="none" w:sz="0" w:space="0" w:color="auto"/>
                <w:bottom w:val="none" w:sz="0" w:space="0" w:color="auto"/>
                <w:right w:val="none" w:sz="0" w:space="0" w:color="auto"/>
              </w:divBdr>
            </w:div>
            <w:div w:id="1511528168">
              <w:marLeft w:val="0"/>
              <w:marRight w:val="0"/>
              <w:marTop w:val="0"/>
              <w:marBottom w:val="0"/>
              <w:divBdr>
                <w:top w:val="none" w:sz="0" w:space="0" w:color="auto"/>
                <w:left w:val="none" w:sz="0" w:space="0" w:color="auto"/>
                <w:bottom w:val="none" w:sz="0" w:space="0" w:color="auto"/>
                <w:right w:val="none" w:sz="0" w:space="0" w:color="auto"/>
              </w:divBdr>
            </w:div>
            <w:div w:id="1785884358">
              <w:marLeft w:val="0"/>
              <w:marRight w:val="0"/>
              <w:marTop w:val="0"/>
              <w:marBottom w:val="0"/>
              <w:divBdr>
                <w:top w:val="none" w:sz="0" w:space="0" w:color="auto"/>
                <w:left w:val="none" w:sz="0" w:space="0" w:color="auto"/>
                <w:bottom w:val="none" w:sz="0" w:space="0" w:color="auto"/>
                <w:right w:val="none" w:sz="0" w:space="0" w:color="auto"/>
              </w:divBdr>
            </w:div>
          </w:divsChild>
        </w:div>
        <w:div w:id="2058890580">
          <w:marLeft w:val="0"/>
          <w:marRight w:val="0"/>
          <w:marTop w:val="0"/>
          <w:marBottom w:val="0"/>
          <w:divBdr>
            <w:top w:val="none" w:sz="0" w:space="0" w:color="auto"/>
            <w:left w:val="none" w:sz="0" w:space="0" w:color="auto"/>
            <w:bottom w:val="none" w:sz="0" w:space="0" w:color="auto"/>
            <w:right w:val="none" w:sz="0" w:space="0" w:color="auto"/>
          </w:divBdr>
        </w:div>
        <w:div w:id="2088846548">
          <w:marLeft w:val="0"/>
          <w:marRight w:val="0"/>
          <w:marTop w:val="0"/>
          <w:marBottom w:val="0"/>
          <w:divBdr>
            <w:top w:val="none" w:sz="0" w:space="0" w:color="auto"/>
            <w:left w:val="none" w:sz="0" w:space="0" w:color="auto"/>
            <w:bottom w:val="none" w:sz="0" w:space="0" w:color="auto"/>
            <w:right w:val="none" w:sz="0" w:space="0" w:color="auto"/>
          </w:divBdr>
          <w:divsChild>
            <w:div w:id="50227465">
              <w:marLeft w:val="0"/>
              <w:marRight w:val="0"/>
              <w:marTop w:val="0"/>
              <w:marBottom w:val="0"/>
              <w:divBdr>
                <w:top w:val="none" w:sz="0" w:space="0" w:color="auto"/>
                <w:left w:val="none" w:sz="0" w:space="0" w:color="auto"/>
                <w:bottom w:val="none" w:sz="0" w:space="0" w:color="auto"/>
                <w:right w:val="none" w:sz="0" w:space="0" w:color="auto"/>
              </w:divBdr>
            </w:div>
            <w:div w:id="1812087883">
              <w:marLeft w:val="0"/>
              <w:marRight w:val="0"/>
              <w:marTop w:val="0"/>
              <w:marBottom w:val="0"/>
              <w:divBdr>
                <w:top w:val="none" w:sz="0" w:space="0" w:color="auto"/>
                <w:left w:val="none" w:sz="0" w:space="0" w:color="auto"/>
                <w:bottom w:val="none" w:sz="0" w:space="0" w:color="auto"/>
                <w:right w:val="none" w:sz="0" w:space="0" w:color="auto"/>
              </w:divBdr>
            </w:div>
            <w:div w:id="203970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115706">
      <w:bodyDiv w:val="1"/>
      <w:marLeft w:val="0"/>
      <w:marRight w:val="0"/>
      <w:marTop w:val="0"/>
      <w:marBottom w:val="0"/>
      <w:divBdr>
        <w:top w:val="none" w:sz="0" w:space="0" w:color="auto"/>
        <w:left w:val="none" w:sz="0" w:space="0" w:color="auto"/>
        <w:bottom w:val="none" w:sz="0" w:space="0" w:color="auto"/>
        <w:right w:val="none" w:sz="0" w:space="0" w:color="auto"/>
      </w:divBdr>
    </w:div>
    <w:div w:id="866679565">
      <w:bodyDiv w:val="1"/>
      <w:marLeft w:val="0"/>
      <w:marRight w:val="0"/>
      <w:marTop w:val="0"/>
      <w:marBottom w:val="0"/>
      <w:divBdr>
        <w:top w:val="none" w:sz="0" w:space="0" w:color="auto"/>
        <w:left w:val="none" w:sz="0" w:space="0" w:color="auto"/>
        <w:bottom w:val="none" w:sz="0" w:space="0" w:color="auto"/>
        <w:right w:val="none" w:sz="0" w:space="0" w:color="auto"/>
      </w:divBdr>
      <w:divsChild>
        <w:div w:id="527374371">
          <w:marLeft w:val="0"/>
          <w:marRight w:val="0"/>
          <w:marTop w:val="0"/>
          <w:marBottom w:val="0"/>
          <w:divBdr>
            <w:top w:val="none" w:sz="0" w:space="0" w:color="auto"/>
            <w:left w:val="none" w:sz="0" w:space="0" w:color="auto"/>
            <w:bottom w:val="none" w:sz="0" w:space="0" w:color="auto"/>
            <w:right w:val="none" w:sz="0" w:space="0" w:color="auto"/>
          </w:divBdr>
        </w:div>
        <w:div w:id="709036854">
          <w:marLeft w:val="0"/>
          <w:marRight w:val="0"/>
          <w:marTop w:val="0"/>
          <w:marBottom w:val="0"/>
          <w:divBdr>
            <w:top w:val="none" w:sz="0" w:space="0" w:color="auto"/>
            <w:left w:val="none" w:sz="0" w:space="0" w:color="auto"/>
            <w:bottom w:val="none" w:sz="0" w:space="0" w:color="auto"/>
            <w:right w:val="none" w:sz="0" w:space="0" w:color="auto"/>
          </w:divBdr>
        </w:div>
        <w:div w:id="851409969">
          <w:marLeft w:val="0"/>
          <w:marRight w:val="0"/>
          <w:marTop w:val="0"/>
          <w:marBottom w:val="0"/>
          <w:divBdr>
            <w:top w:val="none" w:sz="0" w:space="0" w:color="auto"/>
            <w:left w:val="none" w:sz="0" w:space="0" w:color="auto"/>
            <w:bottom w:val="none" w:sz="0" w:space="0" w:color="auto"/>
            <w:right w:val="none" w:sz="0" w:space="0" w:color="auto"/>
          </w:divBdr>
        </w:div>
        <w:div w:id="979386927">
          <w:marLeft w:val="0"/>
          <w:marRight w:val="0"/>
          <w:marTop w:val="0"/>
          <w:marBottom w:val="0"/>
          <w:divBdr>
            <w:top w:val="none" w:sz="0" w:space="0" w:color="auto"/>
            <w:left w:val="none" w:sz="0" w:space="0" w:color="auto"/>
            <w:bottom w:val="none" w:sz="0" w:space="0" w:color="auto"/>
            <w:right w:val="none" w:sz="0" w:space="0" w:color="auto"/>
          </w:divBdr>
        </w:div>
        <w:div w:id="2033219937">
          <w:marLeft w:val="0"/>
          <w:marRight w:val="0"/>
          <w:marTop w:val="0"/>
          <w:marBottom w:val="0"/>
          <w:divBdr>
            <w:top w:val="none" w:sz="0" w:space="0" w:color="auto"/>
            <w:left w:val="none" w:sz="0" w:space="0" w:color="auto"/>
            <w:bottom w:val="none" w:sz="0" w:space="0" w:color="auto"/>
            <w:right w:val="none" w:sz="0" w:space="0" w:color="auto"/>
          </w:divBdr>
        </w:div>
        <w:div w:id="2099327029">
          <w:marLeft w:val="0"/>
          <w:marRight w:val="0"/>
          <w:marTop w:val="0"/>
          <w:marBottom w:val="0"/>
          <w:divBdr>
            <w:top w:val="none" w:sz="0" w:space="0" w:color="auto"/>
            <w:left w:val="none" w:sz="0" w:space="0" w:color="auto"/>
            <w:bottom w:val="none" w:sz="0" w:space="0" w:color="auto"/>
            <w:right w:val="none" w:sz="0" w:space="0" w:color="auto"/>
          </w:divBdr>
        </w:div>
      </w:divsChild>
    </w:div>
    <w:div w:id="894003952">
      <w:bodyDiv w:val="1"/>
      <w:marLeft w:val="0"/>
      <w:marRight w:val="0"/>
      <w:marTop w:val="0"/>
      <w:marBottom w:val="0"/>
      <w:divBdr>
        <w:top w:val="none" w:sz="0" w:space="0" w:color="auto"/>
        <w:left w:val="none" w:sz="0" w:space="0" w:color="auto"/>
        <w:bottom w:val="none" w:sz="0" w:space="0" w:color="auto"/>
        <w:right w:val="none" w:sz="0" w:space="0" w:color="auto"/>
      </w:divBdr>
      <w:divsChild>
        <w:div w:id="37247802">
          <w:marLeft w:val="0"/>
          <w:marRight w:val="0"/>
          <w:marTop w:val="0"/>
          <w:marBottom w:val="0"/>
          <w:divBdr>
            <w:top w:val="none" w:sz="0" w:space="0" w:color="auto"/>
            <w:left w:val="none" w:sz="0" w:space="0" w:color="auto"/>
            <w:bottom w:val="none" w:sz="0" w:space="0" w:color="auto"/>
            <w:right w:val="none" w:sz="0" w:space="0" w:color="auto"/>
          </w:divBdr>
        </w:div>
        <w:div w:id="1310548685">
          <w:marLeft w:val="0"/>
          <w:marRight w:val="0"/>
          <w:marTop w:val="0"/>
          <w:marBottom w:val="0"/>
          <w:divBdr>
            <w:top w:val="none" w:sz="0" w:space="0" w:color="auto"/>
            <w:left w:val="none" w:sz="0" w:space="0" w:color="auto"/>
            <w:bottom w:val="none" w:sz="0" w:space="0" w:color="auto"/>
            <w:right w:val="none" w:sz="0" w:space="0" w:color="auto"/>
          </w:divBdr>
        </w:div>
        <w:div w:id="1459568085">
          <w:marLeft w:val="0"/>
          <w:marRight w:val="0"/>
          <w:marTop w:val="0"/>
          <w:marBottom w:val="0"/>
          <w:divBdr>
            <w:top w:val="none" w:sz="0" w:space="0" w:color="auto"/>
            <w:left w:val="none" w:sz="0" w:space="0" w:color="auto"/>
            <w:bottom w:val="none" w:sz="0" w:space="0" w:color="auto"/>
            <w:right w:val="none" w:sz="0" w:space="0" w:color="auto"/>
          </w:divBdr>
        </w:div>
      </w:divsChild>
    </w:div>
    <w:div w:id="957102994">
      <w:bodyDiv w:val="1"/>
      <w:marLeft w:val="0"/>
      <w:marRight w:val="0"/>
      <w:marTop w:val="0"/>
      <w:marBottom w:val="0"/>
      <w:divBdr>
        <w:top w:val="none" w:sz="0" w:space="0" w:color="auto"/>
        <w:left w:val="none" w:sz="0" w:space="0" w:color="auto"/>
        <w:bottom w:val="none" w:sz="0" w:space="0" w:color="auto"/>
        <w:right w:val="none" w:sz="0" w:space="0" w:color="auto"/>
      </w:divBdr>
    </w:div>
    <w:div w:id="999311147">
      <w:bodyDiv w:val="1"/>
      <w:marLeft w:val="0"/>
      <w:marRight w:val="0"/>
      <w:marTop w:val="0"/>
      <w:marBottom w:val="0"/>
      <w:divBdr>
        <w:top w:val="none" w:sz="0" w:space="0" w:color="auto"/>
        <w:left w:val="none" w:sz="0" w:space="0" w:color="auto"/>
        <w:bottom w:val="none" w:sz="0" w:space="0" w:color="auto"/>
        <w:right w:val="none" w:sz="0" w:space="0" w:color="auto"/>
      </w:divBdr>
    </w:div>
    <w:div w:id="1039746584">
      <w:bodyDiv w:val="1"/>
      <w:marLeft w:val="0"/>
      <w:marRight w:val="0"/>
      <w:marTop w:val="0"/>
      <w:marBottom w:val="0"/>
      <w:divBdr>
        <w:top w:val="none" w:sz="0" w:space="0" w:color="auto"/>
        <w:left w:val="none" w:sz="0" w:space="0" w:color="auto"/>
        <w:bottom w:val="none" w:sz="0" w:space="0" w:color="auto"/>
        <w:right w:val="none" w:sz="0" w:space="0" w:color="auto"/>
      </w:divBdr>
      <w:divsChild>
        <w:div w:id="23944732">
          <w:marLeft w:val="0"/>
          <w:marRight w:val="0"/>
          <w:marTop w:val="0"/>
          <w:marBottom w:val="0"/>
          <w:divBdr>
            <w:top w:val="none" w:sz="0" w:space="0" w:color="auto"/>
            <w:left w:val="none" w:sz="0" w:space="0" w:color="auto"/>
            <w:bottom w:val="none" w:sz="0" w:space="0" w:color="auto"/>
            <w:right w:val="none" w:sz="0" w:space="0" w:color="auto"/>
          </w:divBdr>
        </w:div>
        <w:div w:id="525339112">
          <w:marLeft w:val="0"/>
          <w:marRight w:val="0"/>
          <w:marTop w:val="0"/>
          <w:marBottom w:val="0"/>
          <w:divBdr>
            <w:top w:val="none" w:sz="0" w:space="0" w:color="auto"/>
            <w:left w:val="none" w:sz="0" w:space="0" w:color="auto"/>
            <w:bottom w:val="none" w:sz="0" w:space="0" w:color="auto"/>
            <w:right w:val="none" w:sz="0" w:space="0" w:color="auto"/>
          </w:divBdr>
        </w:div>
        <w:div w:id="548881020">
          <w:marLeft w:val="0"/>
          <w:marRight w:val="0"/>
          <w:marTop w:val="0"/>
          <w:marBottom w:val="0"/>
          <w:divBdr>
            <w:top w:val="none" w:sz="0" w:space="0" w:color="auto"/>
            <w:left w:val="none" w:sz="0" w:space="0" w:color="auto"/>
            <w:bottom w:val="none" w:sz="0" w:space="0" w:color="auto"/>
            <w:right w:val="none" w:sz="0" w:space="0" w:color="auto"/>
          </w:divBdr>
        </w:div>
        <w:div w:id="1322394980">
          <w:marLeft w:val="0"/>
          <w:marRight w:val="0"/>
          <w:marTop w:val="0"/>
          <w:marBottom w:val="0"/>
          <w:divBdr>
            <w:top w:val="none" w:sz="0" w:space="0" w:color="auto"/>
            <w:left w:val="none" w:sz="0" w:space="0" w:color="auto"/>
            <w:bottom w:val="none" w:sz="0" w:space="0" w:color="auto"/>
            <w:right w:val="none" w:sz="0" w:space="0" w:color="auto"/>
          </w:divBdr>
        </w:div>
        <w:div w:id="1483891401">
          <w:marLeft w:val="0"/>
          <w:marRight w:val="0"/>
          <w:marTop w:val="0"/>
          <w:marBottom w:val="0"/>
          <w:divBdr>
            <w:top w:val="none" w:sz="0" w:space="0" w:color="auto"/>
            <w:left w:val="none" w:sz="0" w:space="0" w:color="auto"/>
            <w:bottom w:val="none" w:sz="0" w:space="0" w:color="auto"/>
            <w:right w:val="none" w:sz="0" w:space="0" w:color="auto"/>
          </w:divBdr>
        </w:div>
        <w:div w:id="1554997458">
          <w:marLeft w:val="0"/>
          <w:marRight w:val="0"/>
          <w:marTop w:val="0"/>
          <w:marBottom w:val="0"/>
          <w:divBdr>
            <w:top w:val="none" w:sz="0" w:space="0" w:color="auto"/>
            <w:left w:val="none" w:sz="0" w:space="0" w:color="auto"/>
            <w:bottom w:val="none" w:sz="0" w:space="0" w:color="auto"/>
            <w:right w:val="none" w:sz="0" w:space="0" w:color="auto"/>
          </w:divBdr>
        </w:div>
        <w:div w:id="1785347531">
          <w:marLeft w:val="0"/>
          <w:marRight w:val="0"/>
          <w:marTop w:val="0"/>
          <w:marBottom w:val="0"/>
          <w:divBdr>
            <w:top w:val="none" w:sz="0" w:space="0" w:color="auto"/>
            <w:left w:val="none" w:sz="0" w:space="0" w:color="auto"/>
            <w:bottom w:val="none" w:sz="0" w:space="0" w:color="auto"/>
            <w:right w:val="none" w:sz="0" w:space="0" w:color="auto"/>
          </w:divBdr>
        </w:div>
        <w:div w:id="1840150502">
          <w:marLeft w:val="0"/>
          <w:marRight w:val="0"/>
          <w:marTop w:val="0"/>
          <w:marBottom w:val="0"/>
          <w:divBdr>
            <w:top w:val="none" w:sz="0" w:space="0" w:color="auto"/>
            <w:left w:val="none" w:sz="0" w:space="0" w:color="auto"/>
            <w:bottom w:val="none" w:sz="0" w:space="0" w:color="auto"/>
            <w:right w:val="none" w:sz="0" w:space="0" w:color="auto"/>
          </w:divBdr>
        </w:div>
        <w:div w:id="2047872407">
          <w:marLeft w:val="0"/>
          <w:marRight w:val="0"/>
          <w:marTop w:val="0"/>
          <w:marBottom w:val="0"/>
          <w:divBdr>
            <w:top w:val="none" w:sz="0" w:space="0" w:color="auto"/>
            <w:left w:val="none" w:sz="0" w:space="0" w:color="auto"/>
            <w:bottom w:val="none" w:sz="0" w:space="0" w:color="auto"/>
            <w:right w:val="none" w:sz="0" w:space="0" w:color="auto"/>
          </w:divBdr>
        </w:div>
        <w:div w:id="2135364508">
          <w:marLeft w:val="0"/>
          <w:marRight w:val="0"/>
          <w:marTop w:val="0"/>
          <w:marBottom w:val="0"/>
          <w:divBdr>
            <w:top w:val="none" w:sz="0" w:space="0" w:color="auto"/>
            <w:left w:val="none" w:sz="0" w:space="0" w:color="auto"/>
            <w:bottom w:val="none" w:sz="0" w:space="0" w:color="auto"/>
            <w:right w:val="none" w:sz="0" w:space="0" w:color="auto"/>
          </w:divBdr>
        </w:div>
      </w:divsChild>
    </w:div>
    <w:div w:id="1105659750">
      <w:bodyDiv w:val="1"/>
      <w:marLeft w:val="0"/>
      <w:marRight w:val="0"/>
      <w:marTop w:val="0"/>
      <w:marBottom w:val="0"/>
      <w:divBdr>
        <w:top w:val="none" w:sz="0" w:space="0" w:color="auto"/>
        <w:left w:val="none" w:sz="0" w:space="0" w:color="auto"/>
        <w:bottom w:val="none" w:sz="0" w:space="0" w:color="auto"/>
        <w:right w:val="none" w:sz="0" w:space="0" w:color="auto"/>
      </w:divBdr>
    </w:div>
    <w:div w:id="1194461294">
      <w:bodyDiv w:val="1"/>
      <w:marLeft w:val="0"/>
      <w:marRight w:val="0"/>
      <w:marTop w:val="0"/>
      <w:marBottom w:val="0"/>
      <w:divBdr>
        <w:top w:val="none" w:sz="0" w:space="0" w:color="auto"/>
        <w:left w:val="none" w:sz="0" w:space="0" w:color="auto"/>
        <w:bottom w:val="none" w:sz="0" w:space="0" w:color="auto"/>
        <w:right w:val="none" w:sz="0" w:space="0" w:color="auto"/>
      </w:divBdr>
    </w:div>
    <w:div w:id="1209730202">
      <w:bodyDiv w:val="1"/>
      <w:marLeft w:val="0"/>
      <w:marRight w:val="0"/>
      <w:marTop w:val="0"/>
      <w:marBottom w:val="0"/>
      <w:divBdr>
        <w:top w:val="none" w:sz="0" w:space="0" w:color="auto"/>
        <w:left w:val="none" w:sz="0" w:space="0" w:color="auto"/>
        <w:bottom w:val="none" w:sz="0" w:space="0" w:color="auto"/>
        <w:right w:val="none" w:sz="0" w:space="0" w:color="auto"/>
      </w:divBdr>
    </w:div>
    <w:div w:id="1226140083">
      <w:bodyDiv w:val="1"/>
      <w:marLeft w:val="0"/>
      <w:marRight w:val="0"/>
      <w:marTop w:val="0"/>
      <w:marBottom w:val="0"/>
      <w:divBdr>
        <w:top w:val="none" w:sz="0" w:space="0" w:color="auto"/>
        <w:left w:val="none" w:sz="0" w:space="0" w:color="auto"/>
        <w:bottom w:val="none" w:sz="0" w:space="0" w:color="auto"/>
        <w:right w:val="none" w:sz="0" w:space="0" w:color="auto"/>
      </w:divBdr>
      <w:divsChild>
        <w:div w:id="93790289">
          <w:marLeft w:val="0"/>
          <w:marRight w:val="0"/>
          <w:marTop w:val="0"/>
          <w:marBottom w:val="0"/>
          <w:divBdr>
            <w:top w:val="none" w:sz="0" w:space="0" w:color="auto"/>
            <w:left w:val="none" w:sz="0" w:space="0" w:color="auto"/>
            <w:bottom w:val="none" w:sz="0" w:space="0" w:color="auto"/>
            <w:right w:val="none" w:sz="0" w:space="0" w:color="auto"/>
          </w:divBdr>
        </w:div>
        <w:div w:id="180317774">
          <w:marLeft w:val="0"/>
          <w:marRight w:val="0"/>
          <w:marTop w:val="0"/>
          <w:marBottom w:val="0"/>
          <w:divBdr>
            <w:top w:val="none" w:sz="0" w:space="0" w:color="auto"/>
            <w:left w:val="none" w:sz="0" w:space="0" w:color="auto"/>
            <w:bottom w:val="none" w:sz="0" w:space="0" w:color="auto"/>
            <w:right w:val="none" w:sz="0" w:space="0" w:color="auto"/>
          </w:divBdr>
        </w:div>
        <w:div w:id="244460591">
          <w:marLeft w:val="0"/>
          <w:marRight w:val="0"/>
          <w:marTop w:val="0"/>
          <w:marBottom w:val="0"/>
          <w:divBdr>
            <w:top w:val="none" w:sz="0" w:space="0" w:color="auto"/>
            <w:left w:val="none" w:sz="0" w:space="0" w:color="auto"/>
            <w:bottom w:val="none" w:sz="0" w:space="0" w:color="auto"/>
            <w:right w:val="none" w:sz="0" w:space="0" w:color="auto"/>
          </w:divBdr>
        </w:div>
        <w:div w:id="686714967">
          <w:marLeft w:val="0"/>
          <w:marRight w:val="0"/>
          <w:marTop w:val="0"/>
          <w:marBottom w:val="0"/>
          <w:divBdr>
            <w:top w:val="none" w:sz="0" w:space="0" w:color="auto"/>
            <w:left w:val="none" w:sz="0" w:space="0" w:color="auto"/>
            <w:bottom w:val="none" w:sz="0" w:space="0" w:color="auto"/>
            <w:right w:val="none" w:sz="0" w:space="0" w:color="auto"/>
          </w:divBdr>
        </w:div>
        <w:div w:id="918099096">
          <w:marLeft w:val="0"/>
          <w:marRight w:val="0"/>
          <w:marTop w:val="0"/>
          <w:marBottom w:val="0"/>
          <w:divBdr>
            <w:top w:val="none" w:sz="0" w:space="0" w:color="auto"/>
            <w:left w:val="none" w:sz="0" w:space="0" w:color="auto"/>
            <w:bottom w:val="none" w:sz="0" w:space="0" w:color="auto"/>
            <w:right w:val="none" w:sz="0" w:space="0" w:color="auto"/>
          </w:divBdr>
        </w:div>
        <w:div w:id="1252273162">
          <w:marLeft w:val="0"/>
          <w:marRight w:val="0"/>
          <w:marTop w:val="0"/>
          <w:marBottom w:val="0"/>
          <w:divBdr>
            <w:top w:val="none" w:sz="0" w:space="0" w:color="auto"/>
            <w:left w:val="none" w:sz="0" w:space="0" w:color="auto"/>
            <w:bottom w:val="none" w:sz="0" w:space="0" w:color="auto"/>
            <w:right w:val="none" w:sz="0" w:space="0" w:color="auto"/>
          </w:divBdr>
        </w:div>
        <w:div w:id="1443452089">
          <w:marLeft w:val="0"/>
          <w:marRight w:val="0"/>
          <w:marTop w:val="0"/>
          <w:marBottom w:val="0"/>
          <w:divBdr>
            <w:top w:val="none" w:sz="0" w:space="0" w:color="auto"/>
            <w:left w:val="none" w:sz="0" w:space="0" w:color="auto"/>
            <w:bottom w:val="none" w:sz="0" w:space="0" w:color="auto"/>
            <w:right w:val="none" w:sz="0" w:space="0" w:color="auto"/>
          </w:divBdr>
        </w:div>
        <w:div w:id="1764449602">
          <w:marLeft w:val="0"/>
          <w:marRight w:val="0"/>
          <w:marTop w:val="0"/>
          <w:marBottom w:val="0"/>
          <w:divBdr>
            <w:top w:val="none" w:sz="0" w:space="0" w:color="auto"/>
            <w:left w:val="none" w:sz="0" w:space="0" w:color="auto"/>
            <w:bottom w:val="none" w:sz="0" w:space="0" w:color="auto"/>
            <w:right w:val="none" w:sz="0" w:space="0" w:color="auto"/>
          </w:divBdr>
        </w:div>
        <w:div w:id="1959870148">
          <w:marLeft w:val="0"/>
          <w:marRight w:val="0"/>
          <w:marTop w:val="0"/>
          <w:marBottom w:val="0"/>
          <w:divBdr>
            <w:top w:val="none" w:sz="0" w:space="0" w:color="auto"/>
            <w:left w:val="none" w:sz="0" w:space="0" w:color="auto"/>
            <w:bottom w:val="none" w:sz="0" w:space="0" w:color="auto"/>
            <w:right w:val="none" w:sz="0" w:space="0" w:color="auto"/>
          </w:divBdr>
        </w:div>
      </w:divsChild>
    </w:div>
    <w:div w:id="1296716586">
      <w:bodyDiv w:val="1"/>
      <w:marLeft w:val="0"/>
      <w:marRight w:val="0"/>
      <w:marTop w:val="0"/>
      <w:marBottom w:val="0"/>
      <w:divBdr>
        <w:top w:val="none" w:sz="0" w:space="0" w:color="auto"/>
        <w:left w:val="none" w:sz="0" w:space="0" w:color="auto"/>
        <w:bottom w:val="none" w:sz="0" w:space="0" w:color="auto"/>
        <w:right w:val="none" w:sz="0" w:space="0" w:color="auto"/>
      </w:divBdr>
      <w:divsChild>
        <w:div w:id="1052537997">
          <w:marLeft w:val="0"/>
          <w:marRight w:val="0"/>
          <w:marTop w:val="0"/>
          <w:marBottom w:val="0"/>
          <w:divBdr>
            <w:top w:val="none" w:sz="0" w:space="0" w:color="auto"/>
            <w:left w:val="none" w:sz="0" w:space="0" w:color="auto"/>
            <w:bottom w:val="none" w:sz="0" w:space="0" w:color="auto"/>
            <w:right w:val="none" w:sz="0" w:space="0" w:color="auto"/>
          </w:divBdr>
          <w:divsChild>
            <w:div w:id="386534546">
              <w:marLeft w:val="0"/>
              <w:marRight w:val="0"/>
              <w:marTop w:val="0"/>
              <w:marBottom w:val="0"/>
              <w:divBdr>
                <w:top w:val="none" w:sz="0" w:space="0" w:color="auto"/>
                <w:left w:val="none" w:sz="0" w:space="0" w:color="auto"/>
                <w:bottom w:val="none" w:sz="0" w:space="0" w:color="auto"/>
                <w:right w:val="none" w:sz="0" w:space="0" w:color="auto"/>
              </w:divBdr>
            </w:div>
            <w:div w:id="1873225086">
              <w:marLeft w:val="0"/>
              <w:marRight w:val="0"/>
              <w:marTop w:val="0"/>
              <w:marBottom w:val="0"/>
              <w:divBdr>
                <w:top w:val="none" w:sz="0" w:space="0" w:color="auto"/>
                <w:left w:val="none" w:sz="0" w:space="0" w:color="auto"/>
                <w:bottom w:val="none" w:sz="0" w:space="0" w:color="auto"/>
                <w:right w:val="none" w:sz="0" w:space="0" w:color="auto"/>
              </w:divBdr>
            </w:div>
          </w:divsChild>
        </w:div>
        <w:div w:id="1863128928">
          <w:marLeft w:val="0"/>
          <w:marRight w:val="0"/>
          <w:marTop w:val="0"/>
          <w:marBottom w:val="0"/>
          <w:divBdr>
            <w:top w:val="none" w:sz="0" w:space="0" w:color="auto"/>
            <w:left w:val="none" w:sz="0" w:space="0" w:color="auto"/>
            <w:bottom w:val="none" w:sz="0" w:space="0" w:color="auto"/>
            <w:right w:val="none" w:sz="0" w:space="0" w:color="auto"/>
          </w:divBdr>
          <w:divsChild>
            <w:div w:id="273635484">
              <w:marLeft w:val="0"/>
              <w:marRight w:val="0"/>
              <w:marTop w:val="0"/>
              <w:marBottom w:val="0"/>
              <w:divBdr>
                <w:top w:val="none" w:sz="0" w:space="0" w:color="auto"/>
                <w:left w:val="none" w:sz="0" w:space="0" w:color="auto"/>
                <w:bottom w:val="none" w:sz="0" w:space="0" w:color="auto"/>
                <w:right w:val="none" w:sz="0" w:space="0" w:color="auto"/>
              </w:divBdr>
            </w:div>
            <w:div w:id="213347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923070">
      <w:bodyDiv w:val="1"/>
      <w:marLeft w:val="0"/>
      <w:marRight w:val="0"/>
      <w:marTop w:val="0"/>
      <w:marBottom w:val="0"/>
      <w:divBdr>
        <w:top w:val="none" w:sz="0" w:space="0" w:color="auto"/>
        <w:left w:val="none" w:sz="0" w:space="0" w:color="auto"/>
        <w:bottom w:val="none" w:sz="0" w:space="0" w:color="auto"/>
        <w:right w:val="none" w:sz="0" w:space="0" w:color="auto"/>
      </w:divBdr>
      <w:divsChild>
        <w:div w:id="73816566">
          <w:marLeft w:val="0"/>
          <w:marRight w:val="0"/>
          <w:marTop w:val="0"/>
          <w:marBottom w:val="0"/>
          <w:divBdr>
            <w:top w:val="none" w:sz="0" w:space="0" w:color="auto"/>
            <w:left w:val="none" w:sz="0" w:space="0" w:color="auto"/>
            <w:bottom w:val="none" w:sz="0" w:space="0" w:color="auto"/>
            <w:right w:val="none" w:sz="0" w:space="0" w:color="auto"/>
          </w:divBdr>
        </w:div>
        <w:div w:id="115805529">
          <w:marLeft w:val="0"/>
          <w:marRight w:val="0"/>
          <w:marTop w:val="0"/>
          <w:marBottom w:val="0"/>
          <w:divBdr>
            <w:top w:val="none" w:sz="0" w:space="0" w:color="auto"/>
            <w:left w:val="none" w:sz="0" w:space="0" w:color="auto"/>
            <w:bottom w:val="none" w:sz="0" w:space="0" w:color="auto"/>
            <w:right w:val="none" w:sz="0" w:space="0" w:color="auto"/>
          </w:divBdr>
        </w:div>
        <w:div w:id="1353458630">
          <w:marLeft w:val="0"/>
          <w:marRight w:val="0"/>
          <w:marTop w:val="0"/>
          <w:marBottom w:val="0"/>
          <w:divBdr>
            <w:top w:val="none" w:sz="0" w:space="0" w:color="auto"/>
            <w:left w:val="none" w:sz="0" w:space="0" w:color="auto"/>
            <w:bottom w:val="none" w:sz="0" w:space="0" w:color="auto"/>
            <w:right w:val="none" w:sz="0" w:space="0" w:color="auto"/>
          </w:divBdr>
        </w:div>
        <w:div w:id="1359353993">
          <w:marLeft w:val="0"/>
          <w:marRight w:val="0"/>
          <w:marTop w:val="0"/>
          <w:marBottom w:val="0"/>
          <w:divBdr>
            <w:top w:val="none" w:sz="0" w:space="0" w:color="auto"/>
            <w:left w:val="none" w:sz="0" w:space="0" w:color="auto"/>
            <w:bottom w:val="none" w:sz="0" w:space="0" w:color="auto"/>
            <w:right w:val="none" w:sz="0" w:space="0" w:color="auto"/>
          </w:divBdr>
        </w:div>
      </w:divsChild>
    </w:div>
    <w:div w:id="1608778785">
      <w:bodyDiv w:val="1"/>
      <w:marLeft w:val="0"/>
      <w:marRight w:val="0"/>
      <w:marTop w:val="0"/>
      <w:marBottom w:val="0"/>
      <w:divBdr>
        <w:top w:val="none" w:sz="0" w:space="0" w:color="auto"/>
        <w:left w:val="none" w:sz="0" w:space="0" w:color="auto"/>
        <w:bottom w:val="none" w:sz="0" w:space="0" w:color="auto"/>
        <w:right w:val="none" w:sz="0" w:space="0" w:color="auto"/>
      </w:divBdr>
      <w:divsChild>
        <w:div w:id="450132371">
          <w:marLeft w:val="0"/>
          <w:marRight w:val="0"/>
          <w:marTop w:val="0"/>
          <w:marBottom w:val="0"/>
          <w:divBdr>
            <w:top w:val="none" w:sz="0" w:space="0" w:color="auto"/>
            <w:left w:val="none" w:sz="0" w:space="0" w:color="auto"/>
            <w:bottom w:val="none" w:sz="0" w:space="0" w:color="auto"/>
            <w:right w:val="none" w:sz="0" w:space="0" w:color="auto"/>
          </w:divBdr>
        </w:div>
        <w:div w:id="565605283">
          <w:marLeft w:val="0"/>
          <w:marRight w:val="0"/>
          <w:marTop w:val="0"/>
          <w:marBottom w:val="0"/>
          <w:divBdr>
            <w:top w:val="none" w:sz="0" w:space="0" w:color="auto"/>
            <w:left w:val="none" w:sz="0" w:space="0" w:color="auto"/>
            <w:bottom w:val="none" w:sz="0" w:space="0" w:color="auto"/>
            <w:right w:val="none" w:sz="0" w:space="0" w:color="auto"/>
          </w:divBdr>
        </w:div>
        <w:div w:id="724571891">
          <w:marLeft w:val="0"/>
          <w:marRight w:val="0"/>
          <w:marTop w:val="0"/>
          <w:marBottom w:val="0"/>
          <w:divBdr>
            <w:top w:val="none" w:sz="0" w:space="0" w:color="auto"/>
            <w:left w:val="none" w:sz="0" w:space="0" w:color="auto"/>
            <w:bottom w:val="none" w:sz="0" w:space="0" w:color="auto"/>
            <w:right w:val="none" w:sz="0" w:space="0" w:color="auto"/>
          </w:divBdr>
        </w:div>
        <w:div w:id="1498035825">
          <w:marLeft w:val="0"/>
          <w:marRight w:val="0"/>
          <w:marTop w:val="0"/>
          <w:marBottom w:val="0"/>
          <w:divBdr>
            <w:top w:val="none" w:sz="0" w:space="0" w:color="auto"/>
            <w:left w:val="none" w:sz="0" w:space="0" w:color="auto"/>
            <w:bottom w:val="none" w:sz="0" w:space="0" w:color="auto"/>
            <w:right w:val="none" w:sz="0" w:space="0" w:color="auto"/>
          </w:divBdr>
        </w:div>
        <w:div w:id="1666785061">
          <w:marLeft w:val="0"/>
          <w:marRight w:val="0"/>
          <w:marTop w:val="0"/>
          <w:marBottom w:val="0"/>
          <w:divBdr>
            <w:top w:val="none" w:sz="0" w:space="0" w:color="auto"/>
            <w:left w:val="none" w:sz="0" w:space="0" w:color="auto"/>
            <w:bottom w:val="none" w:sz="0" w:space="0" w:color="auto"/>
            <w:right w:val="none" w:sz="0" w:space="0" w:color="auto"/>
          </w:divBdr>
        </w:div>
        <w:div w:id="1844589184">
          <w:marLeft w:val="0"/>
          <w:marRight w:val="0"/>
          <w:marTop w:val="0"/>
          <w:marBottom w:val="0"/>
          <w:divBdr>
            <w:top w:val="none" w:sz="0" w:space="0" w:color="auto"/>
            <w:left w:val="none" w:sz="0" w:space="0" w:color="auto"/>
            <w:bottom w:val="none" w:sz="0" w:space="0" w:color="auto"/>
            <w:right w:val="none" w:sz="0" w:space="0" w:color="auto"/>
          </w:divBdr>
        </w:div>
        <w:div w:id="2010714108">
          <w:marLeft w:val="0"/>
          <w:marRight w:val="0"/>
          <w:marTop w:val="0"/>
          <w:marBottom w:val="0"/>
          <w:divBdr>
            <w:top w:val="none" w:sz="0" w:space="0" w:color="auto"/>
            <w:left w:val="none" w:sz="0" w:space="0" w:color="auto"/>
            <w:bottom w:val="none" w:sz="0" w:space="0" w:color="auto"/>
            <w:right w:val="none" w:sz="0" w:space="0" w:color="auto"/>
          </w:divBdr>
        </w:div>
      </w:divsChild>
    </w:div>
    <w:div w:id="1777021739">
      <w:bodyDiv w:val="1"/>
      <w:marLeft w:val="0"/>
      <w:marRight w:val="0"/>
      <w:marTop w:val="0"/>
      <w:marBottom w:val="0"/>
      <w:divBdr>
        <w:top w:val="none" w:sz="0" w:space="0" w:color="auto"/>
        <w:left w:val="none" w:sz="0" w:space="0" w:color="auto"/>
        <w:bottom w:val="none" w:sz="0" w:space="0" w:color="auto"/>
        <w:right w:val="none" w:sz="0" w:space="0" w:color="auto"/>
      </w:divBdr>
      <w:divsChild>
        <w:div w:id="30109675">
          <w:marLeft w:val="0"/>
          <w:marRight w:val="0"/>
          <w:marTop w:val="0"/>
          <w:marBottom w:val="0"/>
          <w:divBdr>
            <w:top w:val="none" w:sz="0" w:space="0" w:color="auto"/>
            <w:left w:val="none" w:sz="0" w:space="0" w:color="auto"/>
            <w:bottom w:val="none" w:sz="0" w:space="0" w:color="auto"/>
            <w:right w:val="none" w:sz="0" w:space="0" w:color="auto"/>
          </w:divBdr>
        </w:div>
        <w:div w:id="100148811">
          <w:marLeft w:val="0"/>
          <w:marRight w:val="0"/>
          <w:marTop w:val="0"/>
          <w:marBottom w:val="0"/>
          <w:divBdr>
            <w:top w:val="none" w:sz="0" w:space="0" w:color="auto"/>
            <w:left w:val="none" w:sz="0" w:space="0" w:color="auto"/>
            <w:bottom w:val="none" w:sz="0" w:space="0" w:color="auto"/>
            <w:right w:val="none" w:sz="0" w:space="0" w:color="auto"/>
          </w:divBdr>
        </w:div>
        <w:div w:id="246816472">
          <w:marLeft w:val="0"/>
          <w:marRight w:val="0"/>
          <w:marTop w:val="0"/>
          <w:marBottom w:val="0"/>
          <w:divBdr>
            <w:top w:val="none" w:sz="0" w:space="0" w:color="auto"/>
            <w:left w:val="none" w:sz="0" w:space="0" w:color="auto"/>
            <w:bottom w:val="none" w:sz="0" w:space="0" w:color="auto"/>
            <w:right w:val="none" w:sz="0" w:space="0" w:color="auto"/>
          </w:divBdr>
        </w:div>
        <w:div w:id="265886932">
          <w:marLeft w:val="0"/>
          <w:marRight w:val="0"/>
          <w:marTop w:val="0"/>
          <w:marBottom w:val="0"/>
          <w:divBdr>
            <w:top w:val="none" w:sz="0" w:space="0" w:color="auto"/>
            <w:left w:val="none" w:sz="0" w:space="0" w:color="auto"/>
            <w:bottom w:val="none" w:sz="0" w:space="0" w:color="auto"/>
            <w:right w:val="none" w:sz="0" w:space="0" w:color="auto"/>
          </w:divBdr>
        </w:div>
        <w:div w:id="376273682">
          <w:marLeft w:val="0"/>
          <w:marRight w:val="0"/>
          <w:marTop w:val="0"/>
          <w:marBottom w:val="0"/>
          <w:divBdr>
            <w:top w:val="none" w:sz="0" w:space="0" w:color="auto"/>
            <w:left w:val="none" w:sz="0" w:space="0" w:color="auto"/>
            <w:bottom w:val="none" w:sz="0" w:space="0" w:color="auto"/>
            <w:right w:val="none" w:sz="0" w:space="0" w:color="auto"/>
          </w:divBdr>
        </w:div>
        <w:div w:id="392312611">
          <w:marLeft w:val="0"/>
          <w:marRight w:val="0"/>
          <w:marTop w:val="0"/>
          <w:marBottom w:val="0"/>
          <w:divBdr>
            <w:top w:val="none" w:sz="0" w:space="0" w:color="auto"/>
            <w:left w:val="none" w:sz="0" w:space="0" w:color="auto"/>
            <w:bottom w:val="none" w:sz="0" w:space="0" w:color="auto"/>
            <w:right w:val="none" w:sz="0" w:space="0" w:color="auto"/>
          </w:divBdr>
        </w:div>
        <w:div w:id="746999409">
          <w:marLeft w:val="0"/>
          <w:marRight w:val="0"/>
          <w:marTop w:val="0"/>
          <w:marBottom w:val="0"/>
          <w:divBdr>
            <w:top w:val="none" w:sz="0" w:space="0" w:color="auto"/>
            <w:left w:val="none" w:sz="0" w:space="0" w:color="auto"/>
            <w:bottom w:val="none" w:sz="0" w:space="0" w:color="auto"/>
            <w:right w:val="none" w:sz="0" w:space="0" w:color="auto"/>
          </w:divBdr>
        </w:div>
        <w:div w:id="1268195896">
          <w:marLeft w:val="0"/>
          <w:marRight w:val="0"/>
          <w:marTop w:val="0"/>
          <w:marBottom w:val="0"/>
          <w:divBdr>
            <w:top w:val="none" w:sz="0" w:space="0" w:color="auto"/>
            <w:left w:val="none" w:sz="0" w:space="0" w:color="auto"/>
            <w:bottom w:val="none" w:sz="0" w:space="0" w:color="auto"/>
            <w:right w:val="none" w:sz="0" w:space="0" w:color="auto"/>
          </w:divBdr>
        </w:div>
        <w:div w:id="1348679153">
          <w:marLeft w:val="0"/>
          <w:marRight w:val="0"/>
          <w:marTop w:val="0"/>
          <w:marBottom w:val="0"/>
          <w:divBdr>
            <w:top w:val="none" w:sz="0" w:space="0" w:color="auto"/>
            <w:left w:val="none" w:sz="0" w:space="0" w:color="auto"/>
            <w:bottom w:val="none" w:sz="0" w:space="0" w:color="auto"/>
            <w:right w:val="none" w:sz="0" w:space="0" w:color="auto"/>
          </w:divBdr>
        </w:div>
        <w:div w:id="1381781636">
          <w:marLeft w:val="0"/>
          <w:marRight w:val="0"/>
          <w:marTop w:val="0"/>
          <w:marBottom w:val="0"/>
          <w:divBdr>
            <w:top w:val="none" w:sz="0" w:space="0" w:color="auto"/>
            <w:left w:val="none" w:sz="0" w:space="0" w:color="auto"/>
            <w:bottom w:val="none" w:sz="0" w:space="0" w:color="auto"/>
            <w:right w:val="none" w:sz="0" w:space="0" w:color="auto"/>
          </w:divBdr>
        </w:div>
        <w:div w:id="1992980652">
          <w:marLeft w:val="0"/>
          <w:marRight w:val="0"/>
          <w:marTop w:val="0"/>
          <w:marBottom w:val="0"/>
          <w:divBdr>
            <w:top w:val="none" w:sz="0" w:space="0" w:color="auto"/>
            <w:left w:val="none" w:sz="0" w:space="0" w:color="auto"/>
            <w:bottom w:val="none" w:sz="0" w:space="0" w:color="auto"/>
            <w:right w:val="none" w:sz="0" w:space="0" w:color="auto"/>
          </w:divBdr>
        </w:div>
        <w:div w:id="1996908885">
          <w:marLeft w:val="0"/>
          <w:marRight w:val="0"/>
          <w:marTop w:val="0"/>
          <w:marBottom w:val="0"/>
          <w:divBdr>
            <w:top w:val="none" w:sz="0" w:space="0" w:color="auto"/>
            <w:left w:val="none" w:sz="0" w:space="0" w:color="auto"/>
            <w:bottom w:val="none" w:sz="0" w:space="0" w:color="auto"/>
            <w:right w:val="none" w:sz="0" w:space="0" w:color="auto"/>
          </w:divBdr>
          <w:divsChild>
            <w:div w:id="1956978009">
              <w:marLeft w:val="-75"/>
              <w:marRight w:val="0"/>
              <w:marTop w:val="30"/>
              <w:marBottom w:val="30"/>
              <w:divBdr>
                <w:top w:val="none" w:sz="0" w:space="0" w:color="auto"/>
                <w:left w:val="none" w:sz="0" w:space="0" w:color="auto"/>
                <w:bottom w:val="none" w:sz="0" w:space="0" w:color="auto"/>
                <w:right w:val="none" w:sz="0" w:space="0" w:color="auto"/>
              </w:divBdr>
              <w:divsChild>
                <w:div w:id="101727296">
                  <w:marLeft w:val="0"/>
                  <w:marRight w:val="0"/>
                  <w:marTop w:val="0"/>
                  <w:marBottom w:val="0"/>
                  <w:divBdr>
                    <w:top w:val="none" w:sz="0" w:space="0" w:color="auto"/>
                    <w:left w:val="none" w:sz="0" w:space="0" w:color="auto"/>
                    <w:bottom w:val="none" w:sz="0" w:space="0" w:color="auto"/>
                    <w:right w:val="none" w:sz="0" w:space="0" w:color="auto"/>
                  </w:divBdr>
                  <w:divsChild>
                    <w:div w:id="1378702309">
                      <w:marLeft w:val="0"/>
                      <w:marRight w:val="0"/>
                      <w:marTop w:val="0"/>
                      <w:marBottom w:val="0"/>
                      <w:divBdr>
                        <w:top w:val="none" w:sz="0" w:space="0" w:color="auto"/>
                        <w:left w:val="none" w:sz="0" w:space="0" w:color="auto"/>
                        <w:bottom w:val="none" w:sz="0" w:space="0" w:color="auto"/>
                        <w:right w:val="none" w:sz="0" w:space="0" w:color="auto"/>
                      </w:divBdr>
                    </w:div>
                  </w:divsChild>
                </w:div>
                <w:div w:id="101733431">
                  <w:marLeft w:val="0"/>
                  <w:marRight w:val="0"/>
                  <w:marTop w:val="0"/>
                  <w:marBottom w:val="0"/>
                  <w:divBdr>
                    <w:top w:val="none" w:sz="0" w:space="0" w:color="auto"/>
                    <w:left w:val="none" w:sz="0" w:space="0" w:color="auto"/>
                    <w:bottom w:val="none" w:sz="0" w:space="0" w:color="auto"/>
                    <w:right w:val="none" w:sz="0" w:space="0" w:color="auto"/>
                  </w:divBdr>
                  <w:divsChild>
                    <w:div w:id="1124537886">
                      <w:marLeft w:val="0"/>
                      <w:marRight w:val="0"/>
                      <w:marTop w:val="0"/>
                      <w:marBottom w:val="0"/>
                      <w:divBdr>
                        <w:top w:val="none" w:sz="0" w:space="0" w:color="auto"/>
                        <w:left w:val="none" w:sz="0" w:space="0" w:color="auto"/>
                        <w:bottom w:val="none" w:sz="0" w:space="0" w:color="auto"/>
                        <w:right w:val="none" w:sz="0" w:space="0" w:color="auto"/>
                      </w:divBdr>
                    </w:div>
                  </w:divsChild>
                </w:div>
                <w:div w:id="104230212">
                  <w:marLeft w:val="0"/>
                  <w:marRight w:val="0"/>
                  <w:marTop w:val="0"/>
                  <w:marBottom w:val="0"/>
                  <w:divBdr>
                    <w:top w:val="none" w:sz="0" w:space="0" w:color="auto"/>
                    <w:left w:val="none" w:sz="0" w:space="0" w:color="auto"/>
                    <w:bottom w:val="none" w:sz="0" w:space="0" w:color="auto"/>
                    <w:right w:val="none" w:sz="0" w:space="0" w:color="auto"/>
                  </w:divBdr>
                  <w:divsChild>
                    <w:div w:id="1996908658">
                      <w:marLeft w:val="0"/>
                      <w:marRight w:val="0"/>
                      <w:marTop w:val="0"/>
                      <w:marBottom w:val="0"/>
                      <w:divBdr>
                        <w:top w:val="none" w:sz="0" w:space="0" w:color="auto"/>
                        <w:left w:val="none" w:sz="0" w:space="0" w:color="auto"/>
                        <w:bottom w:val="none" w:sz="0" w:space="0" w:color="auto"/>
                        <w:right w:val="none" w:sz="0" w:space="0" w:color="auto"/>
                      </w:divBdr>
                    </w:div>
                  </w:divsChild>
                </w:div>
                <w:div w:id="146094367">
                  <w:marLeft w:val="0"/>
                  <w:marRight w:val="0"/>
                  <w:marTop w:val="0"/>
                  <w:marBottom w:val="0"/>
                  <w:divBdr>
                    <w:top w:val="none" w:sz="0" w:space="0" w:color="auto"/>
                    <w:left w:val="none" w:sz="0" w:space="0" w:color="auto"/>
                    <w:bottom w:val="none" w:sz="0" w:space="0" w:color="auto"/>
                    <w:right w:val="none" w:sz="0" w:space="0" w:color="auto"/>
                  </w:divBdr>
                  <w:divsChild>
                    <w:div w:id="1599287466">
                      <w:marLeft w:val="0"/>
                      <w:marRight w:val="0"/>
                      <w:marTop w:val="0"/>
                      <w:marBottom w:val="0"/>
                      <w:divBdr>
                        <w:top w:val="none" w:sz="0" w:space="0" w:color="auto"/>
                        <w:left w:val="none" w:sz="0" w:space="0" w:color="auto"/>
                        <w:bottom w:val="none" w:sz="0" w:space="0" w:color="auto"/>
                        <w:right w:val="none" w:sz="0" w:space="0" w:color="auto"/>
                      </w:divBdr>
                    </w:div>
                  </w:divsChild>
                </w:div>
                <w:div w:id="146671025">
                  <w:marLeft w:val="0"/>
                  <w:marRight w:val="0"/>
                  <w:marTop w:val="0"/>
                  <w:marBottom w:val="0"/>
                  <w:divBdr>
                    <w:top w:val="none" w:sz="0" w:space="0" w:color="auto"/>
                    <w:left w:val="none" w:sz="0" w:space="0" w:color="auto"/>
                    <w:bottom w:val="none" w:sz="0" w:space="0" w:color="auto"/>
                    <w:right w:val="none" w:sz="0" w:space="0" w:color="auto"/>
                  </w:divBdr>
                  <w:divsChild>
                    <w:div w:id="654837847">
                      <w:marLeft w:val="0"/>
                      <w:marRight w:val="0"/>
                      <w:marTop w:val="0"/>
                      <w:marBottom w:val="0"/>
                      <w:divBdr>
                        <w:top w:val="none" w:sz="0" w:space="0" w:color="auto"/>
                        <w:left w:val="none" w:sz="0" w:space="0" w:color="auto"/>
                        <w:bottom w:val="none" w:sz="0" w:space="0" w:color="auto"/>
                        <w:right w:val="none" w:sz="0" w:space="0" w:color="auto"/>
                      </w:divBdr>
                    </w:div>
                  </w:divsChild>
                </w:div>
                <w:div w:id="198709638">
                  <w:marLeft w:val="0"/>
                  <w:marRight w:val="0"/>
                  <w:marTop w:val="0"/>
                  <w:marBottom w:val="0"/>
                  <w:divBdr>
                    <w:top w:val="none" w:sz="0" w:space="0" w:color="auto"/>
                    <w:left w:val="none" w:sz="0" w:space="0" w:color="auto"/>
                    <w:bottom w:val="none" w:sz="0" w:space="0" w:color="auto"/>
                    <w:right w:val="none" w:sz="0" w:space="0" w:color="auto"/>
                  </w:divBdr>
                  <w:divsChild>
                    <w:div w:id="2010253416">
                      <w:marLeft w:val="0"/>
                      <w:marRight w:val="0"/>
                      <w:marTop w:val="0"/>
                      <w:marBottom w:val="0"/>
                      <w:divBdr>
                        <w:top w:val="none" w:sz="0" w:space="0" w:color="auto"/>
                        <w:left w:val="none" w:sz="0" w:space="0" w:color="auto"/>
                        <w:bottom w:val="none" w:sz="0" w:space="0" w:color="auto"/>
                        <w:right w:val="none" w:sz="0" w:space="0" w:color="auto"/>
                      </w:divBdr>
                    </w:div>
                  </w:divsChild>
                </w:div>
                <w:div w:id="309288362">
                  <w:marLeft w:val="0"/>
                  <w:marRight w:val="0"/>
                  <w:marTop w:val="0"/>
                  <w:marBottom w:val="0"/>
                  <w:divBdr>
                    <w:top w:val="none" w:sz="0" w:space="0" w:color="auto"/>
                    <w:left w:val="none" w:sz="0" w:space="0" w:color="auto"/>
                    <w:bottom w:val="none" w:sz="0" w:space="0" w:color="auto"/>
                    <w:right w:val="none" w:sz="0" w:space="0" w:color="auto"/>
                  </w:divBdr>
                  <w:divsChild>
                    <w:div w:id="1116021846">
                      <w:marLeft w:val="0"/>
                      <w:marRight w:val="0"/>
                      <w:marTop w:val="0"/>
                      <w:marBottom w:val="0"/>
                      <w:divBdr>
                        <w:top w:val="none" w:sz="0" w:space="0" w:color="auto"/>
                        <w:left w:val="none" w:sz="0" w:space="0" w:color="auto"/>
                        <w:bottom w:val="none" w:sz="0" w:space="0" w:color="auto"/>
                        <w:right w:val="none" w:sz="0" w:space="0" w:color="auto"/>
                      </w:divBdr>
                    </w:div>
                  </w:divsChild>
                </w:div>
                <w:div w:id="343096956">
                  <w:marLeft w:val="0"/>
                  <w:marRight w:val="0"/>
                  <w:marTop w:val="0"/>
                  <w:marBottom w:val="0"/>
                  <w:divBdr>
                    <w:top w:val="none" w:sz="0" w:space="0" w:color="auto"/>
                    <w:left w:val="none" w:sz="0" w:space="0" w:color="auto"/>
                    <w:bottom w:val="none" w:sz="0" w:space="0" w:color="auto"/>
                    <w:right w:val="none" w:sz="0" w:space="0" w:color="auto"/>
                  </w:divBdr>
                  <w:divsChild>
                    <w:div w:id="1784877978">
                      <w:marLeft w:val="0"/>
                      <w:marRight w:val="0"/>
                      <w:marTop w:val="0"/>
                      <w:marBottom w:val="0"/>
                      <w:divBdr>
                        <w:top w:val="none" w:sz="0" w:space="0" w:color="auto"/>
                        <w:left w:val="none" w:sz="0" w:space="0" w:color="auto"/>
                        <w:bottom w:val="none" w:sz="0" w:space="0" w:color="auto"/>
                        <w:right w:val="none" w:sz="0" w:space="0" w:color="auto"/>
                      </w:divBdr>
                    </w:div>
                  </w:divsChild>
                </w:div>
                <w:div w:id="369840580">
                  <w:marLeft w:val="0"/>
                  <w:marRight w:val="0"/>
                  <w:marTop w:val="0"/>
                  <w:marBottom w:val="0"/>
                  <w:divBdr>
                    <w:top w:val="none" w:sz="0" w:space="0" w:color="auto"/>
                    <w:left w:val="none" w:sz="0" w:space="0" w:color="auto"/>
                    <w:bottom w:val="none" w:sz="0" w:space="0" w:color="auto"/>
                    <w:right w:val="none" w:sz="0" w:space="0" w:color="auto"/>
                  </w:divBdr>
                  <w:divsChild>
                    <w:div w:id="324357943">
                      <w:marLeft w:val="0"/>
                      <w:marRight w:val="0"/>
                      <w:marTop w:val="0"/>
                      <w:marBottom w:val="0"/>
                      <w:divBdr>
                        <w:top w:val="none" w:sz="0" w:space="0" w:color="auto"/>
                        <w:left w:val="none" w:sz="0" w:space="0" w:color="auto"/>
                        <w:bottom w:val="none" w:sz="0" w:space="0" w:color="auto"/>
                        <w:right w:val="none" w:sz="0" w:space="0" w:color="auto"/>
                      </w:divBdr>
                    </w:div>
                  </w:divsChild>
                </w:div>
                <w:div w:id="388653680">
                  <w:marLeft w:val="0"/>
                  <w:marRight w:val="0"/>
                  <w:marTop w:val="0"/>
                  <w:marBottom w:val="0"/>
                  <w:divBdr>
                    <w:top w:val="none" w:sz="0" w:space="0" w:color="auto"/>
                    <w:left w:val="none" w:sz="0" w:space="0" w:color="auto"/>
                    <w:bottom w:val="none" w:sz="0" w:space="0" w:color="auto"/>
                    <w:right w:val="none" w:sz="0" w:space="0" w:color="auto"/>
                  </w:divBdr>
                  <w:divsChild>
                    <w:div w:id="843394085">
                      <w:marLeft w:val="0"/>
                      <w:marRight w:val="0"/>
                      <w:marTop w:val="0"/>
                      <w:marBottom w:val="0"/>
                      <w:divBdr>
                        <w:top w:val="none" w:sz="0" w:space="0" w:color="auto"/>
                        <w:left w:val="none" w:sz="0" w:space="0" w:color="auto"/>
                        <w:bottom w:val="none" w:sz="0" w:space="0" w:color="auto"/>
                        <w:right w:val="none" w:sz="0" w:space="0" w:color="auto"/>
                      </w:divBdr>
                    </w:div>
                  </w:divsChild>
                </w:div>
                <w:div w:id="412512396">
                  <w:marLeft w:val="0"/>
                  <w:marRight w:val="0"/>
                  <w:marTop w:val="0"/>
                  <w:marBottom w:val="0"/>
                  <w:divBdr>
                    <w:top w:val="none" w:sz="0" w:space="0" w:color="auto"/>
                    <w:left w:val="none" w:sz="0" w:space="0" w:color="auto"/>
                    <w:bottom w:val="none" w:sz="0" w:space="0" w:color="auto"/>
                    <w:right w:val="none" w:sz="0" w:space="0" w:color="auto"/>
                  </w:divBdr>
                  <w:divsChild>
                    <w:div w:id="1322662753">
                      <w:marLeft w:val="0"/>
                      <w:marRight w:val="0"/>
                      <w:marTop w:val="0"/>
                      <w:marBottom w:val="0"/>
                      <w:divBdr>
                        <w:top w:val="none" w:sz="0" w:space="0" w:color="auto"/>
                        <w:left w:val="none" w:sz="0" w:space="0" w:color="auto"/>
                        <w:bottom w:val="none" w:sz="0" w:space="0" w:color="auto"/>
                        <w:right w:val="none" w:sz="0" w:space="0" w:color="auto"/>
                      </w:divBdr>
                    </w:div>
                  </w:divsChild>
                </w:div>
                <w:div w:id="435291937">
                  <w:marLeft w:val="0"/>
                  <w:marRight w:val="0"/>
                  <w:marTop w:val="0"/>
                  <w:marBottom w:val="0"/>
                  <w:divBdr>
                    <w:top w:val="none" w:sz="0" w:space="0" w:color="auto"/>
                    <w:left w:val="none" w:sz="0" w:space="0" w:color="auto"/>
                    <w:bottom w:val="none" w:sz="0" w:space="0" w:color="auto"/>
                    <w:right w:val="none" w:sz="0" w:space="0" w:color="auto"/>
                  </w:divBdr>
                  <w:divsChild>
                    <w:div w:id="2135322506">
                      <w:marLeft w:val="0"/>
                      <w:marRight w:val="0"/>
                      <w:marTop w:val="0"/>
                      <w:marBottom w:val="0"/>
                      <w:divBdr>
                        <w:top w:val="none" w:sz="0" w:space="0" w:color="auto"/>
                        <w:left w:val="none" w:sz="0" w:space="0" w:color="auto"/>
                        <w:bottom w:val="none" w:sz="0" w:space="0" w:color="auto"/>
                        <w:right w:val="none" w:sz="0" w:space="0" w:color="auto"/>
                      </w:divBdr>
                    </w:div>
                  </w:divsChild>
                </w:div>
                <w:div w:id="446461733">
                  <w:marLeft w:val="0"/>
                  <w:marRight w:val="0"/>
                  <w:marTop w:val="0"/>
                  <w:marBottom w:val="0"/>
                  <w:divBdr>
                    <w:top w:val="none" w:sz="0" w:space="0" w:color="auto"/>
                    <w:left w:val="none" w:sz="0" w:space="0" w:color="auto"/>
                    <w:bottom w:val="none" w:sz="0" w:space="0" w:color="auto"/>
                    <w:right w:val="none" w:sz="0" w:space="0" w:color="auto"/>
                  </w:divBdr>
                  <w:divsChild>
                    <w:div w:id="239993026">
                      <w:marLeft w:val="0"/>
                      <w:marRight w:val="0"/>
                      <w:marTop w:val="0"/>
                      <w:marBottom w:val="0"/>
                      <w:divBdr>
                        <w:top w:val="none" w:sz="0" w:space="0" w:color="auto"/>
                        <w:left w:val="none" w:sz="0" w:space="0" w:color="auto"/>
                        <w:bottom w:val="none" w:sz="0" w:space="0" w:color="auto"/>
                        <w:right w:val="none" w:sz="0" w:space="0" w:color="auto"/>
                      </w:divBdr>
                    </w:div>
                  </w:divsChild>
                </w:div>
                <w:div w:id="509683846">
                  <w:marLeft w:val="0"/>
                  <w:marRight w:val="0"/>
                  <w:marTop w:val="0"/>
                  <w:marBottom w:val="0"/>
                  <w:divBdr>
                    <w:top w:val="none" w:sz="0" w:space="0" w:color="auto"/>
                    <w:left w:val="none" w:sz="0" w:space="0" w:color="auto"/>
                    <w:bottom w:val="none" w:sz="0" w:space="0" w:color="auto"/>
                    <w:right w:val="none" w:sz="0" w:space="0" w:color="auto"/>
                  </w:divBdr>
                  <w:divsChild>
                    <w:div w:id="2127891961">
                      <w:marLeft w:val="0"/>
                      <w:marRight w:val="0"/>
                      <w:marTop w:val="0"/>
                      <w:marBottom w:val="0"/>
                      <w:divBdr>
                        <w:top w:val="none" w:sz="0" w:space="0" w:color="auto"/>
                        <w:left w:val="none" w:sz="0" w:space="0" w:color="auto"/>
                        <w:bottom w:val="none" w:sz="0" w:space="0" w:color="auto"/>
                        <w:right w:val="none" w:sz="0" w:space="0" w:color="auto"/>
                      </w:divBdr>
                    </w:div>
                  </w:divsChild>
                </w:div>
                <w:div w:id="527529748">
                  <w:marLeft w:val="0"/>
                  <w:marRight w:val="0"/>
                  <w:marTop w:val="0"/>
                  <w:marBottom w:val="0"/>
                  <w:divBdr>
                    <w:top w:val="none" w:sz="0" w:space="0" w:color="auto"/>
                    <w:left w:val="none" w:sz="0" w:space="0" w:color="auto"/>
                    <w:bottom w:val="none" w:sz="0" w:space="0" w:color="auto"/>
                    <w:right w:val="none" w:sz="0" w:space="0" w:color="auto"/>
                  </w:divBdr>
                  <w:divsChild>
                    <w:div w:id="1310135341">
                      <w:marLeft w:val="0"/>
                      <w:marRight w:val="0"/>
                      <w:marTop w:val="0"/>
                      <w:marBottom w:val="0"/>
                      <w:divBdr>
                        <w:top w:val="none" w:sz="0" w:space="0" w:color="auto"/>
                        <w:left w:val="none" w:sz="0" w:space="0" w:color="auto"/>
                        <w:bottom w:val="none" w:sz="0" w:space="0" w:color="auto"/>
                        <w:right w:val="none" w:sz="0" w:space="0" w:color="auto"/>
                      </w:divBdr>
                    </w:div>
                  </w:divsChild>
                </w:div>
                <w:div w:id="633218951">
                  <w:marLeft w:val="0"/>
                  <w:marRight w:val="0"/>
                  <w:marTop w:val="0"/>
                  <w:marBottom w:val="0"/>
                  <w:divBdr>
                    <w:top w:val="none" w:sz="0" w:space="0" w:color="auto"/>
                    <w:left w:val="none" w:sz="0" w:space="0" w:color="auto"/>
                    <w:bottom w:val="none" w:sz="0" w:space="0" w:color="auto"/>
                    <w:right w:val="none" w:sz="0" w:space="0" w:color="auto"/>
                  </w:divBdr>
                  <w:divsChild>
                    <w:div w:id="1978413157">
                      <w:marLeft w:val="0"/>
                      <w:marRight w:val="0"/>
                      <w:marTop w:val="0"/>
                      <w:marBottom w:val="0"/>
                      <w:divBdr>
                        <w:top w:val="none" w:sz="0" w:space="0" w:color="auto"/>
                        <w:left w:val="none" w:sz="0" w:space="0" w:color="auto"/>
                        <w:bottom w:val="none" w:sz="0" w:space="0" w:color="auto"/>
                        <w:right w:val="none" w:sz="0" w:space="0" w:color="auto"/>
                      </w:divBdr>
                    </w:div>
                  </w:divsChild>
                </w:div>
                <w:div w:id="636185829">
                  <w:marLeft w:val="0"/>
                  <w:marRight w:val="0"/>
                  <w:marTop w:val="0"/>
                  <w:marBottom w:val="0"/>
                  <w:divBdr>
                    <w:top w:val="none" w:sz="0" w:space="0" w:color="auto"/>
                    <w:left w:val="none" w:sz="0" w:space="0" w:color="auto"/>
                    <w:bottom w:val="none" w:sz="0" w:space="0" w:color="auto"/>
                    <w:right w:val="none" w:sz="0" w:space="0" w:color="auto"/>
                  </w:divBdr>
                  <w:divsChild>
                    <w:div w:id="1780448145">
                      <w:marLeft w:val="0"/>
                      <w:marRight w:val="0"/>
                      <w:marTop w:val="0"/>
                      <w:marBottom w:val="0"/>
                      <w:divBdr>
                        <w:top w:val="none" w:sz="0" w:space="0" w:color="auto"/>
                        <w:left w:val="none" w:sz="0" w:space="0" w:color="auto"/>
                        <w:bottom w:val="none" w:sz="0" w:space="0" w:color="auto"/>
                        <w:right w:val="none" w:sz="0" w:space="0" w:color="auto"/>
                      </w:divBdr>
                    </w:div>
                  </w:divsChild>
                </w:div>
                <w:div w:id="678310531">
                  <w:marLeft w:val="0"/>
                  <w:marRight w:val="0"/>
                  <w:marTop w:val="0"/>
                  <w:marBottom w:val="0"/>
                  <w:divBdr>
                    <w:top w:val="none" w:sz="0" w:space="0" w:color="auto"/>
                    <w:left w:val="none" w:sz="0" w:space="0" w:color="auto"/>
                    <w:bottom w:val="none" w:sz="0" w:space="0" w:color="auto"/>
                    <w:right w:val="none" w:sz="0" w:space="0" w:color="auto"/>
                  </w:divBdr>
                  <w:divsChild>
                    <w:div w:id="960453172">
                      <w:marLeft w:val="0"/>
                      <w:marRight w:val="0"/>
                      <w:marTop w:val="0"/>
                      <w:marBottom w:val="0"/>
                      <w:divBdr>
                        <w:top w:val="none" w:sz="0" w:space="0" w:color="auto"/>
                        <w:left w:val="none" w:sz="0" w:space="0" w:color="auto"/>
                        <w:bottom w:val="none" w:sz="0" w:space="0" w:color="auto"/>
                        <w:right w:val="none" w:sz="0" w:space="0" w:color="auto"/>
                      </w:divBdr>
                    </w:div>
                  </w:divsChild>
                </w:div>
                <w:div w:id="756631509">
                  <w:marLeft w:val="0"/>
                  <w:marRight w:val="0"/>
                  <w:marTop w:val="0"/>
                  <w:marBottom w:val="0"/>
                  <w:divBdr>
                    <w:top w:val="none" w:sz="0" w:space="0" w:color="auto"/>
                    <w:left w:val="none" w:sz="0" w:space="0" w:color="auto"/>
                    <w:bottom w:val="none" w:sz="0" w:space="0" w:color="auto"/>
                    <w:right w:val="none" w:sz="0" w:space="0" w:color="auto"/>
                  </w:divBdr>
                  <w:divsChild>
                    <w:div w:id="2130975096">
                      <w:marLeft w:val="0"/>
                      <w:marRight w:val="0"/>
                      <w:marTop w:val="0"/>
                      <w:marBottom w:val="0"/>
                      <w:divBdr>
                        <w:top w:val="none" w:sz="0" w:space="0" w:color="auto"/>
                        <w:left w:val="none" w:sz="0" w:space="0" w:color="auto"/>
                        <w:bottom w:val="none" w:sz="0" w:space="0" w:color="auto"/>
                        <w:right w:val="none" w:sz="0" w:space="0" w:color="auto"/>
                      </w:divBdr>
                    </w:div>
                  </w:divsChild>
                </w:div>
                <w:div w:id="766341816">
                  <w:marLeft w:val="0"/>
                  <w:marRight w:val="0"/>
                  <w:marTop w:val="0"/>
                  <w:marBottom w:val="0"/>
                  <w:divBdr>
                    <w:top w:val="none" w:sz="0" w:space="0" w:color="auto"/>
                    <w:left w:val="none" w:sz="0" w:space="0" w:color="auto"/>
                    <w:bottom w:val="none" w:sz="0" w:space="0" w:color="auto"/>
                    <w:right w:val="none" w:sz="0" w:space="0" w:color="auto"/>
                  </w:divBdr>
                  <w:divsChild>
                    <w:div w:id="879973443">
                      <w:marLeft w:val="0"/>
                      <w:marRight w:val="0"/>
                      <w:marTop w:val="0"/>
                      <w:marBottom w:val="0"/>
                      <w:divBdr>
                        <w:top w:val="none" w:sz="0" w:space="0" w:color="auto"/>
                        <w:left w:val="none" w:sz="0" w:space="0" w:color="auto"/>
                        <w:bottom w:val="none" w:sz="0" w:space="0" w:color="auto"/>
                        <w:right w:val="none" w:sz="0" w:space="0" w:color="auto"/>
                      </w:divBdr>
                    </w:div>
                  </w:divsChild>
                </w:div>
                <w:div w:id="811293849">
                  <w:marLeft w:val="0"/>
                  <w:marRight w:val="0"/>
                  <w:marTop w:val="0"/>
                  <w:marBottom w:val="0"/>
                  <w:divBdr>
                    <w:top w:val="none" w:sz="0" w:space="0" w:color="auto"/>
                    <w:left w:val="none" w:sz="0" w:space="0" w:color="auto"/>
                    <w:bottom w:val="none" w:sz="0" w:space="0" w:color="auto"/>
                    <w:right w:val="none" w:sz="0" w:space="0" w:color="auto"/>
                  </w:divBdr>
                  <w:divsChild>
                    <w:div w:id="1557203213">
                      <w:marLeft w:val="0"/>
                      <w:marRight w:val="0"/>
                      <w:marTop w:val="0"/>
                      <w:marBottom w:val="0"/>
                      <w:divBdr>
                        <w:top w:val="none" w:sz="0" w:space="0" w:color="auto"/>
                        <w:left w:val="none" w:sz="0" w:space="0" w:color="auto"/>
                        <w:bottom w:val="none" w:sz="0" w:space="0" w:color="auto"/>
                        <w:right w:val="none" w:sz="0" w:space="0" w:color="auto"/>
                      </w:divBdr>
                    </w:div>
                  </w:divsChild>
                </w:div>
                <w:div w:id="824474016">
                  <w:marLeft w:val="0"/>
                  <w:marRight w:val="0"/>
                  <w:marTop w:val="0"/>
                  <w:marBottom w:val="0"/>
                  <w:divBdr>
                    <w:top w:val="none" w:sz="0" w:space="0" w:color="auto"/>
                    <w:left w:val="none" w:sz="0" w:space="0" w:color="auto"/>
                    <w:bottom w:val="none" w:sz="0" w:space="0" w:color="auto"/>
                    <w:right w:val="none" w:sz="0" w:space="0" w:color="auto"/>
                  </w:divBdr>
                  <w:divsChild>
                    <w:div w:id="1673724596">
                      <w:marLeft w:val="0"/>
                      <w:marRight w:val="0"/>
                      <w:marTop w:val="0"/>
                      <w:marBottom w:val="0"/>
                      <w:divBdr>
                        <w:top w:val="none" w:sz="0" w:space="0" w:color="auto"/>
                        <w:left w:val="none" w:sz="0" w:space="0" w:color="auto"/>
                        <w:bottom w:val="none" w:sz="0" w:space="0" w:color="auto"/>
                        <w:right w:val="none" w:sz="0" w:space="0" w:color="auto"/>
                      </w:divBdr>
                    </w:div>
                  </w:divsChild>
                </w:div>
                <w:div w:id="849369626">
                  <w:marLeft w:val="0"/>
                  <w:marRight w:val="0"/>
                  <w:marTop w:val="0"/>
                  <w:marBottom w:val="0"/>
                  <w:divBdr>
                    <w:top w:val="none" w:sz="0" w:space="0" w:color="auto"/>
                    <w:left w:val="none" w:sz="0" w:space="0" w:color="auto"/>
                    <w:bottom w:val="none" w:sz="0" w:space="0" w:color="auto"/>
                    <w:right w:val="none" w:sz="0" w:space="0" w:color="auto"/>
                  </w:divBdr>
                  <w:divsChild>
                    <w:div w:id="238097140">
                      <w:marLeft w:val="0"/>
                      <w:marRight w:val="0"/>
                      <w:marTop w:val="0"/>
                      <w:marBottom w:val="0"/>
                      <w:divBdr>
                        <w:top w:val="none" w:sz="0" w:space="0" w:color="auto"/>
                        <w:left w:val="none" w:sz="0" w:space="0" w:color="auto"/>
                        <w:bottom w:val="none" w:sz="0" w:space="0" w:color="auto"/>
                        <w:right w:val="none" w:sz="0" w:space="0" w:color="auto"/>
                      </w:divBdr>
                    </w:div>
                  </w:divsChild>
                </w:div>
                <w:div w:id="849417106">
                  <w:marLeft w:val="0"/>
                  <w:marRight w:val="0"/>
                  <w:marTop w:val="0"/>
                  <w:marBottom w:val="0"/>
                  <w:divBdr>
                    <w:top w:val="none" w:sz="0" w:space="0" w:color="auto"/>
                    <w:left w:val="none" w:sz="0" w:space="0" w:color="auto"/>
                    <w:bottom w:val="none" w:sz="0" w:space="0" w:color="auto"/>
                    <w:right w:val="none" w:sz="0" w:space="0" w:color="auto"/>
                  </w:divBdr>
                  <w:divsChild>
                    <w:div w:id="1863129087">
                      <w:marLeft w:val="0"/>
                      <w:marRight w:val="0"/>
                      <w:marTop w:val="0"/>
                      <w:marBottom w:val="0"/>
                      <w:divBdr>
                        <w:top w:val="none" w:sz="0" w:space="0" w:color="auto"/>
                        <w:left w:val="none" w:sz="0" w:space="0" w:color="auto"/>
                        <w:bottom w:val="none" w:sz="0" w:space="0" w:color="auto"/>
                        <w:right w:val="none" w:sz="0" w:space="0" w:color="auto"/>
                      </w:divBdr>
                    </w:div>
                  </w:divsChild>
                </w:div>
                <w:div w:id="852643124">
                  <w:marLeft w:val="0"/>
                  <w:marRight w:val="0"/>
                  <w:marTop w:val="0"/>
                  <w:marBottom w:val="0"/>
                  <w:divBdr>
                    <w:top w:val="none" w:sz="0" w:space="0" w:color="auto"/>
                    <w:left w:val="none" w:sz="0" w:space="0" w:color="auto"/>
                    <w:bottom w:val="none" w:sz="0" w:space="0" w:color="auto"/>
                    <w:right w:val="none" w:sz="0" w:space="0" w:color="auto"/>
                  </w:divBdr>
                  <w:divsChild>
                    <w:div w:id="1519732258">
                      <w:marLeft w:val="0"/>
                      <w:marRight w:val="0"/>
                      <w:marTop w:val="0"/>
                      <w:marBottom w:val="0"/>
                      <w:divBdr>
                        <w:top w:val="none" w:sz="0" w:space="0" w:color="auto"/>
                        <w:left w:val="none" w:sz="0" w:space="0" w:color="auto"/>
                        <w:bottom w:val="none" w:sz="0" w:space="0" w:color="auto"/>
                        <w:right w:val="none" w:sz="0" w:space="0" w:color="auto"/>
                      </w:divBdr>
                    </w:div>
                  </w:divsChild>
                </w:div>
                <w:div w:id="864946138">
                  <w:marLeft w:val="0"/>
                  <w:marRight w:val="0"/>
                  <w:marTop w:val="0"/>
                  <w:marBottom w:val="0"/>
                  <w:divBdr>
                    <w:top w:val="none" w:sz="0" w:space="0" w:color="auto"/>
                    <w:left w:val="none" w:sz="0" w:space="0" w:color="auto"/>
                    <w:bottom w:val="none" w:sz="0" w:space="0" w:color="auto"/>
                    <w:right w:val="none" w:sz="0" w:space="0" w:color="auto"/>
                  </w:divBdr>
                  <w:divsChild>
                    <w:div w:id="1523009342">
                      <w:marLeft w:val="0"/>
                      <w:marRight w:val="0"/>
                      <w:marTop w:val="0"/>
                      <w:marBottom w:val="0"/>
                      <w:divBdr>
                        <w:top w:val="none" w:sz="0" w:space="0" w:color="auto"/>
                        <w:left w:val="none" w:sz="0" w:space="0" w:color="auto"/>
                        <w:bottom w:val="none" w:sz="0" w:space="0" w:color="auto"/>
                        <w:right w:val="none" w:sz="0" w:space="0" w:color="auto"/>
                      </w:divBdr>
                    </w:div>
                  </w:divsChild>
                </w:div>
                <w:div w:id="882597297">
                  <w:marLeft w:val="0"/>
                  <w:marRight w:val="0"/>
                  <w:marTop w:val="0"/>
                  <w:marBottom w:val="0"/>
                  <w:divBdr>
                    <w:top w:val="none" w:sz="0" w:space="0" w:color="auto"/>
                    <w:left w:val="none" w:sz="0" w:space="0" w:color="auto"/>
                    <w:bottom w:val="none" w:sz="0" w:space="0" w:color="auto"/>
                    <w:right w:val="none" w:sz="0" w:space="0" w:color="auto"/>
                  </w:divBdr>
                  <w:divsChild>
                    <w:div w:id="413279976">
                      <w:marLeft w:val="0"/>
                      <w:marRight w:val="0"/>
                      <w:marTop w:val="0"/>
                      <w:marBottom w:val="0"/>
                      <w:divBdr>
                        <w:top w:val="none" w:sz="0" w:space="0" w:color="auto"/>
                        <w:left w:val="none" w:sz="0" w:space="0" w:color="auto"/>
                        <w:bottom w:val="none" w:sz="0" w:space="0" w:color="auto"/>
                        <w:right w:val="none" w:sz="0" w:space="0" w:color="auto"/>
                      </w:divBdr>
                    </w:div>
                  </w:divsChild>
                </w:div>
                <w:div w:id="908812384">
                  <w:marLeft w:val="0"/>
                  <w:marRight w:val="0"/>
                  <w:marTop w:val="0"/>
                  <w:marBottom w:val="0"/>
                  <w:divBdr>
                    <w:top w:val="none" w:sz="0" w:space="0" w:color="auto"/>
                    <w:left w:val="none" w:sz="0" w:space="0" w:color="auto"/>
                    <w:bottom w:val="none" w:sz="0" w:space="0" w:color="auto"/>
                    <w:right w:val="none" w:sz="0" w:space="0" w:color="auto"/>
                  </w:divBdr>
                  <w:divsChild>
                    <w:div w:id="1811704961">
                      <w:marLeft w:val="0"/>
                      <w:marRight w:val="0"/>
                      <w:marTop w:val="0"/>
                      <w:marBottom w:val="0"/>
                      <w:divBdr>
                        <w:top w:val="none" w:sz="0" w:space="0" w:color="auto"/>
                        <w:left w:val="none" w:sz="0" w:space="0" w:color="auto"/>
                        <w:bottom w:val="none" w:sz="0" w:space="0" w:color="auto"/>
                        <w:right w:val="none" w:sz="0" w:space="0" w:color="auto"/>
                      </w:divBdr>
                    </w:div>
                  </w:divsChild>
                </w:div>
                <w:div w:id="988218004">
                  <w:marLeft w:val="0"/>
                  <w:marRight w:val="0"/>
                  <w:marTop w:val="0"/>
                  <w:marBottom w:val="0"/>
                  <w:divBdr>
                    <w:top w:val="none" w:sz="0" w:space="0" w:color="auto"/>
                    <w:left w:val="none" w:sz="0" w:space="0" w:color="auto"/>
                    <w:bottom w:val="none" w:sz="0" w:space="0" w:color="auto"/>
                    <w:right w:val="none" w:sz="0" w:space="0" w:color="auto"/>
                  </w:divBdr>
                  <w:divsChild>
                    <w:div w:id="723484002">
                      <w:marLeft w:val="0"/>
                      <w:marRight w:val="0"/>
                      <w:marTop w:val="0"/>
                      <w:marBottom w:val="0"/>
                      <w:divBdr>
                        <w:top w:val="none" w:sz="0" w:space="0" w:color="auto"/>
                        <w:left w:val="none" w:sz="0" w:space="0" w:color="auto"/>
                        <w:bottom w:val="none" w:sz="0" w:space="0" w:color="auto"/>
                        <w:right w:val="none" w:sz="0" w:space="0" w:color="auto"/>
                      </w:divBdr>
                    </w:div>
                  </w:divsChild>
                </w:div>
                <w:div w:id="1007948324">
                  <w:marLeft w:val="0"/>
                  <w:marRight w:val="0"/>
                  <w:marTop w:val="0"/>
                  <w:marBottom w:val="0"/>
                  <w:divBdr>
                    <w:top w:val="none" w:sz="0" w:space="0" w:color="auto"/>
                    <w:left w:val="none" w:sz="0" w:space="0" w:color="auto"/>
                    <w:bottom w:val="none" w:sz="0" w:space="0" w:color="auto"/>
                    <w:right w:val="none" w:sz="0" w:space="0" w:color="auto"/>
                  </w:divBdr>
                  <w:divsChild>
                    <w:div w:id="457726267">
                      <w:marLeft w:val="0"/>
                      <w:marRight w:val="0"/>
                      <w:marTop w:val="0"/>
                      <w:marBottom w:val="0"/>
                      <w:divBdr>
                        <w:top w:val="none" w:sz="0" w:space="0" w:color="auto"/>
                        <w:left w:val="none" w:sz="0" w:space="0" w:color="auto"/>
                        <w:bottom w:val="none" w:sz="0" w:space="0" w:color="auto"/>
                        <w:right w:val="none" w:sz="0" w:space="0" w:color="auto"/>
                      </w:divBdr>
                    </w:div>
                  </w:divsChild>
                </w:div>
                <w:div w:id="1041632754">
                  <w:marLeft w:val="0"/>
                  <w:marRight w:val="0"/>
                  <w:marTop w:val="0"/>
                  <w:marBottom w:val="0"/>
                  <w:divBdr>
                    <w:top w:val="none" w:sz="0" w:space="0" w:color="auto"/>
                    <w:left w:val="none" w:sz="0" w:space="0" w:color="auto"/>
                    <w:bottom w:val="none" w:sz="0" w:space="0" w:color="auto"/>
                    <w:right w:val="none" w:sz="0" w:space="0" w:color="auto"/>
                  </w:divBdr>
                  <w:divsChild>
                    <w:div w:id="1471242168">
                      <w:marLeft w:val="0"/>
                      <w:marRight w:val="0"/>
                      <w:marTop w:val="0"/>
                      <w:marBottom w:val="0"/>
                      <w:divBdr>
                        <w:top w:val="none" w:sz="0" w:space="0" w:color="auto"/>
                        <w:left w:val="none" w:sz="0" w:space="0" w:color="auto"/>
                        <w:bottom w:val="none" w:sz="0" w:space="0" w:color="auto"/>
                        <w:right w:val="none" w:sz="0" w:space="0" w:color="auto"/>
                      </w:divBdr>
                    </w:div>
                  </w:divsChild>
                </w:div>
                <w:div w:id="1157839576">
                  <w:marLeft w:val="0"/>
                  <w:marRight w:val="0"/>
                  <w:marTop w:val="0"/>
                  <w:marBottom w:val="0"/>
                  <w:divBdr>
                    <w:top w:val="none" w:sz="0" w:space="0" w:color="auto"/>
                    <w:left w:val="none" w:sz="0" w:space="0" w:color="auto"/>
                    <w:bottom w:val="none" w:sz="0" w:space="0" w:color="auto"/>
                    <w:right w:val="none" w:sz="0" w:space="0" w:color="auto"/>
                  </w:divBdr>
                  <w:divsChild>
                    <w:div w:id="369917065">
                      <w:marLeft w:val="0"/>
                      <w:marRight w:val="0"/>
                      <w:marTop w:val="0"/>
                      <w:marBottom w:val="0"/>
                      <w:divBdr>
                        <w:top w:val="none" w:sz="0" w:space="0" w:color="auto"/>
                        <w:left w:val="none" w:sz="0" w:space="0" w:color="auto"/>
                        <w:bottom w:val="none" w:sz="0" w:space="0" w:color="auto"/>
                        <w:right w:val="none" w:sz="0" w:space="0" w:color="auto"/>
                      </w:divBdr>
                    </w:div>
                  </w:divsChild>
                </w:div>
                <w:div w:id="1158493174">
                  <w:marLeft w:val="0"/>
                  <w:marRight w:val="0"/>
                  <w:marTop w:val="0"/>
                  <w:marBottom w:val="0"/>
                  <w:divBdr>
                    <w:top w:val="none" w:sz="0" w:space="0" w:color="auto"/>
                    <w:left w:val="none" w:sz="0" w:space="0" w:color="auto"/>
                    <w:bottom w:val="none" w:sz="0" w:space="0" w:color="auto"/>
                    <w:right w:val="none" w:sz="0" w:space="0" w:color="auto"/>
                  </w:divBdr>
                  <w:divsChild>
                    <w:div w:id="1412005168">
                      <w:marLeft w:val="0"/>
                      <w:marRight w:val="0"/>
                      <w:marTop w:val="0"/>
                      <w:marBottom w:val="0"/>
                      <w:divBdr>
                        <w:top w:val="none" w:sz="0" w:space="0" w:color="auto"/>
                        <w:left w:val="none" w:sz="0" w:space="0" w:color="auto"/>
                        <w:bottom w:val="none" w:sz="0" w:space="0" w:color="auto"/>
                        <w:right w:val="none" w:sz="0" w:space="0" w:color="auto"/>
                      </w:divBdr>
                    </w:div>
                  </w:divsChild>
                </w:div>
                <w:div w:id="1189219660">
                  <w:marLeft w:val="0"/>
                  <w:marRight w:val="0"/>
                  <w:marTop w:val="0"/>
                  <w:marBottom w:val="0"/>
                  <w:divBdr>
                    <w:top w:val="none" w:sz="0" w:space="0" w:color="auto"/>
                    <w:left w:val="none" w:sz="0" w:space="0" w:color="auto"/>
                    <w:bottom w:val="none" w:sz="0" w:space="0" w:color="auto"/>
                    <w:right w:val="none" w:sz="0" w:space="0" w:color="auto"/>
                  </w:divBdr>
                  <w:divsChild>
                    <w:div w:id="447941988">
                      <w:marLeft w:val="0"/>
                      <w:marRight w:val="0"/>
                      <w:marTop w:val="0"/>
                      <w:marBottom w:val="0"/>
                      <w:divBdr>
                        <w:top w:val="none" w:sz="0" w:space="0" w:color="auto"/>
                        <w:left w:val="none" w:sz="0" w:space="0" w:color="auto"/>
                        <w:bottom w:val="none" w:sz="0" w:space="0" w:color="auto"/>
                        <w:right w:val="none" w:sz="0" w:space="0" w:color="auto"/>
                      </w:divBdr>
                    </w:div>
                  </w:divsChild>
                </w:div>
                <w:div w:id="1265573132">
                  <w:marLeft w:val="0"/>
                  <w:marRight w:val="0"/>
                  <w:marTop w:val="0"/>
                  <w:marBottom w:val="0"/>
                  <w:divBdr>
                    <w:top w:val="none" w:sz="0" w:space="0" w:color="auto"/>
                    <w:left w:val="none" w:sz="0" w:space="0" w:color="auto"/>
                    <w:bottom w:val="none" w:sz="0" w:space="0" w:color="auto"/>
                    <w:right w:val="none" w:sz="0" w:space="0" w:color="auto"/>
                  </w:divBdr>
                  <w:divsChild>
                    <w:div w:id="652612031">
                      <w:marLeft w:val="0"/>
                      <w:marRight w:val="0"/>
                      <w:marTop w:val="0"/>
                      <w:marBottom w:val="0"/>
                      <w:divBdr>
                        <w:top w:val="none" w:sz="0" w:space="0" w:color="auto"/>
                        <w:left w:val="none" w:sz="0" w:space="0" w:color="auto"/>
                        <w:bottom w:val="none" w:sz="0" w:space="0" w:color="auto"/>
                        <w:right w:val="none" w:sz="0" w:space="0" w:color="auto"/>
                      </w:divBdr>
                    </w:div>
                  </w:divsChild>
                </w:div>
                <w:div w:id="1292369954">
                  <w:marLeft w:val="0"/>
                  <w:marRight w:val="0"/>
                  <w:marTop w:val="0"/>
                  <w:marBottom w:val="0"/>
                  <w:divBdr>
                    <w:top w:val="none" w:sz="0" w:space="0" w:color="auto"/>
                    <w:left w:val="none" w:sz="0" w:space="0" w:color="auto"/>
                    <w:bottom w:val="none" w:sz="0" w:space="0" w:color="auto"/>
                    <w:right w:val="none" w:sz="0" w:space="0" w:color="auto"/>
                  </w:divBdr>
                  <w:divsChild>
                    <w:div w:id="722145196">
                      <w:marLeft w:val="0"/>
                      <w:marRight w:val="0"/>
                      <w:marTop w:val="0"/>
                      <w:marBottom w:val="0"/>
                      <w:divBdr>
                        <w:top w:val="none" w:sz="0" w:space="0" w:color="auto"/>
                        <w:left w:val="none" w:sz="0" w:space="0" w:color="auto"/>
                        <w:bottom w:val="none" w:sz="0" w:space="0" w:color="auto"/>
                        <w:right w:val="none" w:sz="0" w:space="0" w:color="auto"/>
                      </w:divBdr>
                    </w:div>
                  </w:divsChild>
                </w:div>
                <w:div w:id="1307004294">
                  <w:marLeft w:val="0"/>
                  <w:marRight w:val="0"/>
                  <w:marTop w:val="0"/>
                  <w:marBottom w:val="0"/>
                  <w:divBdr>
                    <w:top w:val="none" w:sz="0" w:space="0" w:color="auto"/>
                    <w:left w:val="none" w:sz="0" w:space="0" w:color="auto"/>
                    <w:bottom w:val="none" w:sz="0" w:space="0" w:color="auto"/>
                    <w:right w:val="none" w:sz="0" w:space="0" w:color="auto"/>
                  </w:divBdr>
                  <w:divsChild>
                    <w:div w:id="1696468675">
                      <w:marLeft w:val="0"/>
                      <w:marRight w:val="0"/>
                      <w:marTop w:val="0"/>
                      <w:marBottom w:val="0"/>
                      <w:divBdr>
                        <w:top w:val="none" w:sz="0" w:space="0" w:color="auto"/>
                        <w:left w:val="none" w:sz="0" w:space="0" w:color="auto"/>
                        <w:bottom w:val="none" w:sz="0" w:space="0" w:color="auto"/>
                        <w:right w:val="none" w:sz="0" w:space="0" w:color="auto"/>
                      </w:divBdr>
                    </w:div>
                  </w:divsChild>
                </w:div>
                <w:div w:id="1316955217">
                  <w:marLeft w:val="0"/>
                  <w:marRight w:val="0"/>
                  <w:marTop w:val="0"/>
                  <w:marBottom w:val="0"/>
                  <w:divBdr>
                    <w:top w:val="none" w:sz="0" w:space="0" w:color="auto"/>
                    <w:left w:val="none" w:sz="0" w:space="0" w:color="auto"/>
                    <w:bottom w:val="none" w:sz="0" w:space="0" w:color="auto"/>
                    <w:right w:val="none" w:sz="0" w:space="0" w:color="auto"/>
                  </w:divBdr>
                  <w:divsChild>
                    <w:div w:id="1539120906">
                      <w:marLeft w:val="0"/>
                      <w:marRight w:val="0"/>
                      <w:marTop w:val="0"/>
                      <w:marBottom w:val="0"/>
                      <w:divBdr>
                        <w:top w:val="none" w:sz="0" w:space="0" w:color="auto"/>
                        <w:left w:val="none" w:sz="0" w:space="0" w:color="auto"/>
                        <w:bottom w:val="none" w:sz="0" w:space="0" w:color="auto"/>
                        <w:right w:val="none" w:sz="0" w:space="0" w:color="auto"/>
                      </w:divBdr>
                    </w:div>
                  </w:divsChild>
                </w:div>
                <w:div w:id="1318654611">
                  <w:marLeft w:val="0"/>
                  <w:marRight w:val="0"/>
                  <w:marTop w:val="0"/>
                  <w:marBottom w:val="0"/>
                  <w:divBdr>
                    <w:top w:val="none" w:sz="0" w:space="0" w:color="auto"/>
                    <w:left w:val="none" w:sz="0" w:space="0" w:color="auto"/>
                    <w:bottom w:val="none" w:sz="0" w:space="0" w:color="auto"/>
                    <w:right w:val="none" w:sz="0" w:space="0" w:color="auto"/>
                  </w:divBdr>
                  <w:divsChild>
                    <w:div w:id="1977224885">
                      <w:marLeft w:val="0"/>
                      <w:marRight w:val="0"/>
                      <w:marTop w:val="0"/>
                      <w:marBottom w:val="0"/>
                      <w:divBdr>
                        <w:top w:val="none" w:sz="0" w:space="0" w:color="auto"/>
                        <w:left w:val="none" w:sz="0" w:space="0" w:color="auto"/>
                        <w:bottom w:val="none" w:sz="0" w:space="0" w:color="auto"/>
                        <w:right w:val="none" w:sz="0" w:space="0" w:color="auto"/>
                      </w:divBdr>
                    </w:div>
                  </w:divsChild>
                </w:div>
                <w:div w:id="1332640588">
                  <w:marLeft w:val="0"/>
                  <w:marRight w:val="0"/>
                  <w:marTop w:val="0"/>
                  <w:marBottom w:val="0"/>
                  <w:divBdr>
                    <w:top w:val="none" w:sz="0" w:space="0" w:color="auto"/>
                    <w:left w:val="none" w:sz="0" w:space="0" w:color="auto"/>
                    <w:bottom w:val="none" w:sz="0" w:space="0" w:color="auto"/>
                    <w:right w:val="none" w:sz="0" w:space="0" w:color="auto"/>
                  </w:divBdr>
                  <w:divsChild>
                    <w:div w:id="1522620504">
                      <w:marLeft w:val="0"/>
                      <w:marRight w:val="0"/>
                      <w:marTop w:val="0"/>
                      <w:marBottom w:val="0"/>
                      <w:divBdr>
                        <w:top w:val="none" w:sz="0" w:space="0" w:color="auto"/>
                        <w:left w:val="none" w:sz="0" w:space="0" w:color="auto"/>
                        <w:bottom w:val="none" w:sz="0" w:space="0" w:color="auto"/>
                        <w:right w:val="none" w:sz="0" w:space="0" w:color="auto"/>
                      </w:divBdr>
                    </w:div>
                  </w:divsChild>
                </w:div>
                <w:div w:id="1366711685">
                  <w:marLeft w:val="0"/>
                  <w:marRight w:val="0"/>
                  <w:marTop w:val="0"/>
                  <w:marBottom w:val="0"/>
                  <w:divBdr>
                    <w:top w:val="none" w:sz="0" w:space="0" w:color="auto"/>
                    <w:left w:val="none" w:sz="0" w:space="0" w:color="auto"/>
                    <w:bottom w:val="none" w:sz="0" w:space="0" w:color="auto"/>
                    <w:right w:val="none" w:sz="0" w:space="0" w:color="auto"/>
                  </w:divBdr>
                  <w:divsChild>
                    <w:div w:id="2091458988">
                      <w:marLeft w:val="0"/>
                      <w:marRight w:val="0"/>
                      <w:marTop w:val="0"/>
                      <w:marBottom w:val="0"/>
                      <w:divBdr>
                        <w:top w:val="none" w:sz="0" w:space="0" w:color="auto"/>
                        <w:left w:val="none" w:sz="0" w:space="0" w:color="auto"/>
                        <w:bottom w:val="none" w:sz="0" w:space="0" w:color="auto"/>
                        <w:right w:val="none" w:sz="0" w:space="0" w:color="auto"/>
                      </w:divBdr>
                    </w:div>
                  </w:divsChild>
                </w:div>
                <w:div w:id="1391030131">
                  <w:marLeft w:val="0"/>
                  <w:marRight w:val="0"/>
                  <w:marTop w:val="0"/>
                  <w:marBottom w:val="0"/>
                  <w:divBdr>
                    <w:top w:val="none" w:sz="0" w:space="0" w:color="auto"/>
                    <w:left w:val="none" w:sz="0" w:space="0" w:color="auto"/>
                    <w:bottom w:val="none" w:sz="0" w:space="0" w:color="auto"/>
                    <w:right w:val="none" w:sz="0" w:space="0" w:color="auto"/>
                  </w:divBdr>
                  <w:divsChild>
                    <w:div w:id="1230271124">
                      <w:marLeft w:val="0"/>
                      <w:marRight w:val="0"/>
                      <w:marTop w:val="0"/>
                      <w:marBottom w:val="0"/>
                      <w:divBdr>
                        <w:top w:val="none" w:sz="0" w:space="0" w:color="auto"/>
                        <w:left w:val="none" w:sz="0" w:space="0" w:color="auto"/>
                        <w:bottom w:val="none" w:sz="0" w:space="0" w:color="auto"/>
                        <w:right w:val="none" w:sz="0" w:space="0" w:color="auto"/>
                      </w:divBdr>
                    </w:div>
                  </w:divsChild>
                </w:div>
                <w:div w:id="1423841597">
                  <w:marLeft w:val="0"/>
                  <w:marRight w:val="0"/>
                  <w:marTop w:val="0"/>
                  <w:marBottom w:val="0"/>
                  <w:divBdr>
                    <w:top w:val="none" w:sz="0" w:space="0" w:color="auto"/>
                    <w:left w:val="none" w:sz="0" w:space="0" w:color="auto"/>
                    <w:bottom w:val="none" w:sz="0" w:space="0" w:color="auto"/>
                    <w:right w:val="none" w:sz="0" w:space="0" w:color="auto"/>
                  </w:divBdr>
                  <w:divsChild>
                    <w:div w:id="763962106">
                      <w:marLeft w:val="0"/>
                      <w:marRight w:val="0"/>
                      <w:marTop w:val="0"/>
                      <w:marBottom w:val="0"/>
                      <w:divBdr>
                        <w:top w:val="none" w:sz="0" w:space="0" w:color="auto"/>
                        <w:left w:val="none" w:sz="0" w:space="0" w:color="auto"/>
                        <w:bottom w:val="none" w:sz="0" w:space="0" w:color="auto"/>
                        <w:right w:val="none" w:sz="0" w:space="0" w:color="auto"/>
                      </w:divBdr>
                    </w:div>
                  </w:divsChild>
                </w:div>
                <w:div w:id="1501575734">
                  <w:marLeft w:val="0"/>
                  <w:marRight w:val="0"/>
                  <w:marTop w:val="0"/>
                  <w:marBottom w:val="0"/>
                  <w:divBdr>
                    <w:top w:val="none" w:sz="0" w:space="0" w:color="auto"/>
                    <w:left w:val="none" w:sz="0" w:space="0" w:color="auto"/>
                    <w:bottom w:val="none" w:sz="0" w:space="0" w:color="auto"/>
                    <w:right w:val="none" w:sz="0" w:space="0" w:color="auto"/>
                  </w:divBdr>
                  <w:divsChild>
                    <w:div w:id="809248913">
                      <w:marLeft w:val="0"/>
                      <w:marRight w:val="0"/>
                      <w:marTop w:val="0"/>
                      <w:marBottom w:val="0"/>
                      <w:divBdr>
                        <w:top w:val="none" w:sz="0" w:space="0" w:color="auto"/>
                        <w:left w:val="none" w:sz="0" w:space="0" w:color="auto"/>
                        <w:bottom w:val="none" w:sz="0" w:space="0" w:color="auto"/>
                        <w:right w:val="none" w:sz="0" w:space="0" w:color="auto"/>
                      </w:divBdr>
                    </w:div>
                  </w:divsChild>
                </w:div>
                <w:div w:id="1629316117">
                  <w:marLeft w:val="0"/>
                  <w:marRight w:val="0"/>
                  <w:marTop w:val="0"/>
                  <w:marBottom w:val="0"/>
                  <w:divBdr>
                    <w:top w:val="none" w:sz="0" w:space="0" w:color="auto"/>
                    <w:left w:val="none" w:sz="0" w:space="0" w:color="auto"/>
                    <w:bottom w:val="none" w:sz="0" w:space="0" w:color="auto"/>
                    <w:right w:val="none" w:sz="0" w:space="0" w:color="auto"/>
                  </w:divBdr>
                  <w:divsChild>
                    <w:div w:id="867916562">
                      <w:marLeft w:val="0"/>
                      <w:marRight w:val="0"/>
                      <w:marTop w:val="0"/>
                      <w:marBottom w:val="0"/>
                      <w:divBdr>
                        <w:top w:val="none" w:sz="0" w:space="0" w:color="auto"/>
                        <w:left w:val="none" w:sz="0" w:space="0" w:color="auto"/>
                        <w:bottom w:val="none" w:sz="0" w:space="0" w:color="auto"/>
                        <w:right w:val="none" w:sz="0" w:space="0" w:color="auto"/>
                      </w:divBdr>
                    </w:div>
                  </w:divsChild>
                </w:div>
                <w:div w:id="1675960318">
                  <w:marLeft w:val="0"/>
                  <w:marRight w:val="0"/>
                  <w:marTop w:val="0"/>
                  <w:marBottom w:val="0"/>
                  <w:divBdr>
                    <w:top w:val="none" w:sz="0" w:space="0" w:color="auto"/>
                    <w:left w:val="none" w:sz="0" w:space="0" w:color="auto"/>
                    <w:bottom w:val="none" w:sz="0" w:space="0" w:color="auto"/>
                    <w:right w:val="none" w:sz="0" w:space="0" w:color="auto"/>
                  </w:divBdr>
                  <w:divsChild>
                    <w:div w:id="1932465987">
                      <w:marLeft w:val="0"/>
                      <w:marRight w:val="0"/>
                      <w:marTop w:val="0"/>
                      <w:marBottom w:val="0"/>
                      <w:divBdr>
                        <w:top w:val="none" w:sz="0" w:space="0" w:color="auto"/>
                        <w:left w:val="none" w:sz="0" w:space="0" w:color="auto"/>
                        <w:bottom w:val="none" w:sz="0" w:space="0" w:color="auto"/>
                        <w:right w:val="none" w:sz="0" w:space="0" w:color="auto"/>
                      </w:divBdr>
                    </w:div>
                  </w:divsChild>
                </w:div>
                <w:div w:id="1743794328">
                  <w:marLeft w:val="0"/>
                  <w:marRight w:val="0"/>
                  <w:marTop w:val="0"/>
                  <w:marBottom w:val="0"/>
                  <w:divBdr>
                    <w:top w:val="none" w:sz="0" w:space="0" w:color="auto"/>
                    <w:left w:val="none" w:sz="0" w:space="0" w:color="auto"/>
                    <w:bottom w:val="none" w:sz="0" w:space="0" w:color="auto"/>
                    <w:right w:val="none" w:sz="0" w:space="0" w:color="auto"/>
                  </w:divBdr>
                  <w:divsChild>
                    <w:div w:id="1505776528">
                      <w:marLeft w:val="0"/>
                      <w:marRight w:val="0"/>
                      <w:marTop w:val="0"/>
                      <w:marBottom w:val="0"/>
                      <w:divBdr>
                        <w:top w:val="none" w:sz="0" w:space="0" w:color="auto"/>
                        <w:left w:val="none" w:sz="0" w:space="0" w:color="auto"/>
                        <w:bottom w:val="none" w:sz="0" w:space="0" w:color="auto"/>
                        <w:right w:val="none" w:sz="0" w:space="0" w:color="auto"/>
                      </w:divBdr>
                    </w:div>
                  </w:divsChild>
                </w:div>
                <w:div w:id="1753233102">
                  <w:marLeft w:val="0"/>
                  <w:marRight w:val="0"/>
                  <w:marTop w:val="0"/>
                  <w:marBottom w:val="0"/>
                  <w:divBdr>
                    <w:top w:val="none" w:sz="0" w:space="0" w:color="auto"/>
                    <w:left w:val="none" w:sz="0" w:space="0" w:color="auto"/>
                    <w:bottom w:val="none" w:sz="0" w:space="0" w:color="auto"/>
                    <w:right w:val="none" w:sz="0" w:space="0" w:color="auto"/>
                  </w:divBdr>
                  <w:divsChild>
                    <w:div w:id="393628279">
                      <w:marLeft w:val="0"/>
                      <w:marRight w:val="0"/>
                      <w:marTop w:val="0"/>
                      <w:marBottom w:val="0"/>
                      <w:divBdr>
                        <w:top w:val="none" w:sz="0" w:space="0" w:color="auto"/>
                        <w:left w:val="none" w:sz="0" w:space="0" w:color="auto"/>
                        <w:bottom w:val="none" w:sz="0" w:space="0" w:color="auto"/>
                        <w:right w:val="none" w:sz="0" w:space="0" w:color="auto"/>
                      </w:divBdr>
                    </w:div>
                  </w:divsChild>
                </w:div>
                <w:div w:id="1761411151">
                  <w:marLeft w:val="0"/>
                  <w:marRight w:val="0"/>
                  <w:marTop w:val="0"/>
                  <w:marBottom w:val="0"/>
                  <w:divBdr>
                    <w:top w:val="none" w:sz="0" w:space="0" w:color="auto"/>
                    <w:left w:val="none" w:sz="0" w:space="0" w:color="auto"/>
                    <w:bottom w:val="none" w:sz="0" w:space="0" w:color="auto"/>
                    <w:right w:val="none" w:sz="0" w:space="0" w:color="auto"/>
                  </w:divBdr>
                  <w:divsChild>
                    <w:div w:id="284506239">
                      <w:marLeft w:val="0"/>
                      <w:marRight w:val="0"/>
                      <w:marTop w:val="0"/>
                      <w:marBottom w:val="0"/>
                      <w:divBdr>
                        <w:top w:val="none" w:sz="0" w:space="0" w:color="auto"/>
                        <w:left w:val="none" w:sz="0" w:space="0" w:color="auto"/>
                        <w:bottom w:val="none" w:sz="0" w:space="0" w:color="auto"/>
                        <w:right w:val="none" w:sz="0" w:space="0" w:color="auto"/>
                      </w:divBdr>
                    </w:div>
                  </w:divsChild>
                </w:div>
                <w:div w:id="1792630941">
                  <w:marLeft w:val="0"/>
                  <w:marRight w:val="0"/>
                  <w:marTop w:val="0"/>
                  <w:marBottom w:val="0"/>
                  <w:divBdr>
                    <w:top w:val="none" w:sz="0" w:space="0" w:color="auto"/>
                    <w:left w:val="none" w:sz="0" w:space="0" w:color="auto"/>
                    <w:bottom w:val="none" w:sz="0" w:space="0" w:color="auto"/>
                    <w:right w:val="none" w:sz="0" w:space="0" w:color="auto"/>
                  </w:divBdr>
                  <w:divsChild>
                    <w:div w:id="831527807">
                      <w:marLeft w:val="0"/>
                      <w:marRight w:val="0"/>
                      <w:marTop w:val="0"/>
                      <w:marBottom w:val="0"/>
                      <w:divBdr>
                        <w:top w:val="none" w:sz="0" w:space="0" w:color="auto"/>
                        <w:left w:val="none" w:sz="0" w:space="0" w:color="auto"/>
                        <w:bottom w:val="none" w:sz="0" w:space="0" w:color="auto"/>
                        <w:right w:val="none" w:sz="0" w:space="0" w:color="auto"/>
                      </w:divBdr>
                    </w:div>
                  </w:divsChild>
                </w:div>
                <w:div w:id="1798522903">
                  <w:marLeft w:val="0"/>
                  <w:marRight w:val="0"/>
                  <w:marTop w:val="0"/>
                  <w:marBottom w:val="0"/>
                  <w:divBdr>
                    <w:top w:val="none" w:sz="0" w:space="0" w:color="auto"/>
                    <w:left w:val="none" w:sz="0" w:space="0" w:color="auto"/>
                    <w:bottom w:val="none" w:sz="0" w:space="0" w:color="auto"/>
                    <w:right w:val="none" w:sz="0" w:space="0" w:color="auto"/>
                  </w:divBdr>
                  <w:divsChild>
                    <w:div w:id="1471051293">
                      <w:marLeft w:val="0"/>
                      <w:marRight w:val="0"/>
                      <w:marTop w:val="0"/>
                      <w:marBottom w:val="0"/>
                      <w:divBdr>
                        <w:top w:val="none" w:sz="0" w:space="0" w:color="auto"/>
                        <w:left w:val="none" w:sz="0" w:space="0" w:color="auto"/>
                        <w:bottom w:val="none" w:sz="0" w:space="0" w:color="auto"/>
                        <w:right w:val="none" w:sz="0" w:space="0" w:color="auto"/>
                      </w:divBdr>
                    </w:div>
                  </w:divsChild>
                </w:div>
                <w:div w:id="1831293354">
                  <w:marLeft w:val="0"/>
                  <w:marRight w:val="0"/>
                  <w:marTop w:val="0"/>
                  <w:marBottom w:val="0"/>
                  <w:divBdr>
                    <w:top w:val="none" w:sz="0" w:space="0" w:color="auto"/>
                    <w:left w:val="none" w:sz="0" w:space="0" w:color="auto"/>
                    <w:bottom w:val="none" w:sz="0" w:space="0" w:color="auto"/>
                    <w:right w:val="none" w:sz="0" w:space="0" w:color="auto"/>
                  </w:divBdr>
                  <w:divsChild>
                    <w:div w:id="927614547">
                      <w:marLeft w:val="0"/>
                      <w:marRight w:val="0"/>
                      <w:marTop w:val="0"/>
                      <w:marBottom w:val="0"/>
                      <w:divBdr>
                        <w:top w:val="none" w:sz="0" w:space="0" w:color="auto"/>
                        <w:left w:val="none" w:sz="0" w:space="0" w:color="auto"/>
                        <w:bottom w:val="none" w:sz="0" w:space="0" w:color="auto"/>
                        <w:right w:val="none" w:sz="0" w:space="0" w:color="auto"/>
                      </w:divBdr>
                    </w:div>
                  </w:divsChild>
                </w:div>
                <w:div w:id="1872523952">
                  <w:marLeft w:val="0"/>
                  <w:marRight w:val="0"/>
                  <w:marTop w:val="0"/>
                  <w:marBottom w:val="0"/>
                  <w:divBdr>
                    <w:top w:val="none" w:sz="0" w:space="0" w:color="auto"/>
                    <w:left w:val="none" w:sz="0" w:space="0" w:color="auto"/>
                    <w:bottom w:val="none" w:sz="0" w:space="0" w:color="auto"/>
                    <w:right w:val="none" w:sz="0" w:space="0" w:color="auto"/>
                  </w:divBdr>
                  <w:divsChild>
                    <w:div w:id="1724451964">
                      <w:marLeft w:val="0"/>
                      <w:marRight w:val="0"/>
                      <w:marTop w:val="0"/>
                      <w:marBottom w:val="0"/>
                      <w:divBdr>
                        <w:top w:val="none" w:sz="0" w:space="0" w:color="auto"/>
                        <w:left w:val="none" w:sz="0" w:space="0" w:color="auto"/>
                        <w:bottom w:val="none" w:sz="0" w:space="0" w:color="auto"/>
                        <w:right w:val="none" w:sz="0" w:space="0" w:color="auto"/>
                      </w:divBdr>
                    </w:div>
                  </w:divsChild>
                </w:div>
                <w:div w:id="1959339836">
                  <w:marLeft w:val="0"/>
                  <w:marRight w:val="0"/>
                  <w:marTop w:val="0"/>
                  <w:marBottom w:val="0"/>
                  <w:divBdr>
                    <w:top w:val="none" w:sz="0" w:space="0" w:color="auto"/>
                    <w:left w:val="none" w:sz="0" w:space="0" w:color="auto"/>
                    <w:bottom w:val="none" w:sz="0" w:space="0" w:color="auto"/>
                    <w:right w:val="none" w:sz="0" w:space="0" w:color="auto"/>
                  </w:divBdr>
                  <w:divsChild>
                    <w:div w:id="2005469865">
                      <w:marLeft w:val="0"/>
                      <w:marRight w:val="0"/>
                      <w:marTop w:val="0"/>
                      <w:marBottom w:val="0"/>
                      <w:divBdr>
                        <w:top w:val="none" w:sz="0" w:space="0" w:color="auto"/>
                        <w:left w:val="none" w:sz="0" w:space="0" w:color="auto"/>
                        <w:bottom w:val="none" w:sz="0" w:space="0" w:color="auto"/>
                        <w:right w:val="none" w:sz="0" w:space="0" w:color="auto"/>
                      </w:divBdr>
                    </w:div>
                  </w:divsChild>
                </w:div>
                <w:div w:id="1991908621">
                  <w:marLeft w:val="0"/>
                  <w:marRight w:val="0"/>
                  <w:marTop w:val="0"/>
                  <w:marBottom w:val="0"/>
                  <w:divBdr>
                    <w:top w:val="none" w:sz="0" w:space="0" w:color="auto"/>
                    <w:left w:val="none" w:sz="0" w:space="0" w:color="auto"/>
                    <w:bottom w:val="none" w:sz="0" w:space="0" w:color="auto"/>
                    <w:right w:val="none" w:sz="0" w:space="0" w:color="auto"/>
                  </w:divBdr>
                  <w:divsChild>
                    <w:div w:id="1648319124">
                      <w:marLeft w:val="0"/>
                      <w:marRight w:val="0"/>
                      <w:marTop w:val="0"/>
                      <w:marBottom w:val="0"/>
                      <w:divBdr>
                        <w:top w:val="none" w:sz="0" w:space="0" w:color="auto"/>
                        <w:left w:val="none" w:sz="0" w:space="0" w:color="auto"/>
                        <w:bottom w:val="none" w:sz="0" w:space="0" w:color="auto"/>
                        <w:right w:val="none" w:sz="0" w:space="0" w:color="auto"/>
                      </w:divBdr>
                    </w:div>
                  </w:divsChild>
                </w:div>
                <w:div w:id="2009016130">
                  <w:marLeft w:val="0"/>
                  <w:marRight w:val="0"/>
                  <w:marTop w:val="0"/>
                  <w:marBottom w:val="0"/>
                  <w:divBdr>
                    <w:top w:val="none" w:sz="0" w:space="0" w:color="auto"/>
                    <w:left w:val="none" w:sz="0" w:space="0" w:color="auto"/>
                    <w:bottom w:val="none" w:sz="0" w:space="0" w:color="auto"/>
                    <w:right w:val="none" w:sz="0" w:space="0" w:color="auto"/>
                  </w:divBdr>
                  <w:divsChild>
                    <w:div w:id="120654131">
                      <w:marLeft w:val="0"/>
                      <w:marRight w:val="0"/>
                      <w:marTop w:val="0"/>
                      <w:marBottom w:val="0"/>
                      <w:divBdr>
                        <w:top w:val="none" w:sz="0" w:space="0" w:color="auto"/>
                        <w:left w:val="none" w:sz="0" w:space="0" w:color="auto"/>
                        <w:bottom w:val="none" w:sz="0" w:space="0" w:color="auto"/>
                        <w:right w:val="none" w:sz="0" w:space="0" w:color="auto"/>
                      </w:divBdr>
                    </w:div>
                  </w:divsChild>
                </w:div>
                <w:div w:id="2023587237">
                  <w:marLeft w:val="0"/>
                  <w:marRight w:val="0"/>
                  <w:marTop w:val="0"/>
                  <w:marBottom w:val="0"/>
                  <w:divBdr>
                    <w:top w:val="none" w:sz="0" w:space="0" w:color="auto"/>
                    <w:left w:val="none" w:sz="0" w:space="0" w:color="auto"/>
                    <w:bottom w:val="none" w:sz="0" w:space="0" w:color="auto"/>
                    <w:right w:val="none" w:sz="0" w:space="0" w:color="auto"/>
                  </w:divBdr>
                  <w:divsChild>
                    <w:div w:id="1549537708">
                      <w:marLeft w:val="0"/>
                      <w:marRight w:val="0"/>
                      <w:marTop w:val="0"/>
                      <w:marBottom w:val="0"/>
                      <w:divBdr>
                        <w:top w:val="none" w:sz="0" w:space="0" w:color="auto"/>
                        <w:left w:val="none" w:sz="0" w:space="0" w:color="auto"/>
                        <w:bottom w:val="none" w:sz="0" w:space="0" w:color="auto"/>
                        <w:right w:val="none" w:sz="0" w:space="0" w:color="auto"/>
                      </w:divBdr>
                    </w:div>
                  </w:divsChild>
                </w:div>
                <w:div w:id="2063018466">
                  <w:marLeft w:val="0"/>
                  <w:marRight w:val="0"/>
                  <w:marTop w:val="0"/>
                  <w:marBottom w:val="0"/>
                  <w:divBdr>
                    <w:top w:val="none" w:sz="0" w:space="0" w:color="auto"/>
                    <w:left w:val="none" w:sz="0" w:space="0" w:color="auto"/>
                    <w:bottom w:val="none" w:sz="0" w:space="0" w:color="auto"/>
                    <w:right w:val="none" w:sz="0" w:space="0" w:color="auto"/>
                  </w:divBdr>
                  <w:divsChild>
                    <w:div w:id="545798768">
                      <w:marLeft w:val="0"/>
                      <w:marRight w:val="0"/>
                      <w:marTop w:val="0"/>
                      <w:marBottom w:val="0"/>
                      <w:divBdr>
                        <w:top w:val="none" w:sz="0" w:space="0" w:color="auto"/>
                        <w:left w:val="none" w:sz="0" w:space="0" w:color="auto"/>
                        <w:bottom w:val="none" w:sz="0" w:space="0" w:color="auto"/>
                        <w:right w:val="none" w:sz="0" w:space="0" w:color="auto"/>
                      </w:divBdr>
                    </w:div>
                  </w:divsChild>
                </w:div>
                <w:div w:id="2073195492">
                  <w:marLeft w:val="0"/>
                  <w:marRight w:val="0"/>
                  <w:marTop w:val="0"/>
                  <w:marBottom w:val="0"/>
                  <w:divBdr>
                    <w:top w:val="none" w:sz="0" w:space="0" w:color="auto"/>
                    <w:left w:val="none" w:sz="0" w:space="0" w:color="auto"/>
                    <w:bottom w:val="none" w:sz="0" w:space="0" w:color="auto"/>
                    <w:right w:val="none" w:sz="0" w:space="0" w:color="auto"/>
                  </w:divBdr>
                  <w:divsChild>
                    <w:div w:id="716124810">
                      <w:marLeft w:val="0"/>
                      <w:marRight w:val="0"/>
                      <w:marTop w:val="0"/>
                      <w:marBottom w:val="0"/>
                      <w:divBdr>
                        <w:top w:val="none" w:sz="0" w:space="0" w:color="auto"/>
                        <w:left w:val="none" w:sz="0" w:space="0" w:color="auto"/>
                        <w:bottom w:val="none" w:sz="0" w:space="0" w:color="auto"/>
                        <w:right w:val="none" w:sz="0" w:space="0" w:color="auto"/>
                      </w:divBdr>
                    </w:div>
                  </w:divsChild>
                </w:div>
                <w:div w:id="2074548369">
                  <w:marLeft w:val="0"/>
                  <w:marRight w:val="0"/>
                  <w:marTop w:val="0"/>
                  <w:marBottom w:val="0"/>
                  <w:divBdr>
                    <w:top w:val="none" w:sz="0" w:space="0" w:color="auto"/>
                    <w:left w:val="none" w:sz="0" w:space="0" w:color="auto"/>
                    <w:bottom w:val="none" w:sz="0" w:space="0" w:color="auto"/>
                    <w:right w:val="none" w:sz="0" w:space="0" w:color="auto"/>
                  </w:divBdr>
                  <w:divsChild>
                    <w:div w:id="668096031">
                      <w:marLeft w:val="0"/>
                      <w:marRight w:val="0"/>
                      <w:marTop w:val="0"/>
                      <w:marBottom w:val="0"/>
                      <w:divBdr>
                        <w:top w:val="none" w:sz="0" w:space="0" w:color="auto"/>
                        <w:left w:val="none" w:sz="0" w:space="0" w:color="auto"/>
                        <w:bottom w:val="none" w:sz="0" w:space="0" w:color="auto"/>
                        <w:right w:val="none" w:sz="0" w:space="0" w:color="auto"/>
                      </w:divBdr>
                    </w:div>
                  </w:divsChild>
                </w:div>
                <w:div w:id="2082292122">
                  <w:marLeft w:val="0"/>
                  <w:marRight w:val="0"/>
                  <w:marTop w:val="0"/>
                  <w:marBottom w:val="0"/>
                  <w:divBdr>
                    <w:top w:val="none" w:sz="0" w:space="0" w:color="auto"/>
                    <w:left w:val="none" w:sz="0" w:space="0" w:color="auto"/>
                    <w:bottom w:val="none" w:sz="0" w:space="0" w:color="auto"/>
                    <w:right w:val="none" w:sz="0" w:space="0" w:color="auto"/>
                  </w:divBdr>
                  <w:divsChild>
                    <w:div w:id="1190677232">
                      <w:marLeft w:val="0"/>
                      <w:marRight w:val="0"/>
                      <w:marTop w:val="0"/>
                      <w:marBottom w:val="0"/>
                      <w:divBdr>
                        <w:top w:val="none" w:sz="0" w:space="0" w:color="auto"/>
                        <w:left w:val="none" w:sz="0" w:space="0" w:color="auto"/>
                        <w:bottom w:val="none" w:sz="0" w:space="0" w:color="auto"/>
                        <w:right w:val="none" w:sz="0" w:space="0" w:color="auto"/>
                      </w:divBdr>
                    </w:div>
                  </w:divsChild>
                </w:div>
                <w:div w:id="2114593284">
                  <w:marLeft w:val="0"/>
                  <w:marRight w:val="0"/>
                  <w:marTop w:val="0"/>
                  <w:marBottom w:val="0"/>
                  <w:divBdr>
                    <w:top w:val="none" w:sz="0" w:space="0" w:color="auto"/>
                    <w:left w:val="none" w:sz="0" w:space="0" w:color="auto"/>
                    <w:bottom w:val="none" w:sz="0" w:space="0" w:color="auto"/>
                    <w:right w:val="none" w:sz="0" w:space="0" w:color="auto"/>
                  </w:divBdr>
                  <w:divsChild>
                    <w:div w:id="1356999039">
                      <w:marLeft w:val="0"/>
                      <w:marRight w:val="0"/>
                      <w:marTop w:val="0"/>
                      <w:marBottom w:val="0"/>
                      <w:divBdr>
                        <w:top w:val="none" w:sz="0" w:space="0" w:color="auto"/>
                        <w:left w:val="none" w:sz="0" w:space="0" w:color="auto"/>
                        <w:bottom w:val="none" w:sz="0" w:space="0" w:color="auto"/>
                        <w:right w:val="none" w:sz="0" w:space="0" w:color="auto"/>
                      </w:divBdr>
                    </w:div>
                  </w:divsChild>
                </w:div>
                <w:div w:id="2144538771">
                  <w:marLeft w:val="0"/>
                  <w:marRight w:val="0"/>
                  <w:marTop w:val="0"/>
                  <w:marBottom w:val="0"/>
                  <w:divBdr>
                    <w:top w:val="none" w:sz="0" w:space="0" w:color="auto"/>
                    <w:left w:val="none" w:sz="0" w:space="0" w:color="auto"/>
                    <w:bottom w:val="none" w:sz="0" w:space="0" w:color="auto"/>
                    <w:right w:val="none" w:sz="0" w:space="0" w:color="auto"/>
                  </w:divBdr>
                  <w:divsChild>
                    <w:div w:id="214107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370044">
          <w:marLeft w:val="0"/>
          <w:marRight w:val="0"/>
          <w:marTop w:val="0"/>
          <w:marBottom w:val="0"/>
          <w:divBdr>
            <w:top w:val="none" w:sz="0" w:space="0" w:color="auto"/>
            <w:left w:val="none" w:sz="0" w:space="0" w:color="auto"/>
            <w:bottom w:val="none" w:sz="0" w:space="0" w:color="auto"/>
            <w:right w:val="none" w:sz="0" w:space="0" w:color="auto"/>
          </w:divBdr>
        </w:div>
      </w:divsChild>
    </w:div>
    <w:div w:id="1896430699">
      <w:bodyDiv w:val="1"/>
      <w:marLeft w:val="0"/>
      <w:marRight w:val="0"/>
      <w:marTop w:val="0"/>
      <w:marBottom w:val="0"/>
      <w:divBdr>
        <w:top w:val="none" w:sz="0" w:space="0" w:color="auto"/>
        <w:left w:val="none" w:sz="0" w:space="0" w:color="auto"/>
        <w:bottom w:val="none" w:sz="0" w:space="0" w:color="auto"/>
        <w:right w:val="none" w:sz="0" w:space="0" w:color="auto"/>
      </w:divBdr>
    </w:div>
    <w:div w:id="1902129231">
      <w:bodyDiv w:val="1"/>
      <w:marLeft w:val="0"/>
      <w:marRight w:val="0"/>
      <w:marTop w:val="0"/>
      <w:marBottom w:val="0"/>
      <w:divBdr>
        <w:top w:val="none" w:sz="0" w:space="0" w:color="auto"/>
        <w:left w:val="none" w:sz="0" w:space="0" w:color="auto"/>
        <w:bottom w:val="none" w:sz="0" w:space="0" w:color="auto"/>
        <w:right w:val="none" w:sz="0" w:space="0" w:color="auto"/>
      </w:divBdr>
      <w:divsChild>
        <w:div w:id="995112726">
          <w:marLeft w:val="0"/>
          <w:marRight w:val="0"/>
          <w:marTop w:val="0"/>
          <w:marBottom w:val="0"/>
          <w:divBdr>
            <w:top w:val="none" w:sz="0" w:space="0" w:color="auto"/>
            <w:left w:val="none" w:sz="0" w:space="0" w:color="auto"/>
            <w:bottom w:val="none" w:sz="0" w:space="0" w:color="auto"/>
            <w:right w:val="none" w:sz="0" w:space="0" w:color="auto"/>
          </w:divBdr>
        </w:div>
        <w:div w:id="1376613182">
          <w:marLeft w:val="0"/>
          <w:marRight w:val="0"/>
          <w:marTop w:val="0"/>
          <w:marBottom w:val="0"/>
          <w:divBdr>
            <w:top w:val="none" w:sz="0" w:space="0" w:color="auto"/>
            <w:left w:val="none" w:sz="0" w:space="0" w:color="auto"/>
            <w:bottom w:val="none" w:sz="0" w:space="0" w:color="auto"/>
            <w:right w:val="none" w:sz="0" w:space="0" w:color="auto"/>
          </w:divBdr>
        </w:div>
      </w:divsChild>
    </w:div>
    <w:div w:id="1907914956">
      <w:bodyDiv w:val="1"/>
      <w:marLeft w:val="0"/>
      <w:marRight w:val="0"/>
      <w:marTop w:val="0"/>
      <w:marBottom w:val="0"/>
      <w:divBdr>
        <w:top w:val="none" w:sz="0" w:space="0" w:color="auto"/>
        <w:left w:val="none" w:sz="0" w:space="0" w:color="auto"/>
        <w:bottom w:val="none" w:sz="0" w:space="0" w:color="auto"/>
        <w:right w:val="none" w:sz="0" w:space="0" w:color="auto"/>
      </w:divBdr>
    </w:div>
    <w:div w:id="1913350535">
      <w:bodyDiv w:val="1"/>
      <w:marLeft w:val="0"/>
      <w:marRight w:val="0"/>
      <w:marTop w:val="0"/>
      <w:marBottom w:val="0"/>
      <w:divBdr>
        <w:top w:val="none" w:sz="0" w:space="0" w:color="auto"/>
        <w:left w:val="none" w:sz="0" w:space="0" w:color="auto"/>
        <w:bottom w:val="none" w:sz="0" w:space="0" w:color="auto"/>
        <w:right w:val="none" w:sz="0" w:space="0" w:color="auto"/>
      </w:divBdr>
      <w:divsChild>
        <w:div w:id="412894408">
          <w:marLeft w:val="0"/>
          <w:marRight w:val="0"/>
          <w:marTop w:val="0"/>
          <w:marBottom w:val="0"/>
          <w:divBdr>
            <w:top w:val="none" w:sz="0" w:space="0" w:color="auto"/>
            <w:left w:val="none" w:sz="0" w:space="0" w:color="auto"/>
            <w:bottom w:val="none" w:sz="0" w:space="0" w:color="auto"/>
            <w:right w:val="none" w:sz="0" w:space="0" w:color="auto"/>
          </w:divBdr>
        </w:div>
        <w:div w:id="483088414">
          <w:marLeft w:val="0"/>
          <w:marRight w:val="0"/>
          <w:marTop w:val="0"/>
          <w:marBottom w:val="0"/>
          <w:divBdr>
            <w:top w:val="none" w:sz="0" w:space="0" w:color="auto"/>
            <w:left w:val="none" w:sz="0" w:space="0" w:color="auto"/>
            <w:bottom w:val="none" w:sz="0" w:space="0" w:color="auto"/>
            <w:right w:val="none" w:sz="0" w:space="0" w:color="auto"/>
          </w:divBdr>
        </w:div>
        <w:div w:id="903570022">
          <w:marLeft w:val="0"/>
          <w:marRight w:val="0"/>
          <w:marTop w:val="0"/>
          <w:marBottom w:val="0"/>
          <w:divBdr>
            <w:top w:val="none" w:sz="0" w:space="0" w:color="auto"/>
            <w:left w:val="none" w:sz="0" w:space="0" w:color="auto"/>
            <w:bottom w:val="none" w:sz="0" w:space="0" w:color="auto"/>
            <w:right w:val="none" w:sz="0" w:space="0" w:color="auto"/>
          </w:divBdr>
        </w:div>
        <w:div w:id="1079794682">
          <w:marLeft w:val="0"/>
          <w:marRight w:val="0"/>
          <w:marTop w:val="0"/>
          <w:marBottom w:val="0"/>
          <w:divBdr>
            <w:top w:val="none" w:sz="0" w:space="0" w:color="auto"/>
            <w:left w:val="none" w:sz="0" w:space="0" w:color="auto"/>
            <w:bottom w:val="none" w:sz="0" w:space="0" w:color="auto"/>
            <w:right w:val="none" w:sz="0" w:space="0" w:color="auto"/>
          </w:divBdr>
        </w:div>
        <w:div w:id="1342775002">
          <w:marLeft w:val="0"/>
          <w:marRight w:val="0"/>
          <w:marTop w:val="0"/>
          <w:marBottom w:val="0"/>
          <w:divBdr>
            <w:top w:val="none" w:sz="0" w:space="0" w:color="auto"/>
            <w:left w:val="none" w:sz="0" w:space="0" w:color="auto"/>
            <w:bottom w:val="none" w:sz="0" w:space="0" w:color="auto"/>
            <w:right w:val="none" w:sz="0" w:space="0" w:color="auto"/>
          </w:divBdr>
        </w:div>
      </w:divsChild>
    </w:div>
    <w:div w:id="1996489020">
      <w:bodyDiv w:val="1"/>
      <w:marLeft w:val="0"/>
      <w:marRight w:val="0"/>
      <w:marTop w:val="0"/>
      <w:marBottom w:val="0"/>
      <w:divBdr>
        <w:top w:val="none" w:sz="0" w:space="0" w:color="auto"/>
        <w:left w:val="none" w:sz="0" w:space="0" w:color="auto"/>
        <w:bottom w:val="none" w:sz="0" w:space="0" w:color="auto"/>
        <w:right w:val="none" w:sz="0" w:space="0" w:color="auto"/>
      </w:divBdr>
      <w:divsChild>
        <w:div w:id="81755820">
          <w:marLeft w:val="0"/>
          <w:marRight w:val="0"/>
          <w:marTop w:val="0"/>
          <w:marBottom w:val="0"/>
          <w:divBdr>
            <w:top w:val="none" w:sz="0" w:space="0" w:color="auto"/>
            <w:left w:val="none" w:sz="0" w:space="0" w:color="auto"/>
            <w:bottom w:val="none" w:sz="0" w:space="0" w:color="auto"/>
            <w:right w:val="none" w:sz="0" w:space="0" w:color="auto"/>
          </w:divBdr>
        </w:div>
        <w:div w:id="321662621">
          <w:marLeft w:val="0"/>
          <w:marRight w:val="0"/>
          <w:marTop w:val="0"/>
          <w:marBottom w:val="0"/>
          <w:divBdr>
            <w:top w:val="none" w:sz="0" w:space="0" w:color="auto"/>
            <w:left w:val="none" w:sz="0" w:space="0" w:color="auto"/>
            <w:bottom w:val="none" w:sz="0" w:space="0" w:color="auto"/>
            <w:right w:val="none" w:sz="0" w:space="0" w:color="auto"/>
          </w:divBdr>
        </w:div>
        <w:div w:id="342782158">
          <w:marLeft w:val="0"/>
          <w:marRight w:val="0"/>
          <w:marTop w:val="0"/>
          <w:marBottom w:val="0"/>
          <w:divBdr>
            <w:top w:val="none" w:sz="0" w:space="0" w:color="auto"/>
            <w:left w:val="none" w:sz="0" w:space="0" w:color="auto"/>
            <w:bottom w:val="none" w:sz="0" w:space="0" w:color="auto"/>
            <w:right w:val="none" w:sz="0" w:space="0" w:color="auto"/>
          </w:divBdr>
        </w:div>
        <w:div w:id="384060852">
          <w:marLeft w:val="0"/>
          <w:marRight w:val="0"/>
          <w:marTop w:val="0"/>
          <w:marBottom w:val="0"/>
          <w:divBdr>
            <w:top w:val="none" w:sz="0" w:space="0" w:color="auto"/>
            <w:left w:val="none" w:sz="0" w:space="0" w:color="auto"/>
            <w:bottom w:val="none" w:sz="0" w:space="0" w:color="auto"/>
            <w:right w:val="none" w:sz="0" w:space="0" w:color="auto"/>
          </w:divBdr>
        </w:div>
        <w:div w:id="390930293">
          <w:marLeft w:val="0"/>
          <w:marRight w:val="0"/>
          <w:marTop w:val="0"/>
          <w:marBottom w:val="0"/>
          <w:divBdr>
            <w:top w:val="none" w:sz="0" w:space="0" w:color="auto"/>
            <w:left w:val="none" w:sz="0" w:space="0" w:color="auto"/>
            <w:bottom w:val="none" w:sz="0" w:space="0" w:color="auto"/>
            <w:right w:val="none" w:sz="0" w:space="0" w:color="auto"/>
          </w:divBdr>
        </w:div>
        <w:div w:id="869073995">
          <w:marLeft w:val="0"/>
          <w:marRight w:val="0"/>
          <w:marTop w:val="0"/>
          <w:marBottom w:val="0"/>
          <w:divBdr>
            <w:top w:val="none" w:sz="0" w:space="0" w:color="auto"/>
            <w:left w:val="none" w:sz="0" w:space="0" w:color="auto"/>
            <w:bottom w:val="none" w:sz="0" w:space="0" w:color="auto"/>
            <w:right w:val="none" w:sz="0" w:space="0" w:color="auto"/>
          </w:divBdr>
        </w:div>
        <w:div w:id="1182552507">
          <w:marLeft w:val="0"/>
          <w:marRight w:val="0"/>
          <w:marTop w:val="0"/>
          <w:marBottom w:val="0"/>
          <w:divBdr>
            <w:top w:val="none" w:sz="0" w:space="0" w:color="auto"/>
            <w:left w:val="none" w:sz="0" w:space="0" w:color="auto"/>
            <w:bottom w:val="none" w:sz="0" w:space="0" w:color="auto"/>
            <w:right w:val="none" w:sz="0" w:space="0" w:color="auto"/>
          </w:divBdr>
        </w:div>
        <w:div w:id="1219363887">
          <w:marLeft w:val="0"/>
          <w:marRight w:val="0"/>
          <w:marTop w:val="0"/>
          <w:marBottom w:val="0"/>
          <w:divBdr>
            <w:top w:val="none" w:sz="0" w:space="0" w:color="auto"/>
            <w:left w:val="none" w:sz="0" w:space="0" w:color="auto"/>
            <w:bottom w:val="none" w:sz="0" w:space="0" w:color="auto"/>
            <w:right w:val="none" w:sz="0" w:space="0" w:color="auto"/>
          </w:divBdr>
        </w:div>
        <w:div w:id="1228569552">
          <w:marLeft w:val="0"/>
          <w:marRight w:val="0"/>
          <w:marTop w:val="0"/>
          <w:marBottom w:val="0"/>
          <w:divBdr>
            <w:top w:val="none" w:sz="0" w:space="0" w:color="auto"/>
            <w:left w:val="none" w:sz="0" w:space="0" w:color="auto"/>
            <w:bottom w:val="none" w:sz="0" w:space="0" w:color="auto"/>
            <w:right w:val="none" w:sz="0" w:space="0" w:color="auto"/>
          </w:divBdr>
        </w:div>
        <w:div w:id="1300921164">
          <w:marLeft w:val="0"/>
          <w:marRight w:val="0"/>
          <w:marTop w:val="0"/>
          <w:marBottom w:val="0"/>
          <w:divBdr>
            <w:top w:val="none" w:sz="0" w:space="0" w:color="auto"/>
            <w:left w:val="none" w:sz="0" w:space="0" w:color="auto"/>
            <w:bottom w:val="none" w:sz="0" w:space="0" w:color="auto"/>
            <w:right w:val="none" w:sz="0" w:space="0" w:color="auto"/>
          </w:divBdr>
        </w:div>
        <w:div w:id="1342244645">
          <w:marLeft w:val="0"/>
          <w:marRight w:val="0"/>
          <w:marTop w:val="0"/>
          <w:marBottom w:val="0"/>
          <w:divBdr>
            <w:top w:val="none" w:sz="0" w:space="0" w:color="auto"/>
            <w:left w:val="none" w:sz="0" w:space="0" w:color="auto"/>
            <w:bottom w:val="none" w:sz="0" w:space="0" w:color="auto"/>
            <w:right w:val="none" w:sz="0" w:space="0" w:color="auto"/>
          </w:divBdr>
        </w:div>
        <w:div w:id="13764672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footer" Target="footer3.xml"/><Relationship Id="rId42" Type="http://schemas.openxmlformats.org/officeDocument/2006/relationships/hyperlink" Target="https://www.rwjf.org/en/our-focus-areas/topics/social-determinants-of-health.html" TargetMode="External"/><Relationship Id="rId63" Type="http://schemas.openxmlformats.org/officeDocument/2006/relationships/image" Target="media/image27.png"/><Relationship Id="rId84" Type="http://schemas.openxmlformats.org/officeDocument/2006/relationships/image" Target="media/image45.png"/><Relationship Id="rId138" Type="http://schemas.openxmlformats.org/officeDocument/2006/relationships/image" Target="media/image91.png"/><Relationship Id="rId159" Type="http://schemas.openxmlformats.org/officeDocument/2006/relationships/image" Target="media/image111.png"/><Relationship Id="rId170" Type="http://schemas.openxmlformats.org/officeDocument/2006/relationships/image" Target="media/image121.png"/><Relationship Id="rId191" Type="http://schemas.openxmlformats.org/officeDocument/2006/relationships/image" Target="media/image141.png"/><Relationship Id="rId196" Type="http://schemas.openxmlformats.org/officeDocument/2006/relationships/hyperlink" Target="http://www.healthcheck.nhs.uk/" TargetMode="External"/><Relationship Id="rId200" Type="http://schemas.openxmlformats.org/officeDocument/2006/relationships/fontTable" Target="fontTable.xml"/><Relationship Id="rId16" Type="http://schemas.openxmlformats.org/officeDocument/2006/relationships/header" Target="header1.xml"/><Relationship Id="rId107" Type="http://schemas.openxmlformats.org/officeDocument/2006/relationships/image" Target="media/image65.png"/><Relationship Id="rId11" Type="http://schemas.openxmlformats.org/officeDocument/2006/relationships/image" Target="media/image1.png"/><Relationship Id="rId32" Type="http://schemas.openxmlformats.org/officeDocument/2006/relationships/hyperlink" Target="https://www.instituteofhealthequity.org/resources-reports/fair-society-healthy-lives-the-marmot-review/fair-society-healthy-lives-exec-summary-pdf.pdf" TargetMode="External"/><Relationship Id="rId37" Type="http://schemas.openxmlformats.org/officeDocument/2006/relationships/hyperlink" Target="https://iseesystems.com/resources/articles/download/potential-of-system-dynamics.pdf" TargetMode="External"/><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60.png"/><Relationship Id="rId123" Type="http://schemas.openxmlformats.org/officeDocument/2006/relationships/image" Target="media/image78.png"/><Relationship Id="rId128" Type="http://schemas.openxmlformats.org/officeDocument/2006/relationships/image" Target="media/image83.png"/><Relationship Id="rId144" Type="http://schemas.openxmlformats.org/officeDocument/2006/relationships/image" Target="media/image97.png"/><Relationship Id="rId149" Type="http://schemas.openxmlformats.org/officeDocument/2006/relationships/image" Target="media/image102.png"/><Relationship Id="rId5" Type="http://schemas.openxmlformats.org/officeDocument/2006/relationships/numbering" Target="numbering.xml"/><Relationship Id="rId90" Type="http://schemas.openxmlformats.org/officeDocument/2006/relationships/image" Target="media/image50.png"/><Relationship Id="rId95" Type="http://schemas.openxmlformats.org/officeDocument/2006/relationships/image" Target="media/image55.png"/><Relationship Id="rId160" Type="http://schemas.openxmlformats.org/officeDocument/2006/relationships/image" Target="media/image112.png"/><Relationship Id="rId165" Type="http://schemas.openxmlformats.org/officeDocument/2006/relationships/image" Target="media/image117.png"/><Relationship Id="rId181" Type="http://schemas.openxmlformats.org/officeDocument/2006/relationships/image" Target="media/image131.png"/><Relationship Id="rId186" Type="http://schemas.openxmlformats.org/officeDocument/2006/relationships/image" Target="media/image136.png"/><Relationship Id="rId22" Type="http://schemas.openxmlformats.org/officeDocument/2006/relationships/hyperlink" Target="https://www.legislation.gov.uk/ukpga/2022/31/contents/enacted" TargetMode="External"/><Relationship Id="rId27" Type="http://schemas.openxmlformats.org/officeDocument/2006/relationships/hyperlink" Target="https://assets.publishing.service.gov.uk/government/uploads/system/uploads/attachment_data/file/820783/Whole_systems_approach_to_obesity_guide.pdf" TargetMode="External"/><Relationship Id="rId43" Type="http://schemas.openxmlformats.org/officeDocument/2006/relationships/image" Target="media/image8.png"/><Relationship Id="rId48" Type="http://schemas.openxmlformats.org/officeDocument/2006/relationships/image" Target="media/image13.png"/><Relationship Id="rId64" Type="http://schemas.openxmlformats.org/officeDocument/2006/relationships/image" Target="media/image28.png"/><Relationship Id="rId69" Type="http://schemas.openxmlformats.org/officeDocument/2006/relationships/image" Target="media/image33.png"/><Relationship Id="rId113" Type="http://schemas.openxmlformats.org/officeDocument/2006/relationships/image" Target="media/image71.png"/><Relationship Id="rId118" Type="http://schemas.openxmlformats.org/officeDocument/2006/relationships/hyperlink" Target="https://www.kpho.org.uk/joint-strategic-needs-assessment/health-intelligence/disease-groups/mental-health" TargetMode="External"/><Relationship Id="rId134" Type="http://schemas.openxmlformats.org/officeDocument/2006/relationships/hyperlink" Target="https://www.nuffieldtrust.org.uk/resource/teenage-pregnancy" TargetMode="External"/><Relationship Id="rId139" Type="http://schemas.openxmlformats.org/officeDocument/2006/relationships/image" Target="media/image92.png"/><Relationship Id="rId80" Type="http://schemas.openxmlformats.org/officeDocument/2006/relationships/image" Target="media/image42.png"/><Relationship Id="rId85" Type="http://schemas.openxmlformats.org/officeDocument/2006/relationships/image" Target="media/image46.png"/><Relationship Id="rId150" Type="http://schemas.openxmlformats.org/officeDocument/2006/relationships/image" Target="media/image103.png"/><Relationship Id="rId155" Type="http://schemas.openxmlformats.org/officeDocument/2006/relationships/hyperlink" Target="https://www.gov.uk/government/statistics/cover-of-vaccination-evaluated-rapidly-cover-programme-2021-to-2022-quarterly-data" TargetMode="External"/><Relationship Id="rId171" Type="http://schemas.openxmlformats.org/officeDocument/2006/relationships/image" Target="media/image122.png"/><Relationship Id="rId176" Type="http://schemas.openxmlformats.org/officeDocument/2006/relationships/image" Target="media/image127.png"/><Relationship Id="rId192" Type="http://schemas.openxmlformats.org/officeDocument/2006/relationships/hyperlink" Target="https://letstalk.kent.gov.uk/kentandmedwaylistens" TargetMode="External"/><Relationship Id="rId197" Type="http://schemas.openxmlformats.org/officeDocument/2006/relationships/hyperlink" Target="https://www.kmkernel.org/" TargetMode="External"/><Relationship Id="rId201" Type="http://schemas.openxmlformats.org/officeDocument/2006/relationships/theme" Target="theme/theme1.xml"/><Relationship Id="rId12" Type="http://schemas.openxmlformats.org/officeDocument/2006/relationships/hyperlink" Target="http://www.kpho.org.uk" TargetMode="External"/><Relationship Id="rId17" Type="http://schemas.openxmlformats.org/officeDocument/2006/relationships/header" Target="header2.xml"/><Relationship Id="rId33" Type="http://schemas.openxmlformats.org/officeDocument/2006/relationships/hyperlink" Target="https://www.instituteofhealthequity.org/resources-reports/fair-society-healthy-lives-the-marmot-review" TargetMode="External"/><Relationship Id="rId38" Type="http://schemas.openxmlformats.org/officeDocument/2006/relationships/hyperlink" Target="https://health-policy-systems.biomedcentral.com/articles/10.1186/1478-4505-12-51" TargetMode="External"/><Relationship Id="rId59" Type="http://schemas.openxmlformats.org/officeDocument/2006/relationships/hyperlink" Target="https://www.ons.gov.uk/peoplepopulationandcommunity/populationandmigration/migrationwithintheuk/datasets/localareamigrationindicatorsunitedkingdom" TargetMode="External"/><Relationship Id="rId103" Type="http://schemas.openxmlformats.org/officeDocument/2006/relationships/image" Target="media/image61.png"/><Relationship Id="rId108" Type="http://schemas.openxmlformats.org/officeDocument/2006/relationships/image" Target="media/image66.png"/><Relationship Id="rId124" Type="http://schemas.openxmlformats.org/officeDocument/2006/relationships/image" Target="media/image79.png"/><Relationship Id="rId129" Type="http://schemas.openxmlformats.org/officeDocument/2006/relationships/image" Target="media/image84.png"/><Relationship Id="rId54" Type="http://schemas.openxmlformats.org/officeDocument/2006/relationships/image" Target="media/image19.png"/><Relationship Id="rId70" Type="http://schemas.openxmlformats.org/officeDocument/2006/relationships/image" Target="media/image34.png"/><Relationship Id="rId75" Type="http://schemas.openxmlformats.org/officeDocument/2006/relationships/image" Target="media/image37.png"/><Relationship Id="rId91" Type="http://schemas.openxmlformats.org/officeDocument/2006/relationships/image" Target="media/image51.png"/><Relationship Id="rId96" Type="http://schemas.openxmlformats.org/officeDocument/2006/relationships/image" Target="media/image56.png"/><Relationship Id="rId140" Type="http://schemas.openxmlformats.org/officeDocument/2006/relationships/image" Target="media/image93.png"/><Relationship Id="rId145" Type="http://schemas.openxmlformats.org/officeDocument/2006/relationships/image" Target="media/image98.png"/><Relationship Id="rId161" Type="http://schemas.openxmlformats.org/officeDocument/2006/relationships/image" Target="media/image113.png"/><Relationship Id="rId166" Type="http://schemas.openxmlformats.org/officeDocument/2006/relationships/image" Target="media/image118.png"/><Relationship Id="rId182" Type="http://schemas.openxmlformats.org/officeDocument/2006/relationships/image" Target="media/image132.png"/><Relationship Id="rId187"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gov.uk/government/publications/guidance-on-the-preparation-of-integrated-care-strategies/guidance-on-the-preparation-of-integrated-care-strategies" TargetMode="External"/><Relationship Id="rId28" Type="http://schemas.openxmlformats.org/officeDocument/2006/relationships/hyperlink" Target="https://www.kpho.org.uk/joint-strategic-needs-assessment/jsna-stakeholder-insight" TargetMode="External"/><Relationship Id="rId49" Type="http://schemas.openxmlformats.org/officeDocument/2006/relationships/image" Target="media/image14.png"/><Relationship Id="rId114" Type="http://schemas.openxmlformats.org/officeDocument/2006/relationships/image" Target="media/image72.png"/><Relationship Id="rId119" Type="http://schemas.openxmlformats.org/officeDocument/2006/relationships/hyperlink" Target="https://www.kpho.org.uk/joint-strategic-needs-assessment/jsna-stakeholder-insight" TargetMode="External"/><Relationship Id="rId44" Type="http://schemas.openxmlformats.org/officeDocument/2006/relationships/image" Target="media/image9.emf"/><Relationship Id="rId60" Type="http://schemas.openxmlformats.org/officeDocument/2006/relationships/image" Target="media/image24.png"/><Relationship Id="rId65" Type="http://schemas.openxmlformats.org/officeDocument/2006/relationships/image" Target="media/image29.png"/><Relationship Id="rId81" Type="http://schemas.openxmlformats.org/officeDocument/2006/relationships/hyperlink" Target="https://www.gov.uk/government/publications/the-khan-review-making-smoking-obsolete" TargetMode="External"/><Relationship Id="rId86" Type="http://schemas.openxmlformats.org/officeDocument/2006/relationships/image" Target="media/image47.png"/><Relationship Id="rId130" Type="http://schemas.openxmlformats.org/officeDocument/2006/relationships/image" Target="media/image85.png"/><Relationship Id="rId135" Type="http://schemas.openxmlformats.org/officeDocument/2006/relationships/image" Target="media/image88.png"/><Relationship Id="rId151" Type="http://schemas.openxmlformats.org/officeDocument/2006/relationships/image" Target="media/image104.png"/><Relationship Id="rId156" Type="http://schemas.openxmlformats.org/officeDocument/2006/relationships/image" Target="media/image108.png"/><Relationship Id="rId177" Type="http://schemas.openxmlformats.org/officeDocument/2006/relationships/image" Target="media/image128.png"/><Relationship Id="rId198" Type="http://schemas.openxmlformats.org/officeDocument/2006/relationships/header" Target="header4.xml"/><Relationship Id="rId172" Type="http://schemas.openxmlformats.org/officeDocument/2006/relationships/image" Target="media/image123.png"/><Relationship Id="rId193" Type="http://schemas.openxmlformats.org/officeDocument/2006/relationships/image" Target="media/image142.png"/><Relationship Id="rId202" Type="http://schemas.microsoft.com/office/2020/10/relationships/intelligence" Target="intelligence2.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hyperlink" Target="https://www.health.org.uk/publications/the-need-for-a-complex-systems-model-of-evidence-for-public-health" TargetMode="External"/><Relationship Id="rId109" Type="http://schemas.openxmlformats.org/officeDocument/2006/relationships/image" Target="media/image67.png"/><Relationship Id="rId34" Type="http://schemas.openxmlformats.org/officeDocument/2006/relationships/hyperlink" Target="https://www.kpho.org.uk/__data/assets/pdf_file/0020/93080/West-Kent-Needs-Assessment-compressed.pdf" TargetMode="Externa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38.png"/><Relationship Id="rId97" Type="http://schemas.openxmlformats.org/officeDocument/2006/relationships/image" Target="media/image57.png"/><Relationship Id="rId104" Type="http://schemas.openxmlformats.org/officeDocument/2006/relationships/image" Target="media/image62.png"/><Relationship Id="rId120" Type="http://schemas.openxmlformats.org/officeDocument/2006/relationships/image" Target="media/image75.png"/><Relationship Id="rId125" Type="http://schemas.openxmlformats.org/officeDocument/2006/relationships/image" Target="media/image80.png"/><Relationship Id="rId141" Type="http://schemas.openxmlformats.org/officeDocument/2006/relationships/image" Target="media/image94.png"/><Relationship Id="rId146" Type="http://schemas.openxmlformats.org/officeDocument/2006/relationships/image" Target="media/image99.png"/><Relationship Id="rId167" Type="http://schemas.openxmlformats.org/officeDocument/2006/relationships/image" Target="media/image119.png"/><Relationship Id="rId188" Type="http://schemas.openxmlformats.org/officeDocument/2006/relationships/image" Target="media/image138.emf"/><Relationship Id="rId7" Type="http://schemas.openxmlformats.org/officeDocument/2006/relationships/settings" Target="settings.xml"/><Relationship Id="rId71" Type="http://schemas.openxmlformats.org/officeDocument/2006/relationships/image" Target="media/image35.png"/><Relationship Id="rId92" Type="http://schemas.openxmlformats.org/officeDocument/2006/relationships/image" Target="media/image52.png"/><Relationship Id="rId162" Type="http://schemas.openxmlformats.org/officeDocument/2006/relationships/image" Target="media/image114.png"/><Relationship Id="rId183" Type="http://schemas.openxmlformats.org/officeDocument/2006/relationships/image" Target="media/image133.png"/><Relationship Id="rId2" Type="http://schemas.openxmlformats.org/officeDocument/2006/relationships/customXml" Target="../customXml/item2.xml"/><Relationship Id="rId29" Type="http://schemas.openxmlformats.org/officeDocument/2006/relationships/hyperlink" Target="https://www.kmkernel.org/" TargetMode="External"/><Relationship Id="rId24" Type="http://schemas.openxmlformats.org/officeDocument/2006/relationships/hyperlink" Target="https://www.instituteofhealthequity.org/resources-reports/fair-society-healthy-lives-the-marmot-review/fair-society-healthy-lives-exec-summary-pdf.pdf" TargetMode="External"/><Relationship Id="rId40" Type="http://schemas.openxmlformats.org/officeDocument/2006/relationships/hyperlink" Target="https://www.gov.uk/government/statistics/english-indices-of-deprivation-2019" TargetMode="External"/><Relationship Id="rId45" Type="http://schemas.openxmlformats.org/officeDocument/2006/relationships/image" Target="media/image10.png"/><Relationship Id="rId66" Type="http://schemas.openxmlformats.org/officeDocument/2006/relationships/image" Target="media/image30.png"/><Relationship Id="rId87" Type="http://schemas.openxmlformats.org/officeDocument/2006/relationships/hyperlink" Target="https://www.kpho.org.uk/__data/assets/pdf_file/0014/130343/Alcohol-Needs-Assessment-for-Kent-10.12.21-Final.pdf" TargetMode="External"/><Relationship Id="rId110" Type="http://schemas.openxmlformats.org/officeDocument/2006/relationships/image" Target="media/image68.png"/><Relationship Id="rId115" Type="http://schemas.openxmlformats.org/officeDocument/2006/relationships/hyperlink" Target="https://www.involvekent.org.uk/keeping-active" TargetMode="External"/><Relationship Id="rId131" Type="http://schemas.openxmlformats.org/officeDocument/2006/relationships/image" Target="media/image86.png"/><Relationship Id="rId136" Type="http://schemas.openxmlformats.org/officeDocument/2006/relationships/image" Target="media/image89.png"/><Relationship Id="rId157" Type="http://schemas.openxmlformats.org/officeDocument/2006/relationships/image" Target="media/image109.png"/><Relationship Id="rId178" Type="http://schemas.openxmlformats.org/officeDocument/2006/relationships/image" Target="media/image129.png"/><Relationship Id="rId61" Type="http://schemas.openxmlformats.org/officeDocument/2006/relationships/image" Target="media/image25.png"/><Relationship Id="rId82" Type="http://schemas.openxmlformats.org/officeDocument/2006/relationships/image" Target="media/image43.png"/><Relationship Id="rId152" Type="http://schemas.openxmlformats.org/officeDocument/2006/relationships/image" Target="media/image105.png"/><Relationship Id="rId173" Type="http://schemas.openxmlformats.org/officeDocument/2006/relationships/image" Target="media/image124.png"/><Relationship Id="rId194" Type="http://schemas.openxmlformats.org/officeDocument/2006/relationships/hyperlink" Target="https://www.emro.who.int/about-who/public-health-functions/health-promotion-disease-prevention.html" TargetMode="External"/><Relationship Id="rId199" Type="http://schemas.openxmlformats.org/officeDocument/2006/relationships/header" Target="header5.xml"/><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hyperlink" Target="https://www.legislation.gov.uk/ukpga/2022/31/contents/enacted" TargetMode="External"/><Relationship Id="rId35" Type="http://schemas.openxmlformats.org/officeDocument/2006/relationships/hyperlink" Target="https://outcomesbasedhealthcare.com/" TargetMode="External"/><Relationship Id="rId56" Type="http://schemas.openxmlformats.org/officeDocument/2006/relationships/image" Target="media/image21.png"/><Relationship Id="rId77" Type="http://schemas.openxmlformats.org/officeDocument/2006/relationships/image" Target="media/image39.png"/><Relationship Id="rId100" Type="http://schemas.openxmlformats.org/officeDocument/2006/relationships/hyperlink" Target="https://www.england.nhs.uk/rightcare/wp-content/uploads/sites/40/2019/07/frailty-toolkit-june-2019-v1.pdf" TargetMode="External"/><Relationship Id="rId105" Type="http://schemas.openxmlformats.org/officeDocument/2006/relationships/image" Target="media/image63.png"/><Relationship Id="rId126" Type="http://schemas.openxmlformats.org/officeDocument/2006/relationships/image" Target="media/image81.png"/><Relationship Id="rId147" Type="http://schemas.openxmlformats.org/officeDocument/2006/relationships/image" Target="media/image100.png"/><Relationship Id="rId168" Type="http://schemas.openxmlformats.org/officeDocument/2006/relationships/image" Target="media/image120.svg"/><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hyperlink" Target="https://digital.nhs.uk/data-and-information/publications/statistical/general-and-personal-medical-services/31-october-2022/using-this-publication" TargetMode="External"/><Relationship Id="rId93" Type="http://schemas.openxmlformats.org/officeDocument/2006/relationships/image" Target="media/image53.png"/><Relationship Id="rId98" Type="http://schemas.openxmlformats.org/officeDocument/2006/relationships/image" Target="media/image58.png"/><Relationship Id="rId121" Type="http://schemas.openxmlformats.org/officeDocument/2006/relationships/image" Target="media/image76.png"/><Relationship Id="rId142" Type="http://schemas.openxmlformats.org/officeDocument/2006/relationships/image" Target="media/image95.png"/><Relationship Id="rId163" Type="http://schemas.openxmlformats.org/officeDocument/2006/relationships/image" Target="media/image115.png"/><Relationship Id="rId184" Type="http://schemas.openxmlformats.org/officeDocument/2006/relationships/image" Target="media/image134.png"/><Relationship Id="rId189" Type="http://schemas.openxmlformats.org/officeDocument/2006/relationships/image" Target="media/image139.png"/><Relationship Id="rId3" Type="http://schemas.openxmlformats.org/officeDocument/2006/relationships/customXml" Target="../customXml/item3.xml"/><Relationship Id="rId25" Type="http://schemas.openxmlformats.org/officeDocument/2006/relationships/hyperlink" Target="https://www.instituteofhealthequity.org/resources-reports/fair-society-healthy-lives-the-marmot-review" TargetMode="External"/><Relationship Id="rId46" Type="http://schemas.openxmlformats.org/officeDocument/2006/relationships/image" Target="media/image11.png"/><Relationship Id="rId67" Type="http://schemas.openxmlformats.org/officeDocument/2006/relationships/image" Target="media/image31.png"/><Relationship Id="rId116" Type="http://schemas.openxmlformats.org/officeDocument/2006/relationships/image" Target="media/image73.png"/><Relationship Id="rId137" Type="http://schemas.openxmlformats.org/officeDocument/2006/relationships/image" Target="media/image90.png"/><Relationship Id="rId158" Type="http://schemas.openxmlformats.org/officeDocument/2006/relationships/image" Target="media/image110.png"/><Relationship Id="rId20" Type="http://schemas.openxmlformats.org/officeDocument/2006/relationships/header" Target="header3.xml"/><Relationship Id="rId41" Type="http://schemas.openxmlformats.org/officeDocument/2006/relationships/hyperlink" Target="https://www.kent.gov.uk/about-the-council/strategies-and-policies/corporate-policies/our-council-strategy" TargetMode="External"/><Relationship Id="rId62" Type="http://schemas.openxmlformats.org/officeDocument/2006/relationships/image" Target="media/image26.png"/><Relationship Id="rId83" Type="http://schemas.openxmlformats.org/officeDocument/2006/relationships/image" Target="media/image44.png"/><Relationship Id="rId88" Type="http://schemas.openxmlformats.org/officeDocument/2006/relationships/image" Target="media/image48.png"/><Relationship Id="rId111" Type="http://schemas.openxmlformats.org/officeDocument/2006/relationships/image" Target="media/image69.png"/><Relationship Id="rId132" Type="http://schemas.openxmlformats.org/officeDocument/2006/relationships/hyperlink" Target="https://www.nice.org.uk/guidance/ng60/chapter/Recommendations" TargetMode="External"/><Relationship Id="rId153" Type="http://schemas.openxmlformats.org/officeDocument/2006/relationships/image" Target="media/image106.png"/><Relationship Id="rId174" Type="http://schemas.openxmlformats.org/officeDocument/2006/relationships/image" Target="media/image125.png"/><Relationship Id="rId179" Type="http://schemas.openxmlformats.org/officeDocument/2006/relationships/image" Target="media/image130.png"/><Relationship Id="rId195" Type="http://schemas.openxmlformats.org/officeDocument/2006/relationships/hyperlink" Target="https://assets.publishing.service.gov.uk/government/uploads/system/uploads/attachment_data/file/820783/Whole_systems_approach_to_obesity_guide.pdf" TargetMode="External"/><Relationship Id="rId190" Type="http://schemas.openxmlformats.org/officeDocument/2006/relationships/image" Target="media/image140.png"/><Relationship Id="rId15" Type="http://schemas.openxmlformats.org/officeDocument/2006/relationships/image" Target="media/image4.png"/><Relationship Id="rId36" Type="http://schemas.openxmlformats.org/officeDocument/2006/relationships/hyperlink" Target="https://www.kpho.org.uk/joint-strategic-needs-assessment/jsna-population-cohort-model" TargetMode="External"/><Relationship Id="rId57" Type="http://schemas.openxmlformats.org/officeDocument/2006/relationships/image" Target="media/image22.png"/><Relationship Id="rId106" Type="http://schemas.openxmlformats.org/officeDocument/2006/relationships/image" Target="media/image64.png"/><Relationship Id="rId127" Type="http://schemas.openxmlformats.org/officeDocument/2006/relationships/image" Target="media/image82.png"/><Relationship Id="rId10" Type="http://schemas.openxmlformats.org/officeDocument/2006/relationships/endnotes" Target="endnotes.xml"/><Relationship Id="rId31" Type="http://schemas.openxmlformats.org/officeDocument/2006/relationships/hyperlink" Target="https://www.gov.uk/government/publications/guidance-on-the-preparation-of-integrated-care-strategies/guidance-on-the-preparation-of-integrated-care-strategies" TargetMode="External"/><Relationship Id="rId52" Type="http://schemas.openxmlformats.org/officeDocument/2006/relationships/image" Target="media/image17.png"/><Relationship Id="rId73" Type="http://schemas.openxmlformats.org/officeDocument/2006/relationships/hyperlink" Target="https://fingertips.phe.org.uk/" TargetMode="External"/><Relationship Id="rId78" Type="http://schemas.openxmlformats.org/officeDocument/2006/relationships/image" Target="media/image40.png"/><Relationship Id="rId94" Type="http://schemas.openxmlformats.org/officeDocument/2006/relationships/image" Target="media/image54.png"/><Relationship Id="rId99" Type="http://schemas.openxmlformats.org/officeDocument/2006/relationships/hyperlink" Target="https://www.ageuk.org.uk/our-impact/policy-research/frailty-in-older-people/frailty-and-the-nhs-long-term-plan/" TargetMode="External"/><Relationship Id="rId101" Type="http://schemas.openxmlformats.org/officeDocument/2006/relationships/image" Target="media/image59.png"/><Relationship Id="rId122" Type="http://schemas.openxmlformats.org/officeDocument/2006/relationships/image" Target="media/image77.png"/><Relationship Id="rId143" Type="http://schemas.openxmlformats.org/officeDocument/2006/relationships/image" Target="media/image96.png"/><Relationship Id="rId148" Type="http://schemas.openxmlformats.org/officeDocument/2006/relationships/image" Target="media/image101.png"/><Relationship Id="rId164" Type="http://schemas.openxmlformats.org/officeDocument/2006/relationships/image" Target="media/image116.png"/><Relationship Id="rId169" Type="http://schemas.openxmlformats.org/officeDocument/2006/relationships/hyperlink" Target="https://onlinelibrary.wiley.com/doi/full/10.1111/j.1468-0009.2007.00483.x" TargetMode="External"/><Relationship Id="rId185" Type="http://schemas.openxmlformats.org/officeDocument/2006/relationships/image" Target="media/image135.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chart" Target="charts/chart1.xml"/><Relationship Id="rId26" Type="http://schemas.openxmlformats.org/officeDocument/2006/relationships/hyperlink" Target="https://www.emro.who.int/about-who/public-health-functions/health-promotion-disease-prevention.html" TargetMode="External"/><Relationship Id="rId47" Type="http://schemas.openxmlformats.org/officeDocument/2006/relationships/image" Target="media/image12.png"/><Relationship Id="rId68" Type="http://schemas.openxmlformats.org/officeDocument/2006/relationships/image" Target="media/image32.png"/><Relationship Id="rId89" Type="http://schemas.openxmlformats.org/officeDocument/2006/relationships/image" Target="media/image49.png"/><Relationship Id="rId112" Type="http://schemas.openxmlformats.org/officeDocument/2006/relationships/image" Target="media/image70.png"/><Relationship Id="rId133" Type="http://schemas.openxmlformats.org/officeDocument/2006/relationships/image" Target="media/image87.png"/><Relationship Id="rId154" Type="http://schemas.openxmlformats.org/officeDocument/2006/relationships/image" Target="media/image107.png"/><Relationship Id="rId175" Type="http://schemas.openxmlformats.org/officeDocument/2006/relationships/image" Target="media/image126.png"/></Relationships>
</file>

<file path=word/_rels/footer3.xml.rels><?xml version="1.0" encoding="UTF-8" standalone="yes"?>
<Relationships xmlns="http://schemas.openxmlformats.org/package/2006/relationships"><Relationship Id="rId3" Type="http://schemas.openxmlformats.org/officeDocument/2006/relationships/hyperlink" Target="mailto:stephen.cochrane@kent.gov.uk" TargetMode="External"/><Relationship Id="rId2" Type="http://schemas.openxmlformats.org/officeDocument/2006/relationships/hyperlink" Target="mailto:abraham.george@Kent.gov.uk" TargetMode="External"/><Relationship Id="rId1" Type="http://schemas.openxmlformats.org/officeDocument/2006/relationships/image" Target="media/image6.png"/><Relationship Id="rId5" Type="http://schemas.openxmlformats.org/officeDocument/2006/relationships/hyperlink" Target="mailto:matthew.pateman@kent.gov.uk" TargetMode="External"/><Relationship Id="rId4"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about:blank"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Prevalence single health condition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'data scenarios'!$AG$17</c:f>
              <c:strCache>
                <c:ptCount val="1"/>
                <c:pt idx="0">
                  <c:v>Base</c:v>
                </c:pt>
              </c:strCache>
            </c:strRef>
          </c:tx>
          <c:spPr>
            <a:ln w="28575" cap="rnd">
              <a:solidFill>
                <a:schemeClr val="accent1"/>
              </a:solidFill>
              <a:round/>
            </a:ln>
            <a:effectLst/>
          </c:spPr>
          <c:marker>
            <c:symbol val="none"/>
          </c:marker>
          <c:cat>
            <c:numRef>
              <c:f>'data scenarios'!$AH$16:$BG$16</c:f>
              <c:numCache>
                <c:formatCode>General</c:formatCode>
                <c:ptCount val="2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numCache>
            </c:numRef>
          </c:cat>
          <c:val>
            <c:numRef>
              <c:f>'data scenarios'!$AH$17:$BG$17</c:f>
              <c:numCache>
                <c:formatCode>General</c:formatCode>
                <c:ptCount val="26"/>
                <c:pt idx="0">
                  <c:v>7.9</c:v>
                </c:pt>
                <c:pt idx="1">
                  <c:v>7.9</c:v>
                </c:pt>
                <c:pt idx="2">
                  <c:v>7.9</c:v>
                </c:pt>
                <c:pt idx="3">
                  <c:v>7.8000000000000007</c:v>
                </c:pt>
                <c:pt idx="4">
                  <c:v>7.8000000000000007</c:v>
                </c:pt>
                <c:pt idx="5">
                  <c:v>7.9</c:v>
                </c:pt>
                <c:pt idx="6">
                  <c:v>7.9</c:v>
                </c:pt>
                <c:pt idx="7">
                  <c:v>7.9</c:v>
                </c:pt>
                <c:pt idx="8">
                  <c:v>8</c:v>
                </c:pt>
                <c:pt idx="9">
                  <c:v>8</c:v>
                </c:pt>
                <c:pt idx="10">
                  <c:v>8</c:v>
                </c:pt>
                <c:pt idx="11">
                  <c:v>8</c:v>
                </c:pt>
                <c:pt idx="12">
                  <c:v>8</c:v>
                </c:pt>
                <c:pt idx="13">
                  <c:v>8.1</c:v>
                </c:pt>
                <c:pt idx="14">
                  <c:v>8.1</c:v>
                </c:pt>
                <c:pt idx="15">
                  <c:v>8.1</c:v>
                </c:pt>
                <c:pt idx="16">
                  <c:v>8</c:v>
                </c:pt>
                <c:pt idx="17">
                  <c:v>8.1</c:v>
                </c:pt>
                <c:pt idx="18">
                  <c:v>8.1</c:v>
                </c:pt>
                <c:pt idx="19">
                  <c:v>8.1999999999999993</c:v>
                </c:pt>
                <c:pt idx="20">
                  <c:v>8.2999999999999989</c:v>
                </c:pt>
                <c:pt idx="21">
                  <c:v>8.2999999999999989</c:v>
                </c:pt>
                <c:pt idx="22">
                  <c:v>8.4</c:v>
                </c:pt>
                <c:pt idx="23">
                  <c:v>8.3000000000000007</c:v>
                </c:pt>
                <c:pt idx="24">
                  <c:v>8.2000000000000011</c:v>
                </c:pt>
                <c:pt idx="25">
                  <c:v>8.1999999999999993</c:v>
                </c:pt>
              </c:numCache>
            </c:numRef>
          </c:val>
          <c:smooth val="0"/>
          <c:extLst>
            <c:ext xmlns:c16="http://schemas.microsoft.com/office/drawing/2014/chart" uri="{C3380CC4-5D6E-409C-BE32-E72D297353CC}">
              <c16:uniqueId val="{00000000-6869-4C32-AF6A-EDF32687E851}"/>
            </c:ext>
          </c:extLst>
        </c:ser>
        <c:ser>
          <c:idx val="1"/>
          <c:order val="1"/>
          <c:tx>
            <c:strRef>
              <c:f>'data scenarios'!$AG$18</c:f>
              <c:strCache>
                <c:ptCount val="1"/>
                <c:pt idx="0">
                  <c:v>Smoking</c:v>
                </c:pt>
              </c:strCache>
            </c:strRef>
          </c:tx>
          <c:spPr>
            <a:ln w="28575" cap="rnd">
              <a:solidFill>
                <a:schemeClr val="accent2"/>
              </a:solidFill>
              <a:round/>
            </a:ln>
            <a:effectLst/>
          </c:spPr>
          <c:marker>
            <c:symbol val="none"/>
          </c:marker>
          <c:cat>
            <c:numRef>
              <c:f>'data scenarios'!$AH$16:$BG$16</c:f>
              <c:numCache>
                <c:formatCode>General</c:formatCode>
                <c:ptCount val="2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numCache>
            </c:numRef>
          </c:cat>
          <c:val>
            <c:numRef>
              <c:f>'data scenarios'!$AH$18:$BG$18</c:f>
              <c:numCache>
                <c:formatCode>General</c:formatCode>
                <c:ptCount val="26"/>
                <c:pt idx="0">
                  <c:v>7.9</c:v>
                </c:pt>
                <c:pt idx="1">
                  <c:v>7.9</c:v>
                </c:pt>
                <c:pt idx="2">
                  <c:v>7.9</c:v>
                </c:pt>
                <c:pt idx="3">
                  <c:v>7.8000000000000007</c:v>
                </c:pt>
                <c:pt idx="4">
                  <c:v>7.8000000000000007</c:v>
                </c:pt>
                <c:pt idx="5">
                  <c:v>8</c:v>
                </c:pt>
                <c:pt idx="6">
                  <c:v>7.9</c:v>
                </c:pt>
                <c:pt idx="7">
                  <c:v>8</c:v>
                </c:pt>
                <c:pt idx="8">
                  <c:v>8</c:v>
                </c:pt>
                <c:pt idx="9">
                  <c:v>7.9999999999999991</c:v>
                </c:pt>
                <c:pt idx="10">
                  <c:v>7.8999999999999986</c:v>
                </c:pt>
                <c:pt idx="11">
                  <c:v>7.8999999999999986</c:v>
                </c:pt>
                <c:pt idx="12">
                  <c:v>8</c:v>
                </c:pt>
                <c:pt idx="13">
                  <c:v>8</c:v>
                </c:pt>
                <c:pt idx="14">
                  <c:v>8</c:v>
                </c:pt>
                <c:pt idx="15">
                  <c:v>8</c:v>
                </c:pt>
                <c:pt idx="16">
                  <c:v>8.1</c:v>
                </c:pt>
                <c:pt idx="17">
                  <c:v>8.1999999999999993</c:v>
                </c:pt>
                <c:pt idx="18">
                  <c:v>8.1999999999999993</c:v>
                </c:pt>
                <c:pt idx="19">
                  <c:v>8.3000000000000007</c:v>
                </c:pt>
                <c:pt idx="20">
                  <c:v>8.3000000000000007</c:v>
                </c:pt>
                <c:pt idx="21">
                  <c:v>8.1</c:v>
                </c:pt>
                <c:pt idx="22">
                  <c:v>8.1</c:v>
                </c:pt>
                <c:pt idx="23">
                  <c:v>8.1</c:v>
                </c:pt>
                <c:pt idx="24">
                  <c:v>8.1</c:v>
                </c:pt>
                <c:pt idx="25">
                  <c:v>8.2000000000000011</c:v>
                </c:pt>
              </c:numCache>
            </c:numRef>
          </c:val>
          <c:smooth val="0"/>
          <c:extLst>
            <c:ext xmlns:c16="http://schemas.microsoft.com/office/drawing/2014/chart" uri="{C3380CC4-5D6E-409C-BE32-E72D297353CC}">
              <c16:uniqueId val="{00000001-6869-4C32-AF6A-EDF32687E851}"/>
            </c:ext>
          </c:extLst>
        </c:ser>
        <c:ser>
          <c:idx val="2"/>
          <c:order val="2"/>
          <c:tx>
            <c:strRef>
              <c:f>'data scenarios'!$AG$19</c:f>
              <c:strCache>
                <c:ptCount val="1"/>
                <c:pt idx="0">
                  <c:v>BMI</c:v>
                </c:pt>
              </c:strCache>
            </c:strRef>
          </c:tx>
          <c:spPr>
            <a:ln w="28575" cap="rnd">
              <a:solidFill>
                <a:schemeClr val="accent3"/>
              </a:solidFill>
              <a:round/>
            </a:ln>
            <a:effectLst/>
          </c:spPr>
          <c:marker>
            <c:symbol val="none"/>
          </c:marker>
          <c:cat>
            <c:numRef>
              <c:f>'data scenarios'!$AH$16:$BG$16</c:f>
              <c:numCache>
                <c:formatCode>General</c:formatCode>
                <c:ptCount val="2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numCache>
            </c:numRef>
          </c:cat>
          <c:val>
            <c:numRef>
              <c:f>'data scenarios'!$AH$19:$BG$19</c:f>
              <c:numCache>
                <c:formatCode>General</c:formatCode>
                <c:ptCount val="26"/>
                <c:pt idx="0">
                  <c:v>7.9</c:v>
                </c:pt>
                <c:pt idx="1">
                  <c:v>7.9</c:v>
                </c:pt>
                <c:pt idx="2">
                  <c:v>7.9</c:v>
                </c:pt>
                <c:pt idx="3">
                  <c:v>7.8000000000000007</c:v>
                </c:pt>
                <c:pt idx="4">
                  <c:v>7.8000000000000007</c:v>
                </c:pt>
                <c:pt idx="5">
                  <c:v>7.9</c:v>
                </c:pt>
                <c:pt idx="6">
                  <c:v>7.8000000000000007</c:v>
                </c:pt>
                <c:pt idx="7">
                  <c:v>7.9</c:v>
                </c:pt>
                <c:pt idx="8">
                  <c:v>8</c:v>
                </c:pt>
                <c:pt idx="9">
                  <c:v>8</c:v>
                </c:pt>
                <c:pt idx="10">
                  <c:v>7.9</c:v>
                </c:pt>
                <c:pt idx="11">
                  <c:v>7.9</c:v>
                </c:pt>
                <c:pt idx="12">
                  <c:v>7.9</c:v>
                </c:pt>
                <c:pt idx="13">
                  <c:v>7.9</c:v>
                </c:pt>
                <c:pt idx="14">
                  <c:v>8</c:v>
                </c:pt>
                <c:pt idx="15">
                  <c:v>8.1</c:v>
                </c:pt>
                <c:pt idx="16">
                  <c:v>8.1999999999999993</c:v>
                </c:pt>
                <c:pt idx="17">
                  <c:v>8.1</c:v>
                </c:pt>
                <c:pt idx="18">
                  <c:v>8</c:v>
                </c:pt>
                <c:pt idx="19">
                  <c:v>8</c:v>
                </c:pt>
                <c:pt idx="20">
                  <c:v>8</c:v>
                </c:pt>
                <c:pt idx="21">
                  <c:v>8</c:v>
                </c:pt>
                <c:pt idx="22">
                  <c:v>8</c:v>
                </c:pt>
                <c:pt idx="23">
                  <c:v>8</c:v>
                </c:pt>
                <c:pt idx="24">
                  <c:v>8.1</c:v>
                </c:pt>
                <c:pt idx="25">
                  <c:v>8</c:v>
                </c:pt>
              </c:numCache>
            </c:numRef>
          </c:val>
          <c:smooth val="0"/>
          <c:extLst>
            <c:ext xmlns:c16="http://schemas.microsoft.com/office/drawing/2014/chart" uri="{C3380CC4-5D6E-409C-BE32-E72D297353CC}">
              <c16:uniqueId val="{00000002-6869-4C32-AF6A-EDF32687E851}"/>
            </c:ext>
          </c:extLst>
        </c:ser>
        <c:ser>
          <c:idx val="3"/>
          <c:order val="3"/>
          <c:tx>
            <c:strRef>
              <c:f>'data scenarios'!$AG$20</c:f>
              <c:strCache>
                <c:ptCount val="1"/>
                <c:pt idx="0">
                  <c:v>Alcohol</c:v>
                </c:pt>
              </c:strCache>
            </c:strRef>
          </c:tx>
          <c:spPr>
            <a:ln w="28575" cap="rnd">
              <a:solidFill>
                <a:schemeClr val="accent4"/>
              </a:solidFill>
              <a:round/>
            </a:ln>
            <a:effectLst/>
          </c:spPr>
          <c:marker>
            <c:symbol val="none"/>
          </c:marker>
          <c:cat>
            <c:numRef>
              <c:f>'data scenarios'!$AH$16:$BG$16</c:f>
              <c:numCache>
                <c:formatCode>General</c:formatCode>
                <c:ptCount val="2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numCache>
            </c:numRef>
          </c:cat>
          <c:val>
            <c:numRef>
              <c:f>'data scenarios'!$AH$20:$BG$20</c:f>
              <c:numCache>
                <c:formatCode>General</c:formatCode>
                <c:ptCount val="26"/>
                <c:pt idx="0">
                  <c:v>7.9</c:v>
                </c:pt>
                <c:pt idx="1">
                  <c:v>7.9</c:v>
                </c:pt>
                <c:pt idx="2">
                  <c:v>7.9</c:v>
                </c:pt>
                <c:pt idx="3">
                  <c:v>7.8000000000000007</c:v>
                </c:pt>
                <c:pt idx="4">
                  <c:v>7.8000000000000007</c:v>
                </c:pt>
                <c:pt idx="5">
                  <c:v>7.9</c:v>
                </c:pt>
                <c:pt idx="6">
                  <c:v>7.9</c:v>
                </c:pt>
                <c:pt idx="7">
                  <c:v>7.9</c:v>
                </c:pt>
                <c:pt idx="8">
                  <c:v>8</c:v>
                </c:pt>
                <c:pt idx="9">
                  <c:v>8</c:v>
                </c:pt>
                <c:pt idx="10">
                  <c:v>7.9</c:v>
                </c:pt>
                <c:pt idx="11">
                  <c:v>8</c:v>
                </c:pt>
                <c:pt idx="12">
                  <c:v>8</c:v>
                </c:pt>
                <c:pt idx="13">
                  <c:v>8</c:v>
                </c:pt>
                <c:pt idx="14">
                  <c:v>8.1</c:v>
                </c:pt>
                <c:pt idx="15">
                  <c:v>8.1</c:v>
                </c:pt>
                <c:pt idx="16">
                  <c:v>8.1000000000000014</c:v>
                </c:pt>
                <c:pt idx="17">
                  <c:v>8.1</c:v>
                </c:pt>
                <c:pt idx="18">
                  <c:v>8.1999999999999993</c:v>
                </c:pt>
                <c:pt idx="19">
                  <c:v>8.1999999999999993</c:v>
                </c:pt>
                <c:pt idx="20">
                  <c:v>8.1999999999999993</c:v>
                </c:pt>
                <c:pt idx="21">
                  <c:v>8.2999999999999989</c:v>
                </c:pt>
                <c:pt idx="22">
                  <c:v>8.2999999999999989</c:v>
                </c:pt>
                <c:pt idx="23">
                  <c:v>8.2999999999999989</c:v>
                </c:pt>
                <c:pt idx="24">
                  <c:v>8.1</c:v>
                </c:pt>
                <c:pt idx="25">
                  <c:v>8.2000000000000011</c:v>
                </c:pt>
              </c:numCache>
            </c:numRef>
          </c:val>
          <c:smooth val="0"/>
          <c:extLst>
            <c:ext xmlns:c16="http://schemas.microsoft.com/office/drawing/2014/chart" uri="{C3380CC4-5D6E-409C-BE32-E72D297353CC}">
              <c16:uniqueId val="{00000003-6869-4C32-AF6A-EDF32687E851}"/>
            </c:ext>
          </c:extLst>
        </c:ser>
        <c:ser>
          <c:idx val="4"/>
          <c:order val="4"/>
          <c:tx>
            <c:strRef>
              <c:f>'data scenarios'!$AG$21</c:f>
              <c:strCache>
                <c:ptCount val="1"/>
                <c:pt idx="0">
                  <c:v>ACE</c:v>
                </c:pt>
              </c:strCache>
            </c:strRef>
          </c:tx>
          <c:spPr>
            <a:ln w="28575" cap="rnd">
              <a:solidFill>
                <a:schemeClr val="accent5"/>
              </a:solidFill>
              <a:round/>
            </a:ln>
            <a:effectLst/>
          </c:spPr>
          <c:marker>
            <c:symbol val="none"/>
          </c:marker>
          <c:cat>
            <c:numRef>
              <c:f>'data scenarios'!$AH$16:$BG$16</c:f>
              <c:numCache>
                <c:formatCode>General</c:formatCode>
                <c:ptCount val="2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numCache>
            </c:numRef>
          </c:cat>
          <c:val>
            <c:numRef>
              <c:f>'data scenarios'!$AH$21:$BG$21</c:f>
              <c:numCache>
                <c:formatCode>General</c:formatCode>
                <c:ptCount val="26"/>
                <c:pt idx="0">
                  <c:v>7.9</c:v>
                </c:pt>
                <c:pt idx="1">
                  <c:v>7.9</c:v>
                </c:pt>
                <c:pt idx="2">
                  <c:v>7.9</c:v>
                </c:pt>
                <c:pt idx="3">
                  <c:v>7.8000000000000007</c:v>
                </c:pt>
                <c:pt idx="4">
                  <c:v>7.8000000000000007</c:v>
                </c:pt>
                <c:pt idx="5">
                  <c:v>7.9</c:v>
                </c:pt>
                <c:pt idx="6">
                  <c:v>7.9</c:v>
                </c:pt>
                <c:pt idx="7">
                  <c:v>7.9</c:v>
                </c:pt>
                <c:pt idx="8">
                  <c:v>8</c:v>
                </c:pt>
                <c:pt idx="9">
                  <c:v>8</c:v>
                </c:pt>
                <c:pt idx="10">
                  <c:v>8</c:v>
                </c:pt>
                <c:pt idx="11">
                  <c:v>8</c:v>
                </c:pt>
                <c:pt idx="12">
                  <c:v>8</c:v>
                </c:pt>
                <c:pt idx="13">
                  <c:v>8.1</c:v>
                </c:pt>
                <c:pt idx="14">
                  <c:v>8.1</c:v>
                </c:pt>
                <c:pt idx="15">
                  <c:v>8.1</c:v>
                </c:pt>
                <c:pt idx="16">
                  <c:v>8.1</c:v>
                </c:pt>
                <c:pt idx="17">
                  <c:v>8.1</c:v>
                </c:pt>
                <c:pt idx="18">
                  <c:v>8.1</c:v>
                </c:pt>
                <c:pt idx="19">
                  <c:v>8.1999999999999993</c:v>
                </c:pt>
                <c:pt idx="20">
                  <c:v>8.2999999999999989</c:v>
                </c:pt>
                <c:pt idx="21">
                  <c:v>8.2999999999999989</c:v>
                </c:pt>
                <c:pt idx="22">
                  <c:v>8.4</c:v>
                </c:pt>
                <c:pt idx="23">
                  <c:v>8.3000000000000007</c:v>
                </c:pt>
                <c:pt idx="24">
                  <c:v>8.2000000000000011</c:v>
                </c:pt>
                <c:pt idx="25">
                  <c:v>8.1999999999999993</c:v>
                </c:pt>
              </c:numCache>
            </c:numRef>
          </c:val>
          <c:smooth val="0"/>
          <c:extLst>
            <c:ext xmlns:c16="http://schemas.microsoft.com/office/drawing/2014/chart" uri="{C3380CC4-5D6E-409C-BE32-E72D297353CC}">
              <c16:uniqueId val="{00000004-6869-4C32-AF6A-EDF32687E851}"/>
            </c:ext>
          </c:extLst>
        </c:ser>
        <c:ser>
          <c:idx val="5"/>
          <c:order val="5"/>
          <c:tx>
            <c:strRef>
              <c:f>'data scenarios'!$AG$22</c:f>
              <c:strCache>
                <c:ptCount val="1"/>
                <c:pt idx="0">
                  <c:v>All</c:v>
                </c:pt>
              </c:strCache>
            </c:strRef>
          </c:tx>
          <c:spPr>
            <a:ln w="28575" cap="rnd">
              <a:solidFill>
                <a:schemeClr val="accent6"/>
              </a:solidFill>
              <a:round/>
            </a:ln>
            <a:effectLst/>
          </c:spPr>
          <c:marker>
            <c:symbol val="none"/>
          </c:marker>
          <c:cat>
            <c:numRef>
              <c:f>'data scenarios'!$AH$16:$BG$16</c:f>
              <c:numCache>
                <c:formatCode>General</c:formatCode>
                <c:ptCount val="2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numCache>
            </c:numRef>
          </c:cat>
          <c:val>
            <c:numRef>
              <c:f>'data scenarios'!$AH$22:$BG$22</c:f>
              <c:numCache>
                <c:formatCode>General</c:formatCode>
                <c:ptCount val="26"/>
                <c:pt idx="0">
                  <c:v>7.9</c:v>
                </c:pt>
                <c:pt idx="1">
                  <c:v>7.9</c:v>
                </c:pt>
                <c:pt idx="2">
                  <c:v>7.9</c:v>
                </c:pt>
                <c:pt idx="3">
                  <c:v>7.8000000000000007</c:v>
                </c:pt>
                <c:pt idx="4">
                  <c:v>7.8000000000000007</c:v>
                </c:pt>
                <c:pt idx="5">
                  <c:v>7.9</c:v>
                </c:pt>
                <c:pt idx="6">
                  <c:v>7.8000000000000007</c:v>
                </c:pt>
                <c:pt idx="7">
                  <c:v>7.9</c:v>
                </c:pt>
                <c:pt idx="8">
                  <c:v>8</c:v>
                </c:pt>
                <c:pt idx="9">
                  <c:v>8</c:v>
                </c:pt>
                <c:pt idx="10">
                  <c:v>7.7999999999999989</c:v>
                </c:pt>
                <c:pt idx="11">
                  <c:v>7.7999999999999989</c:v>
                </c:pt>
                <c:pt idx="12">
                  <c:v>7.9</c:v>
                </c:pt>
                <c:pt idx="13">
                  <c:v>7.9</c:v>
                </c:pt>
                <c:pt idx="14">
                  <c:v>7.9</c:v>
                </c:pt>
                <c:pt idx="15">
                  <c:v>8.1</c:v>
                </c:pt>
                <c:pt idx="16">
                  <c:v>8</c:v>
                </c:pt>
                <c:pt idx="17">
                  <c:v>7.8999999999999995</c:v>
                </c:pt>
                <c:pt idx="18">
                  <c:v>7.8999999999999995</c:v>
                </c:pt>
                <c:pt idx="19">
                  <c:v>7.8999999999999995</c:v>
                </c:pt>
                <c:pt idx="20">
                  <c:v>7.8999999999999995</c:v>
                </c:pt>
                <c:pt idx="21">
                  <c:v>7.8999999999999995</c:v>
                </c:pt>
                <c:pt idx="22">
                  <c:v>7.8999999999999995</c:v>
                </c:pt>
                <c:pt idx="23">
                  <c:v>7.8</c:v>
                </c:pt>
                <c:pt idx="24">
                  <c:v>7.7</c:v>
                </c:pt>
                <c:pt idx="25">
                  <c:v>7.7000000000000011</c:v>
                </c:pt>
              </c:numCache>
            </c:numRef>
          </c:val>
          <c:smooth val="0"/>
          <c:extLst>
            <c:ext xmlns:c16="http://schemas.microsoft.com/office/drawing/2014/chart" uri="{C3380CC4-5D6E-409C-BE32-E72D297353CC}">
              <c16:uniqueId val="{00000005-6869-4C32-AF6A-EDF32687E851}"/>
            </c:ext>
          </c:extLst>
        </c:ser>
        <c:dLbls>
          <c:showLegendKey val="0"/>
          <c:showVal val="0"/>
          <c:showCatName val="0"/>
          <c:showSerName val="0"/>
          <c:showPercent val="0"/>
          <c:showBubbleSize val="0"/>
        </c:dLbls>
        <c:smooth val="0"/>
        <c:axId val="2121664368"/>
        <c:axId val="2121664784"/>
      </c:lineChart>
      <c:catAx>
        <c:axId val="212166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1664784"/>
        <c:crosses val="autoZero"/>
        <c:auto val="1"/>
        <c:lblAlgn val="ctr"/>
        <c:lblOffset val="100"/>
        <c:noMultiLvlLbl val="0"/>
      </c:catAx>
      <c:valAx>
        <c:axId val="212166478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1664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DDF1F3"/>
        </a:solidFill>
        <a:ln>
          <a:solidFill>
            <a:srgbClr val="2D7C82"/>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txDef>
      <a:spPr bwMode="auto">
        <a:solidFill>
          <a:srgbClr val="FFFFFF"/>
        </a:solidFill>
        <a:ln w="9525">
          <a:solidFill>
            <a:srgbClr val="2D7C82"/>
          </a:solidFill>
          <a:miter lim="800000"/>
          <a:headEnd/>
          <a:tailEnd/>
        </a:ln>
      </a:spPr>
      <a:bodyPr rot="0" vert="horz" wrap="square" lIns="91440" tIns="45720" rIns="91440" bIns="4572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5185A8CC9B2094F9DFFB1C775E4F3DB" ma:contentTypeVersion="4" ma:contentTypeDescription="Create a new document." ma:contentTypeScope="" ma:versionID="ae003f3187cb87a2a30fd6a9d18b4c92">
  <xsd:schema xmlns:xsd="http://www.w3.org/2001/XMLSchema" xmlns:xs="http://www.w3.org/2001/XMLSchema" xmlns:p="http://schemas.microsoft.com/office/2006/metadata/properties" xmlns:ns2="32a15a09-4207-4caa-b5df-10eb891169f9" xmlns:ns3="5428c86c-5123-4cc6-a0f4-e252db4dca1a" targetNamespace="http://schemas.microsoft.com/office/2006/metadata/properties" ma:root="true" ma:fieldsID="6283738ec27c67103e2c24ee5a1596af" ns2:_="" ns3:_="">
    <xsd:import namespace="32a15a09-4207-4caa-b5df-10eb891169f9"/>
    <xsd:import namespace="5428c86c-5123-4cc6-a0f4-e252db4dca1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a15a09-4207-4caa-b5df-10eb891169f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428c86c-5123-4cc6-a0f4-e252db4dca1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5428c86c-5123-4cc6-a0f4-e252db4dca1a">
      <UserInfo>
        <DisplayName>Joshua Stroud - ST SC</DisplayName>
        <AccountId>55</AccountId>
        <AccountType/>
      </UserInfo>
    </SharedWithUsers>
  </documentManagement>
</p:properties>
</file>

<file path=customXml/itemProps1.xml><?xml version="1.0" encoding="utf-8"?>
<ds:datastoreItem xmlns:ds="http://schemas.openxmlformats.org/officeDocument/2006/customXml" ds:itemID="{D5CD7D46-8B8D-4F6B-B9F9-1F2DCE8EB0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a15a09-4207-4caa-b5df-10eb891169f9"/>
    <ds:schemaRef ds:uri="5428c86c-5123-4cc6-a0f4-e252db4dca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6750D23-DE81-47A2-AB16-D29D049D0F0D}">
  <ds:schemaRefs>
    <ds:schemaRef ds:uri="http://schemas.openxmlformats.org/officeDocument/2006/bibliography"/>
  </ds:schemaRefs>
</ds:datastoreItem>
</file>

<file path=customXml/itemProps3.xml><?xml version="1.0" encoding="utf-8"?>
<ds:datastoreItem xmlns:ds="http://schemas.openxmlformats.org/officeDocument/2006/customXml" ds:itemID="{66572138-B121-421E-912D-56B2076AF797}">
  <ds:schemaRefs>
    <ds:schemaRef ds:uri="http://schemas.microsoft.com/sharepoint/v3/contenttype/forms"/>
  </ds:schemaRefs>
</ds:datastoreItem>
</file>

<file path=customXml/itemProps4.xml><?xml version="1.0" encoding="utf-8"?>
<ds:datastoreItem xmlns:ds="http://schemas.openxmlformats.org/officeDocument/2006/customXml" ds:itemID="{99000C3E-3FDB-4173-921B-3714B7D90104}">
  <ds:schemaRefs>
    <ds:schemaRef ds:uri="http://schemas.microsoft.com/office/2006/metadata/properties"/>
    <ds:schemaRef ds:uri="http://schemas.microsoft.com/office/infopath/2007/PartnerControls"/>
    <ds:schemaRef ds:uri="5428c86c-5123-4cc6-a0f4-e252db4dca1a"/>
  </ds:schemaRefs>
</ds:datastoreItem>
</file>

<file path=docMetadata/LabelInfo.xml><?xml version="1.0" encoding="utf-8"?>
<clbl:labelList xmlns:clbl="http://schemas.microsoft.com/office/2020/mipLabelMetadata">
  <clbl:label id="{3253a20d-c735-4bfe-a8b7-3e6ab37f5f90}" enabled="0" method="" siteId="{3253a20d-c735-4bfe-a8b7-3e6ab37f5f90}" removed="1"/>
</clbl:labelList>
</file>

<file path=docProps/app.xml><?xml version="1.0" encoding="utf-8"?>
<Properties xmlns="http://schemas.openxmlformats.org/officeDocument/2006/extended-properties" xmlns:vt="http://schemas.openxmlformats.org/officeDocument/2006/docPropsVTypes">
  <Template>Normal</Template>
  <TotalTime>21</TotalTime>
  <Pages>135</Pages>
  <Words>25150</Words>
  <Characters>143361</Characters>
  <Application>Microsoft Office Word</Application>
  <DocSecurity>0</DocSecurity>
  <Lines>1194</Lines>
  <Paragraphs>336</Paragraphs>
  <ScaleCrop>false</ScaleCrop>
  <HeadingPairs>
    <vt:vector size="2" baseType="variant">
      <vt:variant>
        <vt:lpstr>Title</vt:lpstr>
      </vt:variant>
      <vt:variant>
        <vt:i4>1</vt:i4>
      </vt:variant>
    </vt:vector>
  </HeadingPairs>
  <TitlesOfParts>
    <vt:vector size="1" baseType="lpstr">
      <vt:lpstr/>
    </vt:vector>
  </TitlesOfParts>
  <Company>Kent County Council</Company>
  <LinksUpToDate>false</LinksUpToDate>
  <CharactersWithSpaces>168175</CharactersWithSpaces>
  <SharedDoc>false</SharedDoc>
  <HLinks>
    <vt:vector size="912" baseType="variant">
      <vt:variant>
        <vt:i4>4849675</vt:i4>
      </vt:variant>
      <vt:variant>
        <vt:i4>783</vt:i4>
      </vt:variant>
      <vt:variant>
        <vt:i4>0</vt:i4>
      </vt:variant>
      <vt:variant>
        <vt:i4>5</vt:i4>
      </vt:variant>
      <vt:variant>
        <vt:lpwstr>https://www.kmkernel.org/</vt:lpwstr>
      </vt:variant>
      <vt:variant>
        <vt:lpwstr/>
      </vt:variant>
      <vt:variant>
        <vt:i4>8126521</vt:i4>
      </vt:variant>
      <vt:variant>
        <vt:i4>780</vt:i4>
      </vt:variant>
      <vt:variant>
        <vt:i4>0</vt:i4>
      </vt:variant>
      <vt:variant>
        <vt:i4>5</vt:i4>
      </vt:variant>
      <vt:variant>
        <vt:lpwstr>http://www.healthcheck.nhs.uk/</vt:lpwstr>
      </vt:variant>
      <vt:variant>
        <vt:lpwstr/>
      </vt:variant>
      <vt:variant>
        <vt:i4>3866671</vt:i4>
      </vt:variant>
      <vt:variant>
        <vt:i4>777</vt:i4>
      </vt:variant>
      <vt:variant>
        <vt:i4>0</vt:i4>
      </vt:variant>
      <vt:variant>
        <vt:i4>5</vt:i4>
      </vt:variant>
      <vt:variant>
        <vt:lpwstr>https://assets.publishing.service.gov.uk/government/uploads/system/uploads/attachment_data/file/820783/Whole_systems_approach_to_obesity_guide.pdf</vt:lpwstr>
      </vt:variant>
      <vt:variant>
        <vt:lpwstr/>
      </vt:variant>
      <vt:variant>
        <vt:i4>3735587</vt:i4>
      </vt:variant>
      <vt:variant>
        <vt:i4>774</vt:i4>
      </vt:variant>
      <vt:variant>
        <vt:i4>0</vt:i4>
      </vt:variant>
      <vt:variant>
        <vt:i4>5</vt:i4>
      </vt:variant>
      <vt:variant>
        <vt:lpwstr>https://www.emro.who.int/about-who/public-health-functions/health-promotion-disease-prevention.html</vt:lpwstr>
      </vt:variant>
      <vt:variant>
        <vt:lpwstr/>
      </vt:variant>
      <vt:variant>
        <vt:i4>1310809</vt:i4>
      </vt:variant>
      <vt:variant>
        <vt:i4>771</vt:i4>
      </vt:variant>
      <vt:variant>
        <vt:i4>0</vt:i4>
      </vt:variant>
      <vt:variant>
        <vt:i4>5</vt:i4>
      </vt:variant>
      <vt:variant>
        <vt:lpwstr>https://letstalk.kent.gov.uk/kentandmedwaylistens</vt:lpwstr>
      </vt:variant>
      <vt:variant>
        <vt:lpwstr/>
      </vt:variant>
      <vt:variant>
        <vt:i4>5439580</vt:i4>
      </vt:variant>
      <vt:variant>
        <vt:i4>768</vt:i4>
      </vt:variant>
      <vt:variant>
        <vt:i4>0</vt:i4>
      </vt:variant>
      <vt:variant>
        <vt:i4>5</vt:i4>
      </vt:variant>
      <vt:variant>
        <vt:lpwstr>https://onlinelibrary.wiley.com/doi/full/10.1111/j.1468-0009.2007.00483.x</vt:lpwstr>
      </vt:variant>
      <vt:variant>
        <vt:lpwstr/>
      </vt:variant>
      <vt:variant>
        <vt:i4>7798839</vt:i4>
      </vt:variant>
      <vt:variant>
        <vt:i4>762</vt:i4>
      </vt:variant>
      <vt:variant>
        <vt:i4>0</vt:i4>
      </vt:variant>
      <vt:variant>
        <vt:i4>5</vt:i4>
      </vt:variant>
      <vt:variant>
        <vt:lpwstr>https://www.gov.uk/government/statistics/cover-of-vaccination-evaluated-rapidly-cover-programme-2021-to-2022-quarterly-data</vt:lpwstr>
      </vt:variant>
      <vt:variant>
        <vt:lpwstr/>
      </vt:variant>
      <vt:variant>
        <vt:i4>4522000</vt:i4>
      </vt:variant>
      <vt:variant>
        <vt:i4>759</vt:i4>
      </vt:variant>
      <vt:variant>
        <vt:i4>0</vt:i4>
      </vt:variant>
      <vt:variant>
        <vt:i4>5</vt:i4>
      </vt:variant>
      <vt:variant>
        <vt:lpwstr>https://www.nuffieldtrust.org.uk/resource/teenage-pregnancy</vt:lpwstr>
      </vt:variant>
      <vt:variant>
        <vt:lpwstr>background</vt:lpwstr>
      </vt:variant>
      <vt:variant>
        <vt:i4>4587586</vt:i4>
      </vt:variant>
      <vt:variant>
        <vt:i4>756</vt:i4>
      </vt:variant>
      <vt:variant>
        <vt:i4>0</vt:i4>
      </vt:variant>
      <vt:variant>
        <vt:i4>5</vt:i4>
      </vt:variant>
      <vt:variant>
        <vt:lpwstr>https://www.nice.org.uk/guidance/ng60/chapter/Recommendations</vt:lpwstr>
      </vt:variant>
      <vt:variant>
        <vt:lpwstr/>
      </vt:variant>
      <vt:variant>
        <vt:i4>5242888</vt:i4>
      </vt:variant>
      <vt:variant>
        <vt:i4>753</vt:i4>
      </vt:variant>
      <vt:variant>
        <vt:i4>0</vt:i4>
      </vt:variant>
      <vt:variant>
        <vt:i4>5</vt:i4>
      </vt:variant>
      <vt:variant>
        <vt:lpwstr>https://www.kpho.org.uk/joint-strategic-needs-assessment/jsna-stakeholder-insight</vt:lpwstr>
      </vt:variant>
      <vt:variant>
        <vt:lpwstr/>
      </vt:variant>
      <vt:variant>
        <vt:i4>655439</vt:i4>
      </vt:variant>
      <vt:variant>
        <vt:i4>750</vt:i4>
      </vt:variant>
      <vt:variant>
        <vt:i4>0</vt:i4>
      </vt:variant>
      <vt:variant>
        <vt:i4>5</vt:i4>
      </vt:variant>
      <vt:variant>
        <vt:lpwstr>https://www.kpho.org.uk/joint-strategic-needs-assessment/health-intelligence/disease-groups/mental-health</vt:lpwstr>
      </vt:variant>
      <vt:variant>
        <vt:lpwstr>tab1</vt:lpwstr>
      </vt:variant>
      <vt:variant>
        <vt:i4>4194377</vt:i4>
      </vt:variant>
      <vt:variant>
        <vt:i4>747</vt:i4>
      </vt:variant>
      <vt:variant>
        <vt:i4>0</vt:i4>
      </vt:variant>
      <vt:variant>
        <vt:i4>5</vt:i4>
      </vt:variant>
      <vt:variant>
        <vt:lpwstr>https://www.involvekent.org.uk/keeping-active</vt:lpwstr>
      </vt:variant>
      <vt:variant>
        <vt:lpwstr/>
      </vt:variant>
      <vt:variant>
        <vt:i4>1310811</vt:i4>
      </vt:variant>
      <vt:variant>
        <vt:i4>744</vt:i4>
      </vt:variant>
      <vt:variant>
        <vt:i4>0</vt:i4>
      </vt:variant>
      <vt:variant>
        <vt:i4>5</vt:i4>
      </vt:variant>
      <vt:variant>
        <vt:lpwstr>https://www.england.nhs.uk/rightcare/wp-content/uploads/sites/40/2019/07/frailty-toolkit-june-2019-v1.pdf</vt:lpwstr>
      </vt:variant>
      <vt:variant>
        <vt:lpwstr/>
      </vt:variant>
      <vt:variant>
        <vt:i4>8257597</vt:i4>
      </vt:variant>
      <vt:variant>
        <vt:i4>741</vt:i4>
      </vt:variant>
      <vt:variant>
        <vt:i4>0</vt:i4>
      </vt:variant>
      <vt:variant>
        <vt:i4>5</vt:i4>
      </vt:variant>
      <vt:variant>
        <vt:lpwstr>https://www.ageuk.org.uk/our-impact/policy-research/frailty-in-older-people/frailty-and-the-nhs-long-term-plan/</vt:lpwstr>
      </vt:variant>
      <vt:variant>
        <vt:lpwstr>:~:text=The%20NHS%20Long%20Term%20Plan%20recognises%20that%20services%20are%20not,with%20frailty%20in%20the%20community.</vt:lpwstr>
      </vt:variant>
      <vt:variant>
        <vt:i4>2818141</vt:i4>
      </vt:variant>
      <vt:variant>
        <vt:i4>738</vt:i4>
      </vt:variant>
      <vt:variant>
        <vt:i4>0</vt:i4>
      </vt:variant>
      <vt:variant>
        <vt:i4>5</vt:i4>
      </vt:variant>
      <vt:variant>
        <vt:lpwstr>https://www.kpho.org.uk/__data/assets/pdf_file/0014/130343/Alcohol-Needs-Assessment-for-Kent-10.12.21-Final.pdf</vt:lpwstr>
      </vt:variant>
      <vt:variant>
        <vt:lpwstr/>
      </vt:variant>
      <vt:variant>
        <vt:i4>8323130</vt:i4>
      </vt:variant>
      <vt:variant>
        <vt:i4>735</vt:i4>
      </vt:variant>
      <vt:variant>
        <vt:i4>0</vt:i4>
      </vt:variant>
      <vt:variant>
        <vt:i4>5</vt:i4>
      </vt:variant>
      <vt:variant>
        <vt:lpwstr>https://www.gov.uk/government/publications/the-khan-review-making-smoking-obsolete</vt:lpwstr>
      </vt:variant>
      <vt:variant>
        <vt:lpwstr/>
      </vt:variant>
      <vt:variant>
        <vt:i4>3145846</vt:i4>
      </vt:variant>
      <vt:variant>
        <vt:i4>732</vt:i4>
      </vt:variant>
      <vt:variant>
        <vt:i4>0</vt:i4>
      </vt:variant>
      <vt:variant>
        <vt:i4>5</vt:i4>
      </vt:variant>
      <vt:variant>
        <vt:lpwstr>https://fingertips.phe.org.uk/</vt:lpwstr>
      </vt:variant>
      <vt:variant>
        <vt:lpwstr/>
      </vt:variant>
      <vt:variant>
        <vt:i4>5570629</vt:i4>
      </vt:variant>
      <vt:variant>
        <vt:i4>729</vt:i4>
      </vt:variant>
      <vt:variant>
        <vt:i4>0</vt:i4>
      </vt:variant>
      <vt:variant>
        <vt:i4>5</vt:i4>
      </vt:variant>
      <vt:variant>
        <vt:lpwstr>https://digital.nhs.uk/data-and-information/publications/statistical/general-and-personal-medical-services/31-october-2022/using-this-publication</vt:lpwstr>
      </vt:variant>
      <vt:variant>
        <vt:lpwstr>interpreting-figures</vt:lpwstr>
      </vt:variant>
      <vt:variant>
        <vt:i4>2097256</vt:i4>
      </vt:variant>
      <vt:variant>
        <vt:i4>726</vt:i4>
      </vt:variant>
      <vt:variant>
        <vt:i4>0</vt:i4>
      </vt:variant>
      <vt:variant>
        <vt:i4>5</vt:i4>
      </vt:variant>
      <vt:variant>
        <vt:lpwstr>https://www.ons.gov.uk/peoplepopulationandcommunity/populationandmigration/migrationwithintheuk/datasets/localareamigrationindicatorsunitedkingdom</vt:lpwstr>
      </vt:variant>
      <vt:variant>
        <vt:lpwstr/>
      </vt:variant>
      <vt:variant>
        <vt:i4>5832713</vt:i4>
      </vt:variant>
      <vt:variant>
        <vt:i4>723</vt:i4>
      </vt:variant>
      <vt:variant>
        <vt:i4>0</vt:i4>
      </vt:variant>
      <vt:variant>
        <vt:i4>5</vt:i4>
      </vt:variant>
      <vt:variant>
        <vt:lpwstr>https://www.rwjf.org/en/our-focus-areas/topics/social-determinants-of-health.html</vt:lpwstr>
      </vt:variant>
      <vt:variant>
        <vt:lpwstr/>
      </vt:variant>
      <vt:variant>
        <vt:i4>3670051</vt:i4>
      </vt:variant>
      <vt:variant>
        <vt:i4>720</vt:i4>
      </vt:variant>
      <vt:variant>
        <vt:i4>0</vt:i4>
      </vt:variant>
      <vt:variant>
        <vt:i4>5</vt:i4>
      </vt:variant>
      <vt:variant>
        <vt:lpwstr>https://www.kent.gov.uk/about-the-council/strategies-and-policies/corporate-policies/our-council-strategy</vt:lpwstr>
      </vt:variant>
      <vt:variant>
        <vt:lpwstr>:~:text=Framing%20Kent%E2%80%99s%20Future%20is%20our%20top-level%20council%20strategy,of%20the%20opportunities%20that%20the%20county%20is%20facing.</vt:lpwstr>
      </vt:variant>
      <vt:variant>
        <vt:i4>4587600</vt:i4>
      </vt:variant>
      <vt:variant>
        <vt:i4>717</vt:i4>
      </vt:variant>
      <vt:variant>
        <vt:i4>0</vt:i4>
      </vt:variant>
      <vt:variant>
        <vt:i4>5</vt:i4>
      </vt:variant>
      <vt:variant>
        <vt:lpwstr>https://www.gov.uk/government/statistics/english-indices-of-deprivation-2019</vt:lpwstr>
      </vt:variant>
      <vt:variant>
        <vt:lpwstr/>
      </vt:variant>
      <vt:variant>
        <vt:i4>524382</vt:i4>
      </vt:variant>
      <vt:variant>
        <vt:i4>714</vt:i4>
      </vt:variant>
      <vt:variant>
        <vt:i4>0</vt:i4>
      </vt:variant>
      <vt:variant>
        <vt:i4>5</vt:i4>
      </vt:variant>
      <vt:variant>
        <vt:lpwstr>https://www.health.org.uk/publications/the-need-for-a-complex-systems-model-of-evidence-for-public-health</vt:lpwstr>
      </vt:variant>
      <vt:variant>
        <vt:lpwstr/>
      </vt:variant>
      <vt:variant>
        <vt:i4>524292</vt:i4>
      </vt:variant>
      <vt:variant>
        <vt:i4>711</vt:i4>
      </vt:variant>
      <vt:variant>
        <vt:i4>0</vt:i4>
      </vt:variant>
      <vt:variant>
        <vt:i4>5</vt:i4>
      </vt:variant>
      <vt:variant>
        <vt:lpwstr>https://health-policy-systems.biomedcentral.com/articles/10.1186/1478-4505-12-51</vt:lpwstr>
      </vt:variant>
      <vt:variant>
        <vt:lpwstr/>
      </vt:variant>
      <vt:variant>
        <vt:i4>393221</vt:i4>
      </vt:variant>
      <vt:variant>
        <vt:i4>708</vt:i4>
      </vt:variant>
      <vt:variant>
        <vt:i4>0</vt:i4>
      </vt:variant>
      <vt:variant>
        <vt:i4>5</vt:i4>
      </vt:variant>
      <vt:variant>
        <vt:lpwstr>https://iseesystems.com/resources/articles/download/potential-of-system-dynamics.pdf</vt:lpwstr>
      </vt:variant>
      <vt:variant>
        <vt:lpwstr/>
      </vt:variant>
      <vt:variant>
        <vt:i4>5111900</vt:i4>
      </vt:variant>
      <vt:variant>
        <vt:i4>705</vt:i4>
      </vt:variant>
      <vt:variant>
        <vt:i4>0</vt:i4>
      </vt:variant>
      <vt:variant>
        <vt:i4>5</vt:i4>
      </vt:variant>
      <vt:variant>
        <vt:lpwstr>https://www.kpho.org.uk/joint-strategic-needs-assessment/jsna-population-cohort-model</vt:lpwstr>
      </vt:variant>
      <vt:variant>
        <vt:lpwstr/>
      </vt:variant>
      <vt:variant>
        <vt:i4>2031695</vt:i4>
      </vt:variant>
      <vt:variant>
        <vt:i4>702</vt:i4>
      </vt:variant>
      <vt:variant>
        <vt:i4>0</vt:i4>
      </vt:variant>
      <vt:variant>
        <vt:i4>5</vt:i4>
      </vt:variant>
      <vt:variant>
        <vt:lpwstr>https://outcomesbasedhealthcare.com/</vt:lpwstr>
      </vt:variant>
      <vt:variant>
        <vt:lpwstr/>
      </vt:variant>
      <vt:variant>
        <vt:i4>7077959</vt:i4>
      </vt:variant>
      <vt:variant>
        <vt:i4>699</vt:i4>
      </vt:variant>
      <vt:variant>
        <vt:i4>0</vt:i4>
      </vt:variant>
      <vt:variant>
        <vt:i4>5</vt:i4>
      </vt:variant>
      <vt:variant>
        <vt:lpwstr>https://www.kpho.org.uk/__data/assets/pdf_file/0020/93080/West-Kent-Needs-Assessment-compressed.pdf</vt:lpwstr>
      </vt:variant>
      <vt:variant>
        <vt:lpwstr/>
      </vt:variant>
      <vt:variant>
        <vt:i4>7536742</vt:i4>
      </vt:variant>
      <vt:variant>
        <vt:i4>696</vt:i4>
      </vt:variant>
      <vt:variant>
        <vt:i4>0</vt:i4>
      </vt:variant>
      <vt:variant>
        <vt:i4>5</vt:i4>
      </vt:variant>
      <vt:variant>
        <vt:lpwstr>https://www.instituteofhealthequity.org/resources-reports/fair-society-healthy-lives-the-marmot-review</vt:lpwstr>
      </vt:variant>
      <vt:variant>
        <vt:lpwstr/>
      </vt:variant>
      <vt:variant>
        <vt:i4>8257663</vt:i4>
      </vt:variant>
      <vt:variant>
        <vt:i4>693</vt:i4>
      </vt:variant>
      <vt:variant>
        <vt:i4>0</vt:i4>
      </vt:variant>
      <vt:variant>
        <vt:i4>5</vt:i4>
      </vt:variant>
      <vt:variant>
        <vt:lpwstr>https://www.instituteofhealthequity.org/resources-reports/fair-society-healthy-lives-the-marmot-review/fair-society-healthy-lives-exec-summary-pdf.pdf</vt:lpwstr>
      </vt:variant>
      <vt:variant>
        <vt:lpwstr/>
      </vt:variant>
      <vt:variant>
        <vt:i4>4128867</vt:i4>
      </vt:variant>
      <vt:variant>
        <vt:i4>690</vt:i4>
      </vt:variant>
      <vt:variant>
        <vt:i4>0</vt:i4>
      </vt:variant>
      <vt:variant>
        <vt:i4>5</vt:i4>
      </vt:variant>
      <vt:variant>
        <vt:lpwstr>https://www.gov.uk/government/publications/guidance-on-the-preparation-of-integrated-care-strategies/guidance-on-the-preparation-of-integrated-care-strategies</vt:lpwstr>
      </vt:variant>
      <vt:variant>
        <vt:lpwstr/>
      </vt:variant>
      <vt:variant>
        <vt:i4>1441886</vt:i4>
      </vt:variant>
      <vt:variant>
        <vt:i4>687</vt:i4>
      </vt:variant>
      <vt:variant>
        <vt:i4>0</vt:i4>
      </vt:variant>
      <vt:variant>
        <vt:i4>5</vt:i4>
      </vt:variant>
      <vt:variant>
        <vt:lpwstr>https://www.legislation.gov.uk/ukpga/2022/31/contents/enacted</vt:lpwstr>
      </vt:variant>
      <vt:variant>
        <vt:lpwstr/>
      </vt:variant>
      <vt:variant>
        <vt:i4>4849675</vt:i4>
      </vt:variant>
      <vt:variant>
        <vt:i4>684</vt:i4>
      </vt:variant>
      <vt:variant>
        <vt:i4>0</vt:i4>
      </vt:variant>
      <vt:variant>
        <vt:i4>5</vt:i4>
      </vt:variant>
      <vt:variant>
        <vt:lpwstr>https://www.kmkernel.org/</vt:lpwstr>
      </vt:variant>
      <vt:variant>
        <vt:lpwstr/>
      </vt:variant>
      <vt:variant>
        <vt:i4>5242888</vt:i4>
      </vt:variant>
      <vt:variant>
        <vt:i4>681</vt:i4>
      </vt:variant>
      <vt:variant>
        <vt:i4>0</vt:i4>
      </vt:variant>
      <vt:variant>
        <vt:i4>5</vt:i4>
      </vt:variant>
      <vt:variant>
        <vt:lpwstr>https://www.kpho.org.uk/joint-strategic-needs-assessment/jsna-stakeholder-insight</vt:lpwstr>
      </vt:variant>
      <vt:variant>
        <vt:lpwstr/>
      </vt:variant>
      <vt:variant>
        <vt:i4>3866671</vt:i4>
      </vt:variant>
      <vt:variant>
        <vt:i4>678</vt:i4>
      </vt:variant>
      <vt:variant>
        <vt:i4>0</vt:i4>
      </vt:variant>
      <vt:variant>
        <vt:i4>5</vt:i4>
      </vt:variant>
      <vt:variant>
        <vt:lpwstr>https://assets.publishing.service.gov.uk/government/uploads/system/uploads/attachment_data/file/820783/Whole_systems_approach_to_obesity_guide.pdf</vt:lpwstr>
      </vt:variant>
      <vt:variant>
        <vt:lpwstr/>
      </vt:variant>
      <vt:variant>
        <vt:i4>3735587</vt:i4>
      </vt:variant>
      <vt:variant>
        <vt:i4>675</vt:i4>
      </vt:variant>
      <vt:variant>
        <vt:i4>0</vt:i4>
      </vt:variant>
      <vt:variant>
        <vt:i4>5</vt:i4>
      </vt:variant>
      <vt:variant>
        <vt:lpwstr>https://www.emro.who.int/about-who/public-health-functions/health-promotion-disease-prevention.html</vt:lpwstr>
      </vt:variant>
      <vt:variant>
        <vt:lpwstr/>
      </vt:variant>
      <vt:variant>
        <vt:i4>7536742</vt:i4>
      </vt:variant>
      <vt:variant>
        <vt:i4>672</vt:i4>
      </vt:variant>
      <vt:variant>
        <vt:i4>0</vt:i4>
      </vt:variant>
      <vt:variant>
        <vt:i4>5</vt:i4>
      </vt:variant>
      <vt:variant>
        <vt:lpwstr>https://www.instituteofhealthequity.org/resources-reports/fair-society-healthy-lives-the-marmot-review</vt:lpwstr>
      </vt:variant>
      <vt:variant>
        <vt:lpwstr/>
      </vt:variant>
      <vt:variant>
        <vt:i4>8257663</vt:i4>
      </vt:variant>
      <vt:variant>
        <vt:i4>669</vt:i4>
      </vt:variant>
      <vt:variant>
        <vt:i4>0</vt:i4>
      </vt:variant>
      <vt:variant>
        <vt:i4>5</vt:i4>
      </vt:variant>
      <vt:variant>
        <vt:lpwstr>https://www.instituteofhealthequity.org/resources-reports/fair-society-healthy-lives-the-marmot-review/fair-society-healthy-lives-exec-summary-pdf.pdf</vt:lpwstr>
      </vt:variant>
      <vt:variant>
        <vt:lpwstr/>
      </vt:variant>
      <vt:variant>
        <vt:i4>4128867</vt:i4>
      </vt:variant>
      <vt:variant>
        <vt:i4>666</vt:i4>
      </vt:variant>
      <vt:variant>
        <vt:i4>0</vt:i4>
      </vt:variant>
      <vt:variant>
        <vt:i4>5</vt:i4>
      </vt:variant>
      <vt:variant>
        <vt:lpwstr>https://www.gov.uk/government/publications/guidance-on-the-preparation-of-integrated-care-strategies/guidance-on-the-preparation-of-integrated-care-strategies</vt:lpwstr>
      </vt:variant>
      <vt:variant>
        <vt:lpwstr/>
      </vt:variant>
      <vt:variant>
        <vt:i4>1441886</vt:i4>
      </vt:variant>
      <vt:variant>
        <vt:i4>663</vt:i4>
      </vt:variant>
      <vt:variant>
        <vt:i4>0</vt:i4>
      </vt:variant>
      <vt:variant>
        <vt:i4>5</vt:i4>
      </vt:variant>
      <vt:variant>
        <vt:lpwstr>https://www.legislation.gov.uk/ukpga/2022/31/contents/enacted</vt:lpwstr>
      </vt:variant>
      <vt:variant>
        <vt:lpwstr/>
      </vt:variant>
      <vt:variant>
        <vt:i4>1966130</vt:i4>
      </vt:variant>
      <vt:variant>
        <vt:i4>656</vt:i4>
      </vt:variant>
      <vt:variant>
        <vt:i4>0</vt:i4>
      </vt:variant>
      <vt:variant>
        <vt:i4>5</vt:i4>
      </vt:variant>
      <vt:variant>
        <vt:lpwstr/>
      </vt:variant>
      <vt:variant>
        <vt:lpwstr>_Toc128133898</vt:lpwstr>
      </vt:variant>
      <vt:variant>
        <vt:i4>1966130</vt:i4>
      </vt:variant>
      <vt:variant>
        <vt:i4>650</vt:i4>
      </vt:variant>
      <vt:variant>
        <vt:i4>0</vt:i4>
      </vt:variant>
      <vt:variant>
        <vt:i4>5</vt:i4>
      </vt:variant>
      <vt:variant>
        <vt:lpwstr/>
      </vt:variant>
      <vt:variant>
        <vt:lpwstr>_Toc128133897</vt:lpwstr>
      </vt:variant>
      <vt:variant>
        <vt:i4>1966130</vt:i4>
      </vt:variant>
      <vt:variant>
        <vt:i4>644</vt:i4>
      </vt:variant>
      <vt:variant>
        <vt:i4>0</vt:i4>
      </vt:variant>
      <vt:variant>
        <vt:i4>5</vt:i4>
      </vt:variant>
      <vt:variant>
        <vt:lpwstr/>
      </vt:variant>
      <vt:variant>
        <vt:lpwstr>_Toc128133896</vt:lpwstr>
      </vt:variant>
      <vt:variant>
        <vt:i4>1966130</vt:i4>
      </vt:variant>
      <vt:variant>
        <vt:i4>638</vt:i4>
      </vt:variant>
      <vt:variant>
        <vt:i4>0</vt:i4>
      </vt:variant>
      <vt:variant>
        <vt:i4>5</vt:i4>
      </vt:variant>
      <vt:variant>
        <vt:lpwstr/>
      </vt:variant>
      <vt:variant>
        <vt:lpwstr>_Toc128133895</vt:lpwstr>
      </vt:variant>
      <vt:variant>
        <vt:i4>1966130</vt:i4>
      </vt:variant>
      <vt:variant>
        <vt:i4>632</vt:i4>
      </vt:variant>
      <vt:variant>
        <vt:i4>0</vt:i4>
      </vt:variant>
      <vt:variant>
        <vt:i4>5</vt:i4>
      </vt:variant>
      <vt:variant>
        <vt:lpwstr/>
      </vt:variant>
      <vt:variant>
        <vt:lpwstr>_Toc128133894</vt:lpwstr>
      </vt:variant>
      <vt:variant>
        <vt:i4>1966130</vt:i4>
      </vt:variant>
      <vt:variant>
        <vt:i4>626</vt:i4>
      </vt:variant>
      <vt:variant>
        <vt:i4>0</vt:i4>
      </vt:variant>
      <vt:variant>
        <vt:i4>5</vt:i4>
      </vt:variant>
      <vt:variant>
        <vt:lpwstr/>
      </vt:variant>
      <vt:variant>
        <vt:lpwstr>_Toc128133893</vt:lpwstr>
      </vt:variant>
      <vt:variant>
        <vt:i4>1966130</vt:i4>
      </vt:variant>
      <vt:variant>
        <vt:i4>620</vt:i4>
      </vt:variant>
      <vt:variant>
        <vt:i4>0</vt:i4>
      </vt:variant>
      <vt:variant>
        <vt:i4>5</vt:i4>
      </vt:variant>
      <vt:variant>
        <vt:lpwstr/>
      </vt:variant>
      <vt:variant>
        <vt:lpwstr>_Toc128133892</vt:lpwstr>
      </vt:variant>
      <vt:variant>
        <vt:i4>1966130</vt:i4>
      </vt:variant>
      <vt:variant>
        <vt:i4>614</vt:i4>
      </vt:variant>
      <vt:variant>
        <vt:i4>0</vt:i4>
      </vt:variant>
      <vt:variant>
        <vt:i4>5</vt:i4>
      </vt:variant>
      <vt:variant>
        <vt:lpwstr/>
      </vt:variant>
      <vt:variant>
        <vt:lpwstr>_Toc128133891</vt:lpwstr>
      </vt:variant>
      <vt:variant>
        <vt:i4>1966130</vt:i4>
      </vt:variant>
      <vt:variant>
        <vt:i4>608</vt:i4>
      </vt:variant>
      <vt:variant>
        <vt:i4>0</vt:i4>
      </vt:variant>
      <vt:variant>
        <vt:i4>5</vt:i4>
      </vt:variant>
      <vt:variant>
        <vt:lpwstr/>
      </vt:variant>
      <vt:variant>
        <vt:lpwstr>_Toc128133890</vt:lpwstr>
      </vt:variant>
      <vt:variant>
        <vt:i4>2031666</vt:i4>
      </vt:variant>
      <vt:variant>
        <vt:i4>602</vt:i4>
      </vt:variant>
      <vt:variant>
        <vt:i4>0</vt:i4>
      </vt:variant>
      <vt:variant>
        <vt:i4>5</vt:i4>
      </vt:variant>
      <vt:variant>
        <vt:lpwstr/>
      </vt:variant>
      <vt:variant>
        <vt:lpwstr>_Toc128133889</vt:lpwstr>
      </vt:variant>
      <vt:variant>
        <vt:i4>2031666</vt:i4>
      </vt:variant>
      <vt:variant>
        <vt:i4>596</vt:i4>
      </vt:variant>
      <vt:variant>
        <vt:i4>0</vt:i4>
      </vt:variant>
      <vt:variant>
        <vt:i4>5</vt:i4>
      </vt:variant>
      <vt:variant>
        <vt:lpwstr/>
      </vt:variant>
      <vt:variant>
        <vt:lpwstr>_Toc128133888</vt:lpwstr>
      </vt:variant>
      <vt:variant>
        <vt:i4>2031666</vt:i4>
      </vt:variant>
      <vt:variant>
        <vt:i4>590</vt:i4>
      </vt:variant>
      <vt:variant>
        <vt:i4>0</vt:i4>
      </vt:variant>
      <vt:variant>
        <vt:i4>5</vt:i4>
      </vt:variant>
      <vt:variant>
        <vt:lpwstr/>
      </vt:variant>
      <vt:variant>
        <vt:lpwstr>_Toc128133887</vt:lpwstr>
      </vt:variant>
      <vt:variant>
        <vt:i4>2031666</vt:i4>
      </vt:variant>
      <vt:variant>
        <vt:i4>584</vt:i4>
      </vt:variant>
      <vt:variant>
        <vt:i4>0</vt:i4>
      </vt:variant>
      <vt:variant>
        <vt:i4>5</vt:i4>
      </vt:variant>
      <vt:variant>
        <vt:lpwstr/>
      </vt:variant>
      <vt:variant>
        <vt:lpwstr>_Toc128133886</vt:lpwstr>
      </vt:variant>
      <vt:variant>
        <vt:i4>2031666</vt:i4>
      </vt:variant>
      <vt:variant>
        <vt:i4>578</vt:i4>
      </vt:variant>
      <vt:variant>
        <vt:i4>0</vt:i4>
      </vt:variant>
      <vt:variant>
        <vt:i4>5</vt:i4>
      </vt:variant>
      <vt:variant>
        <vt:lpwstr/>
      </vt:variant>
      <vt:variant>
        <vt:lpwstr>_Toc128133885</vt:lpwstr>
      </vt:variant>
      <vt:variant>
        <vt:i4>2031666</vt:i4>
      </vt:variant>
      <vt:variant>
        <vt:i4>572</vt:i4>
      </vt:variant>
      <vt:variant>
        <vt:i4>0</vt:i4>
      </vt:variant>
      <vt:variant>
        <vt:i4>5</vt:i4>
      </vt:variant>
      <vt:variant>
        <vt:lpwstr/>
      </vt:variant>
      <vt:variant>
        <vt:lpwstr>_Toc128133884</vt:lpwstr>
      </vt:variant>
      <vt:variant>
        <vt:i4>2031666</vt:i4>
      </vt:variant>
      <vt:variant>
        <vt:i4>566</vt:i4>
      </vt:variant>
      <vt:variant>
        <vt:i4>0</vt:i4>
      </vt:variant>
      <vt:variant>
        <vt:i4>5</vt:i4>
      </vt:variant>
      <vt:variant>
        <vt:lpwstr/>
      </vt:variant>
      <vt:variant>
        <vt:lpwstr>_Toc128133883</vt:lpwstr>
      </vt:variant>
      <vt:variant>
        <vt:i4>2031666</vt:i4>
      </vt:variant>
      <vt:variant>
        <vt:i4>560</vt:i4>
      </vt:variant>
      <vt:variant>
        <vt:i4>0</vt:i4>
      </vt:variant>
      <vt:variant>
        <vt:i4>5</vt:i4>
      </vt:variant>
      <vt:variant>
        <vt:lpwstr/>
      </vt:variant>
      <vt:variant>
        <vt:lpwstr>_Toc128133882</vt:lpwstr>
      </vt:variant>
      <vt:variant>
        <vt:i4>2031666</vt:i4>
      </vt:variant>
      <vt:variant>
        <vt:i4>554</vt:i4>
      </vt:variant>
      <vt:variant>
        <vt:i4>0</vt:i4>
      </vt:variant>
      <vt:variant>
        <vt:i4>5</vt:i4>
      </vt:variant>
      <vt:variant>
        <vt:lpwstr/>
      </vt:variant>
      <vt:variant>
        <vt:lpwstr>_Toc128133881</vt:lpwstr>
      </vt:variant>
      <vt:variant>
        <vt:i4>2031666</vt:i4>
      </vt:variant>
      <vt:variant>
        <vt:i4>548</vt:i4>
      </vt:variant>
      <vt:variant>
        <vt:i4>0</vt:i4>
      </vt:variant>
      <vt:variant>
        <vt:i4>5</vt:i4>
      </vt:variant>
      <vt:variant>
        <vt:lpwstr/>
      </vt:variant>
      <vt:variant>
        <vt:lpwstr>_Toc128133880</vt:lpwstr>
      </vt:variant>
      <vt:variant>
        <vt:i4>1048626</vt:i4>
      </vt:variant>
      <vt:variant>
        <vt:i4>542</vt:i4>
      </vt:variant>
      <vt:variant>
        <vt:i4>0</vt:i4>
      </vt:variant>
      <vt:variant>
        <vt:i4>5</vt:i4>
      </vt:variant>
      <vt:variant>
        <vt:lpwstr/>
      </vt:variant>
      <vt:variant>
        <vt:lpwstr>_Toc128133879</vt:lpwstr>
      </vt:variant>
      <vt:variant>
        <vt:i4>1048626</vt:i4>
      </vt:variant>
      <vt:variant>
        <vt:i4>536</vt:i4>
      </vt:variant>
      <vt:variant>
        <vt:i4>0</vt:i4>
      </vt:variant>
      <vt:variant>
        <vt:i4>5</vt:i4>
      </vt:variant>
      <vt:variant>
        <vt:lpwstr/>
      </vt:variant>
      <vt:variant>
        <vt:lpwstr>_Toc128133878</vt:lpwstr>
      </vt:variant>
      <vt:variant>
        <vt:i4>1048626</vt:i4>
      </vt:variant>
      <vt:variant>
        <vt:i4>530</vt:i4>
      </vt:variant>
      <vt:variant>
        <vt:i4>0</vt:i4>
      </vt:variant>
      <vt:variant>
        <vt:i4>5</vt:i4>
      </vt:variant>
      <vt:variant>
        <vt:lpwstr/>
      </vt:variant>
      <vt:variant>
        <vt:lpwstr>_Toc128133877</vt:lpwstr>
      </vt:variant>
      <vt:variant>
        <vt:i4>1048626</vt:i4>
      </vt:variant>
      <vt:variant>
        <vt:i4>524</vt:i4>
      </vt:variant>
      <vt:variant>
        <vt:i4>0</vt:i4>
      </vt:variant>
      <vt:variant>
        <vt:i4>5</vt:i4>
      </vt:variant>
      <vt:variant>
        <vt:lpwstr/>
      </vt:variant>
      <vt:variant>
        <vt:lpwstr>_Toc128133876</vt:lpwstr>
      </vt:variant>
      <vt:variant>
        <vt:i4>1048626</vt:i4>
      </vt:variant>
      <vt:variant>
        <vt:i4>518</vt:i4>
      </vt:variant>
      <vt:variant>
        <vt:i4>0</vt:i4>
      </vt:variant>
      <vt:variant>
        <vt:i4>5</vt:i4>
      </vt:variant>
      <vt:variant>
        <vt:lpwstr/>
      </vt:variant>
      <vt:variant>
        <vt:lpwstr>_Toc128133875</vt:lpwstr>
      </vt:variant>
      <vt:variant>
        <vt:i4>1048626</vt:i4>
      </vt:variant>
      <vt:variant>
        <vt:i4>512</vt:i4>
      </vt:variant>
      <vt:variant>
        <vt:i4>0</vt:i4>
      </vt:variant>
      <vt:variant>
        <vt:i4>5</vt:i4>
      </vt:variant>
      <vt:variant>
        <vt:lpwstr/>
      </vt:variant>
      <vt:variant>
        <vt:lpwstr>_Toc128133874</vt:lpwstr>
      </vt:variant>
      <vt:variant>
        <vt:i4>1048626</vt:i4>
      </vt:variant>
      <vt:variant>
        <vt:i4>506</vt:i4>
      </vt:variant>
      <vt:variant>
        <vt:i4>0</vt:i4>
      </vt:variant>
      <vt:variant>
        <vt:i4>5</vt:i4>
      </vt:variant>
      <vt:variant>
        <vt:lpwstr/>
      </vt:variant>
      <vt:variant>
        <vt:lpwstr>_Toc128133873</vt:lpwstr>
      </vt:variant>
      <vt:variant>
        <vt:i4>1048626</vt:i4>
      </vt:variant>
      <vt:variant>
        <vt:i4>500</vt:i4>
      </vt:variant>
      <vt:variant>
        <vt:i4>0</vt:i4>
      </vt:variant>
      <vt:variant>
        <vt:i4>5</vt:i4>
      </vt:variant>
      <vt:variant>
        <vt:lpwstr/>
      </vt:variant>
      <vt:variant>
        <vt:lpwstr>_Toc128133872</vt:lpwstr>
      </vt:variant>
      <vt:variant>
        <vt:i4>1048626</vt:i4>
      </vt:variant>
      <vt:variant>
        <vt:i4>494</vt:i4>
      </vt:variant>
      <vt:variant>
        <vt:i4>0</vt:i4>
      </vt:variant>
      <vt:variant>
        <vt:i4>5</vt:i4>
      </vt:variant>
      <vt:variant>
        <vt:lpwstr/>
      </vt:variant>
      <vt:variant>
        <vt:lpwstr>_Toc128133871</vt:lpwstr>
      </vt:variant>
      <vt:variant>
        <vt:i4>1048626</vt:i4>
      </vt:variant>
      <vt:variant>
        <vt:i4>488</vt:i4>
      </vt:variant>
      <vt:variant>
        <vt:i4>0</vt:i4>
      </vt:variant>
      <vt:variant>
        <vt:i4>5</vt:i4>
      </vt:variant>
      <vt:variant>
        <vt:lpwstr/>
      </vt:variant>
      <vt:variant>
        <vt:lpwstr>_Toc128133870</vt:lpwstr>
      </vt:variant>
      <vt:variant>
        <vt:i4>1114162</vt:i4>
      </vt:variant>
      <vt:variant>
        <vt:i4>482</vt:i4>
      </vt:variant>
      <vt:variant>
        <vt:i4>0</vt:i4>
      </vt:variant>
      <vt:variant>
        <vt:i4>5</vt:i4>
      </vt:variant>
      <vt:variant>
        <vt:lpwstr/>
      </vt:variant>
      <vt:variant>
        <vt:lpwstr>_Toc128133869</vt:lpwstr>
      </vt:variant>
      <vt:variant>
        <vt:i4>1114162</vt:i4>
      </vt:variant>
      <vt:variant>
        <vt:i4>476</vt:i4>
      </vt:variant>
      <vt:variant>
        <vt:i4>0</vt:i4>
      </vt:variant>
      <vt:variant>
        <vt:i4>5</vt:i4>
      </vt:variant>
      <vt:variant>
        <vt:lpwstr/>
      </vt:variant>
      <vt:variant>
        <vt:lpwstr>_Toc128133868</vt:lpwstr>
      </vt:variant>
      <vt:variant>
        <vt:i4>1114162</vt:i4>
      </vt:variant>
      <vt:variant>
        <vt:i4>470</vt:i4>
      </vt:variant>
      <vt:variant>
        <vt:i4>0</vt:i4>
      </vt:variant>
      <vt:variant>
        <vt:i4>5</vt:i4>
      </vt:variant>
      <vt:variant>
        <vt:lpwstr/>
      </vt:variant>
      <vt:variant>
        <vt:lpwstr>_Toc128133867</vt:lpwstr>
      </vt:variant>
      <vt:variant>
        <vt:i4>1114162</vt:i4>
      </vt:variant>
      <vt:variant>
        <vt:i4>464</vt:i4>
      </vt:variant>
      <vt:variant>
        <vt:i4>0</vt:i4>
      </vt:variant>
      <vt:variant>
        <vt:i4>5</vt:i4>
      </vt:variant>
      <vt:variant>
        <vt:lpwstr/>
      </vt:variant>
      <vt:variant>
        <vt:lpwstr>_Toc128133866</vt:lpwstr>
      </vt:variant>
      <vt:variant>
        <vt:i4>1114162</vt:i4>
      </vt:variant>
      <vt:variant>
        <vt:i4>458</vt:i4>
      </vt:variant>
      <vt:variant>
        <vt:i4>0</vt:i4>
      </vt:variant>
      <vt:variant>
        <vt:i4>5</vt:i4>
      </vt:variant>
      <vt:variant>
        <vt:lpwstr/>
      </vt:variant>
      <vt:variant>
        <vt:lpwstr>_Toc128133865</vt:lpwstr>
      </vt:variant>
      <vt:variant>
        <vt:i4>1114162</vt:i4>
      </vt:variant>
      <vt:variant>
        <vt:i4>452</vt:i4>
      </vt:variant>
      <vt:variant>
        <vt:i4>0</vt:i4>
      </vt:variant>
      <vt:variant>
        <vt:i4>5</vt:i4>
      </vt:variant>
      <vt:variant>
        <vt:lpwstr/>
      </vt:variant>
      <vt:variant>
        <vt:lpwstr>_Toc128133864</vt:lpwstr>
      </vt:variant>
      <vt:variant>
        <vt:i4>1114162</vt:i4>
      </vt:variant>
      <vt:variant>
        <vt:i4>446</vt:i4>
      </vt:variant>
      <vt:variant>
        <vt:i4>0</vt:i4>
      </vt:variant>
      <vt:variant>
        <vt:i4>5</vt:i4>
      </vt:variant>
      <vt:variant>
        <vt:lpwstr/>
      </vt:variant>
      <vt:variant>
        <vt:lpwstr>_Toc128133863</vt:lpwstr>
      </vt:variant>
      <vt:variant>
        <vt:i4>1114162</vt:i4>
      </vt:variant>
      <vt:variant>
        <vt:i4>440</vt:i4>
      </vt:variant>
      <vt:variant>
        <vt:i4>0</vt:i4>
      </vt:variant>
      <vt:variant>
        <vt:i4>5</vt:i4>
      </vt:variant>
      <vt:variant>
        <vt:lpwstr/>
      </vt:variant>
      <vt:variant>
        <vt:lpwstr>_Toc128133862</vt:lpwstr>
      </vt:variant>
      <vt:variant>
        <vt:i4>1114162</vt:i4>
      </vt:variant>
      <vt:variant>
        <vt:i4>434</vt:i4>
      </vt:variant>
      <vt:variant>
        <vt:i4>0</vt:i4>
      </vt:variant>
      <vt:variant>
        <vt:i4>5</vt:i4>
      </vt:variant>
      <vt:variant>
        <vt:lpwstr/>
      </vt:variant>
      <vt:variant>
        <vt:lpwstr>_Toc128133861</vt:lpwstr>
      </vt:variant>
      <vt:variant>
        <vt:i4>1114162</vt:i4>
      </vt:variant>
      <vt:variant>
        <vt:i4>428</vt:i4>
      </vt:variant>
      <vt:variant>
        <vt:i4>0</vt:i4>
      </vt:variant>
      <vt:variant>
        <vt:i4>5</vt:i4>
      </vt:variant>
      <vt:variant>
        <vt:lpwstr/>
      </vt:variant>
      <vt:variant>
        <vt:lpwstr>_Toc128133860</vt:lpwstr>
      </vt:variant>
      <vt:variant>
        <vt:i4>1179698</vt:i4>
      </vt:variant>
      <vt:variant>
        <vt:i4>422</vt:i4>
      </vt:variant>
      <vt:variant>
        <vt:i4>0</vt:i4>
      </vt:variant>
      <vt:variant>
        <vt:i4>5</vt:i4>
      </vt:variant>
      <vt:variant>
        <vt:lpwstr/>
      </vt:variant>
      <vt:variant>
        <vt:lpwstr>_Toc128133859</vt:lpwstr>
      </vt:variant>
      <vt:variant>
        <vt:i4>1179698</vt:i4>
      </vt:variant>
      <vt:variant>
        <vt:i4>416</vt:i4>
      </vt:variant>
      <vt:variant>
        <vt:i4>0</vt:i4>
      </vt:variant>
      <vt:variant>
        <vt:i4>5</vt:i4>
      </vt:variant>
      <vt:variant>
        <vt:lpwstr/>
      </vt:variant>
      <vt:variant>
        <vt:lpwstr>_Toc128133858</vt:lpwstr>
      </vt:variant>
      <vt:variant>
        <vt:i4>1179698</vt:i4>
      </vt:variant>
      <vt:variant>
        <vt:i4>410</vt:i4>
      </vt:variant>
      <vt:variant>
        <vt:i4>0</vt:i4>
      </vt:variant>
      <vt:variant>
        <vt:i4>5</vt:i4>
      </vt:variant>
      <vt:variant>
        <vt:lpwstr/>
      </vt:variant>
      <vt:variant>
        <vt:lpwstr>_Toc128133857</vt:lpwstr>
      </vt:variant>
      <vt:variant>
        <vt:i4>1179698</vt:i4>
      </vt:variant>
      <vt:variant>
        <vt:i4>404</vt:i4>
      </vt:variant>
      <vt:variant>
        <vt:i4>0</vt:i4>
      </vt:variant>
      <vt:variant>
        <vt:i4>5</vt:i4>
      </vt:variant>
      <vt:variant>
        <vt:lpwstr/>
      </vt:variant>
      <vt:variant>
        <vt:lpwstr>_Toc128133856</vt:lpwstr>
      </vt:variant>
      <vt:variant>
        <vt:i4>1179698</vt:i4>
      </vt:variant>
      <vt:variant>
        <vt:i4>398</vt:i4>
      </vt:variant>
      <vt:variant>
        <vt:i4>0</vt:i4>
      </vt:variant>
      <vt:variant>
        <vt:i4>5</vt:i4>
      </vt:variant>
      <vt:variant>
        <vt:lpwstr/>
      </vt:variant>
      <vt:variant>
        <vt:lpwstr>_Toc128133855</vt:lpwstr>
      </vt:variant>
      <vt:variant>
        <vt:i4>1179698</vt:i4>
      </vt:variant>
      <vt:variant>
        <vt:i4>392</vt:i4>
      </vt:variant>
      <vt:variant>
        <vt:i4>0</vt:i4>
      </vt:variant>
      <vt:variant>
        <vt:i4>5</vt:i4>
      </vt:variant>
      <vt:variant>
        <vt:lpwstr/>
      </vt:variant>
      <vt:variant>
        <vt:lpwstr>_Toc128133854</vt:lpwstr>
      </vt:variant>
      <vt:variant>
        <vt:i4>1179698</vt:i4>
      </vt:variant>
      <vt:variant>
        <vt:i4>386</vt:i4>
      </vt:variant>
      <vt:variant>
        <vt:i4>0</vt:i4>
      </vt:variant>
      <vt:variant>
        <vt:i4>5</vt:i4>
      </vt:variant>
      <vt:variant>
        <vt:lpwstr/>
      </vt:variant>
      <vt:variant>
        <vt:lpwstr>_Toc128133853</vt:lpwstr>
      </vt:variant>
      <vt:variant>
        <vt:i4>1179698</vt:i4>
      </vt:variant>
      <vt:variant>
        <vt:i4>380</vt:i4>
      </vt:variant>
      <vt:variant>
        <vt:i4>0</vt:i4>
      </vt:variant>
      <vt:variant>
        <vt:i4>5</vt:i4>
      </vt:variant>
      <vt:variant>
        <vt:lpwstr/>
      </vt:variant>
      <vt:variant>
        <vt:lpwstr>_Toc128133852</vt:lpwstr>
      </vt:variant>
      <vt:variant>
        <vt:i4>1179698</vt:i4>
      </vt:variant>
      <vt:variant>
        <vt:i4>374</vt:i4>
      </vt:variant>
      <vt:variant>
        <vt:i4>0</vt:i4>
      </vt:variant>
      <vt:variant>
        <vt:i4>5</vt:i4>
      </vt:variant>
      <vt:variant>
        <vt:lpwstr/>
      </vt:variant>
      <vt:variant>
        <vt:lpwstr>_Toc128133851</vt:lpwstr>
      </vt:variant>
      <vt:variant>
        <vt:i4>1179698</vt:i4>
      </vt:variant>
      <vt:variant>
        <vt:i4>368</vt:i4>
      </vt:variant>
      <vt:variant>
        <vt:i4>0</vt:i4>
      </vt:variant>
      <vt:variant>
        <vt:i4>5</vt:i4>
      </vt:variant>
      <vt:variant>
        <vt:lpwstr/>
      </vt:variant>
      <vt:variant>
        <vt:lpwstr>_Toc128133850</vt:lpwstr>
      </vt:variant>
      <vt:variant>
        <vt:i4>1245234</vt:i4>
      </vt:variant>
      <vt:variant>
        <vt:i4>362</vt:i4>
      </vt:variant>
      <vt:variant>
        <vt:i4>0</vt:i4>
      </vt:variant>
      <vt:variant>
        <vt:i4>5</vt:i4>
      </vt:variant>
      <vt:variant>
        <vt:lpwstr/>
      </vt:variant>
      <vt:variant>
        <vt:lpwstr>_Toc128133849</vt:lpwstr>
      </vt:variant>
      <vt:variant>
        <vt:i4>1245234</vt:i4>
      </vt:variant>
      <vt:variant>
        <vt:i4>356</vt:i4>
      </vt:variant>
      <vt:variant>
        <vt:i4>0</vt:i4>
      </vt:variant>
      <vt:variant>
        <vt:i4>5</vt:i4>
      </vt:variant>
      <vt:variant>
        <vt:lpwstr/>
      </vt:variant>
      <vt:variant>
        <vt:lpwstr>_Toc128133848</vt:lpwstr>
      </vt:variant>
      <vt:variant>
        <vt:i4>1245234</vt:i4>
      </vt:variant>
      <vt:variant>
        <vt:i4>350</vt:i4>
      </vt:variant>
      <vt:variant>
        <vt:i4>0</vt:i4>
      </vt:variant>
      <vt:variant>
        <vt:i4>5</vt:i4>
      </vt:variant>
      <vt:variant>
        <vt:lpwstr/>
      </vt:variant>
      <vt:variant>
        <vt:lpwstr>_Toc128133847</vt:lpwstr>
      </vt:variant>
      <vt:variant>
        <vt:i4>1245234</vt:i4>
      </vt:variant>
      <vt:variant>
        <vt:i4>344</vt:i4>
      </vt:variant>
      <vt:variant>
        <vt:i4>0</vt:i4>
      </vt:variant>
      <vt:variant>
        <vt:i4>5</vt:i4>
      </vt:variant>
      <vt:variant>
        <vt:lpwstr/>
      </vt:variant>
      <vt:variant>
        <vt:lpwstr>_Toc128133846</vt:lpwstr>
      </vt:variant>
      <vt:variant>
        <vt:i4>1245234</vt:i4>
      </vt:variant>
      <vt:variant>
        <vt:i4>338</vt:i4>
      </vt:variant>
      <vt:variant>
        <vt:i4>0</vt:i4>
      </vt:variant>
      <vt:variant>
        <vt:i4>5</vt:i4>
      </vt:variant>
      <vt:variant>
        <vt:lpwstr/>
      </vt:variant>
      <vt:variant>
        <vt:lpwstr>_Toc128133845</vt:lpwstr>
      </vt:variant>
      <vt:variant>
        <vt:i4>1245234</vt:i4>
      </vt:variant>
      <vt:variant>
        <vt:i4>332</vt:i4>
      </vt:variant>
      <vt:variant>
        <vt:i4>0</vt:i4>
      </vt:variant>
      <vt:variant>
        <vt:i4>5</vt:i4>
      </vt:variant>
      <vt:variant>
        <vt:lpwstr/>
      </vt:variant>
      <vt:variant>
        <vt:lpwstr>_Toc128133844</vt:lpwstr>
      </vt:variant>
      <vt:variant>
        <vt:i4>1245234</vt:i4>
      </vt:variant>
      <vt:variant>
        <vt:i4>326</vt:i4>
      </vt:variant>
      <vt:variant>
        <vt:i4>0</vt:i4>
      </vt:variant>
      <vt:variant>
        <vt:i4>5</vt:i4>
      </vt:variant>
      <vt:variant>
        <vt:lpwstr/>
      </vt:variant>
      <vt:variant>
        <vt:lpwstr>_Toc128133843</vt:lpwstr>
      </vt:variant>
      <vt:variant>
        <vt:i4>1245234</vt:i4>
      </vt:variant>
      <vt:variant>
        <vt:i4>320</vt:i4>
      </vt:variant>
      <vt:variant>
        <vt:i4>0</vt:i4>
      </vt:variant>
      <vt:variant>
        <vt:i4>5</vt:i4>
      </vt:variant>
      <vt:variant>
        <vt:lpwstr/>
      </vt:variant>
      <vt:variant>
        <vt:lpwstr>_Toc128133842</vt:lpwstr>
      </vt:variant>
      <vt:variant>
        <vt:i4>1245234</vt:i4>
      </vt:variant>
      <vt:variant>
        <vt:i4>314</vt:i4>
      </vt:variant>
      <vt:variant>
        <vt:i4>0</vt:i4>
      </vt:variant>
      <vt:variant>
        <vt:i4>5</vt:i4>
      </vt:variant>
      <vt:variant>
        <vt:lpwstr/>
      </vt:variant>
      <vt:variant>
        <vt:lpwstr>_Toc128133841</vt:lpwstr>
      </vt:variant>
      <vt:variant>
        <vt:i4>1245234</vt:i4>
      </vt:variant>
      <vt:variant>
        <vt:i4>308</vt:i4>
      </vt:variant>
      <vt:variant>
        <vt:i4>0</vt:i4>
      </vt:variant>
      <vt:variant>
        <vt:i4>5</vt:i4>
      </vt:variant>
      <vt:variant>
        <vt:lpwstr/>
      </vt:variant>
      <vt:variant>
        <vt:lpwstr>_Toc128133840</vt:lpwstr>
      </vt:variant>
      <vt:variant>
        <vt:i4>1310770</vt:i4>
      </vt:variant>
      <vt:variant>
        <vt:i4>302</vt:i4>
      </vt:variant>
      <vt:variant>
        <vt:i4>0</vt:i4>
      </vt:variant>
      <vt:variant>
        <vt:i4>5</vt:i4>
      </vt:variant>
      <vt:variant>
        <vt:lpwstr/>
      </vt:variant>
      <vt:variant>
        <vt:lpwstr>_Toc128133839</vt:lpwstr>
      </vt:variant>
      <vt:variant>
        <vt:i4>1310770</vt:i4>
      </vt:variant>
      <vt:variant>
        <vt:i4>296</vt:i4>
      </vt:variant>
      <vt:variant>
        <vt:i4>0</vt:i4>
      </vt:variant>
      <vt:variant>
        <vt:i4>5</vt:i4>
      </vt:variant>
      <vt:variant>
        <vt:lpwstr/>
      </vt:variant>
      <vt:variant>
        <vt:lpwstr>_Toc128133838</vt:lpwstr>
      </vt:variant>
      <vt:variant>
        <vt:i4>1310770</vt:i4>
      </vt:variant>
      <vt:variant>
        <vt:i4>290</vt:i4>
      </vt:variant>
      <vt:variant>
        <vt:i4>0</vt:i4>
      </vt:variant>
      <vt:variant>
        <vt:i4>5</vt:i4>
      </vt:variant>
      <vt:variant>
        <vt:lpwstr/>
      </vt:variant>
      <vt:variant>
        <vt:lpwstr>_Toc128133837</vt:lpwstr>
      </vt:variant>
      <vt:variant>
        <vt:i4>1310770</vt:i4>
      </vt:variant>
      <vt:variant>
        <vt:i4>284</vt:i4>
      </vt:variant>
      <vt:variant>
        <vt:i4>0</vt:i4>
      </vt:variant>
      <vt:variant>
        <vt:i4>5</vt:i4>
      </vt:variant>
      <vt:variant>
        <vt:lpwstr/>
      </vt:variant>
      <vt:variant>
        <vt:lpwstr>_Toc128133836</vt:lpwstr>
      </vt:variant>
      <vt:variant>
        <vt:i4>1310770</vt:i4>
      </vt:variant>
      <vt:variant>
        <vt:i4>278</vt:i4>
      </vt:variant>
      <vt:variant>
        <vt:i4>0</vt:i4>
      </vt:variant>
      <vt:variant>
        <vt:i4>5</vt:i4>
      </vt:variant>
      <vt:variant>
        <vt:lpwstr/>
      </vt:variant>
      <vt:variant>
        <vt:lpwstr>_Toc128133835</vt:lpwstr>
      </vt:variant>
      <vt:variant>
        <vt:i4>1310770</vt:i4>
      </vt:variant>
      <vt:variant>
        <vt:i4>272</vt:i4>
      </vt:variant>
      <vt:variant>
        <vt:i4>0</vt:i4>
      </vt:variant>
      <vt:variant>
        <vt:i4>5</vt:i4>
      </vt:variant>
      <vt:variant>
        <vt:lpwstr/>
      </vt:variant>
      <vt:variant>
        <vt:lpwstr>_Toc128133834</vt:lpwstr>
      </vt:variant>
      <vt:variant>
        <vt:i4>1310770</vt:i4>
      </vt:variant>
      <vt:variant>
        <vt:i4>266</vt:i4>
      </vt:variant>
      <vt:variant>
        <vt:i4>0</vt:i4>
      </vt:variant>
      <vt:variant>
        <vt:i4>5</vt:i4>
      </vt:variant>
      <vt:variant>
        <vt:lpwstr/>
      </vt:variant>
      <vt:variant>
        <vt:lpwstr>_Toc128133833</vt:lpwstr>
      </vt:variant>
      <vt:variant>
        <vt:i4>1310770</vt:i4>
      </vt:variant>
      <vt:variant>
        <vt:i4>260</vt:i4>
      </vt:variant>
      <vt:variant>
        <vt:i4>0</vt:i4>
      </vt:variant>
      <vt:variant>
        <vt:i4>5</vt:i4>
      </vt:variant>
      <vt:variant>
        <vt:lpwstr/>
      </vt:variant>
      <vt:variant>
        <vt:lpwstr>_Toc128133832</vt:lpwstr>
      </vt:variant>
      <vt:variant>
        <vt:i4>1310770</vt:i4>
      </vt:variant>
      <vt:variant>
        <vt:i4>254</vt:i4>
      </vt:variant>
      <vt:variant>
        <vt:i4>0</vt:i4>
      </vt:variant>
      <vt:variant>
        <vt:i4>5</vt:i4>
      </vt:variant>
      <vt:variant>
        <vt:lpwstr/>
      </vt:variant>
      <vt:variant>
        <vt:lpwstr>_Toc128133831</vt:lpwstr>
      </vt:variant>
      <vt:variant>
        <vt:i4>1310770</vt:i4>
      </vt:variant>
      <vt:variant>
        <vt:i4>248</vt:i4>
      </vt:variant>
      <vt:variant>
        <vt:i4>0</vt:i4>
      </vt:variant>
      <vt:variant>
        <vt:i4>5</vt:i4>
      </vt:variant>
      <vt:variant>
        <vt:lpwstr/>
      </vt:variant>
      <vt:variant>
        <vt:lpwstr>_Toc128133830</vt:lpwstr>
      </vt:variant>
      <vt:variant>
        <vt:i4>1376306</vt:i4>
      </vt:variant>
      <vt:variant>
        <vt:i4>242</vt:i4>
      </vt:variant>
      <vt:variant>
        <vt:i4>0</vt:i4>
      </vt:variant>
      <vt:variant>
        <vt:i4>5</vt:i4>
      </vt:variant>
      <vt:variant>
        <vt:lpwstr/>
      </vt:variant>
      <vt:variant>
        <vt:lpwstr>_Toc128133829</vt:lpwstr>
      </vt:variant>
      <vt:variant>
        <vt:i4>1376306</vt:i4>
      </vt:variant>
      <vt:variant>
        <vt:i4>236</vt:i4>
      </vt:variant>
      <vt:variant>
        <vt:i4>0</vt:i4>
      </vt:variant>
      <vt:variant>
        <vt:i4>5</vt:i4>
      </vt:variant>
      <vt:variant>
        <vt:lpwstr/>
      </vt:variant>
      <vt:variant>
        <vt:lpwstr>_Toc128133828</vt:lpwstr>
      </vt:variant>
      <vt:variant>
        <vt:i4>1376306</vt:i4>
      </vt:variant>
      <vt:variant>
        <vt:i4>230</vt:i4>
      </vt:variant>
      <vt:variant>
        <vt:i4>0</vt:i4>
      </vt:variant>
      <vt:variant>
        <vt:i4>5</vt:i4>
      </vt:variant>
      <vt:variant>
        <vt:lpwstr/>
      </vt:variant>
      <vt:variant>
        <vt:lpwstr>_Toc128133827</vt:lpwstr>
      </vt:variant>
      <vt:variant>
        <vt:i4>1376306</vt:i4>
      </vt:variant>
      <vt:variant>
        <vt:i4>224</vt:i4>
      </vt:variant>
      <vt:variant>
        <vt:i4>0</vt:i4>
      </vt:variant>
      <vt:variant>
        <vt:i4>5</vt:i4>
      </vt:variant>
      <vt:variant>
        <vt:lpwstr/>
      </vt:variant>
      <vt:variant>
        <vt:lpwstr>_Toc128133826</vt:lpwstr>
      </vt:variant>
      <vt:variant>
        <vt:i4>1376306</vt:i4>
      </vt:variant>
      <vt:variant>
        <vt:i4>218</vt:i4>
      </vt:variant>
      <vt:variant>
        <vt:i4>0</vt:i4>
      </vt:variant>
      <vt:variant>
        <vt:i4>5</vt:i4>
      </vt:variant>
      <vt:variant>
        <vt:lpwstr/>
      </vt:variant>
      <vt:variant>
        <vt:lpwstr>_Toc128133825</vt:lpwstr>
      </vt:variant>
      <vt:variant>
        <vt:i4>1376306</vt:i4>
      </vt:variant>
      <vt:variant>
        <vt:i4>212</vt:i4>
      </vt:variant>
      <vt:variant>
        <vt:i4>0</vt:i4>
      </vt:variant>
      <vt:variant>
        <vt:i4>5</vt:i4>
      </vt:variant>
      <vt:variant>
        <vt:lpwstr/>
      </vt:variant>
      <vt:variant>
        <vt:lpwstr>_Toc128133824</vt:lpwstr>
      </vt:variant>
      <vt:variant>
        <vt:i4>1376306</vt:i4>
      </vt:variant>
      <vt:variant>
        <vt:i4>206</vt:i4>
      </vt:variant>
      <vt:variant>
        <vt:i4>0</vt:i4>
      </vt:variant>
      <vt:variant>
        <vt:i4>5</vt:i4>
      </vt:variant>
      <vt:variant>
        <vt:lpwstr/>
      </vt:variant>
      <vt:variant>
        <vt:lpwstr>_Toc128133823</vt:lpwstr>
      </vt:variant>
      <vt:variant>
        <vt:i4>1376306</vt:i4>
      </vt:variant>
      <vt:variant>
        <vt:i4>200</vt:i4>
      </vt:variant>
      <vt:variant>
        <vt:i4>0</vt:i4>
      </vt:variant>
      <vt:variant>
        <vt:i4>5</vt:i4>
      </vt:variant>
      <vt:variant>
        <vt:lpwstr/>
      </vt:variant>
      <vt:variant>
        <vt:lpwstr>_Toc128133822</vt:lpwstr>
      </vt:variant>
      <vt:variant>
        <vt:i4>1376306</vt:i4>
      </vt:variant>
      <vt:variant>
        <vt:i4>194</vt:i4>
      </vt:variant>
      <vt:variant>
        <vt:i4>0</vt:i4>
      </vt:variant>
      <vt:variant>
        <vt:i4>5</vt:i4>
      </vt:variant>
      <vt:variant>
        <vt:lpwstr/>
      </vt:variant>
      <vt:variant>
        <vt:lpwstr>_Toc128133821</vt:lpwstr>
      </vt:variant>
      <vt:variant>
        <vt:i4>1376306</vt:i4>
      </vt:variant>
      <vt:variant>
        <vt:i4>188</vt:i4>
      </vt:variant>
      <vt:variant>
        <vt:i4>0</vt:i4>
      </vt:variant>
      <vt:variant>
        <vt:i4>5</vt:i4>
      </vt:variant>
      <vt:variant>
        <vt:lpwstr/>
      </vt:variant>
      <vt:variant>
        <vt:lpwstr>_Toc128133820</vt:lpwstr>
      </vt:variant>
      <vt:variant>
        <vt:i4>1441842</vt:i4>
      </vt:variant>
      <vt:variant>
        <vt:i4>182</vt:i4>
      </vt:variant>
      <vt:variant>
        <vt:i4>0</vt:i4>
      </vt:variant>
      <vt:variant>
        <vt:i4>5</vt:i4>
      </vt:variant>
      <vt:variant>
        <vt:lpwstr/>
      </vt:variant>
      <vt:variant>
        <vt:lpwstr>_Toc128133819</vt:lpwstr>
      </vt:variant>
      <vt:variant>
        <vt:i4>1441842</vt:i4>
      </vt:variant>
      <vt:variant>
        <vt:i4>176</vt:i4>
      </vt:variant>
      <vt:variant>
        <vt:i4>0</vt:i4>
      </vt:variant>
      <vt:variant>
        <vt:i4>5</vt:i4>
      </vt:variant>
      <vt:variant>
        <vt:lpwstr/>
      </vt:variant>
      <vt:variant>
        <vt:lpwstr>_Toc128133818</vt:lpwstr>
      </vt:variant>
      <vt:variant>
        <vt:i4>1441842</vt:i4>
      </vt:variant>
      <vt:variant>
        <vt:i4>170</vt:i4>
      </vt:variant>
      <vt:variant>
        <vt:i4>0</vt:i4>
      </vt:variant>
      <vt:variant>
        <vt:i4>5</vt:i4>
      </vt:variant>
      <vt:variant>
        <vt:lpwstr/>
      </vt:variant>
      <vt:variant>
        <vt:lpwstr>_Toc128133817</vt:lpwstr>
      </vt:variant>
      <vt:variant>
        <vt:i4>1441842</vt:i4>
      </vt:variant>
      <vt:variant>
        <vt:i4>164</vt:i4>
      </vt:variant>
      <vt:variant>
        <vt:i4>0</vt:i4>
      </vt:variant>
      <vt:variant>
        <vt:i4>5</vt:i4>
      </vt:variant>
      <vt:variant>
        <vt:lpwstr/>
      </vt:variant>
      <vt:variant>
        <vt:lpwstr>_Toc128133816</vt:lpwstr>
      </vt:variant>
      <vt:variant>
        <vt:i4>1441842</vt:i4>
      </vt:variant>
      <vt:variant>
        <vt:i4>158</vt:i4>
      </vt:variant>
      <vt:variant>
        <vt:i4>0</vt:i4>
      </vt:variant>
      <vt:variant>
        <vt:i4>5</vt:i4>
      </vt:variant>
      <vt:variant>
        <vt:lpwstr/>
      </vt:variant>
      <vt:variant>
        <vt:lpwstr>_Toc128133815</vt:lpwstr>
      </vt:variant>
      <vt:variant>
        <vt:i4>1441842</vt:i4>
      </vt:variant>
      <vt:variant>
        <vt:i4>152</vt:i4>
      </vt:variant>
      <vt:variant>
        <vt:i4>0</vt:i4>
      </vt:variant>
      <vt:variant>
        <vt:i4>5</vt:i4>
      </vt:variant>
      <vt:variant>
        <vt:lpwstr/>
      </vt:variant>
      <vt:variant>
        <vt:lpwstr>_Toc128133814</vt:lpwstr>
      </vt:variant>
      <vt:variant>
        <vt:i4>1441842</vt:i4>
      </vt:variant>
      <vt:variant>
        <vt:i4>146</vt:i4>
      </vt:variant>
      <vt:variant>
        <vt:i4>0</vt:i4>
      </vt:variant>
      <vt:variant>
        <vt:i4>5</vt:i4>
      </vt:variant>
      <vt:variant>
        <vt:lpwstr/>
      </vt:variant>
      <vt:variant>
        <vt:lpwstr>_Toc128133813</vt:lpwstr>
      </vt:variant>
      <vt:variant>
        <vt:i4>1441842</vt:i4>
      </vt:variant>
      <vt:variant>
        <vt:i4>140</vt:i4>
      </vt:variant>
      <vt:variant>
        <vt:i4>0</vt:i4>
      </vt:variant>
      <vt:variant>
        <vt:i4>5</vt:i4>
      </vt:variant>
      <vt:variant>
        <vt:lpwstr/>
      </vt:variant>
      <vt:variant>
        <vt:lpwstr>_Toc128133812</vt:lpwstr>
      </vt:variant>
      <vt:variant>
        <vt:i4>1441842</vt:i4>
      </vt:variant>
      <vt:variant>
        <vt:i4>134</vt:i4>
      </vt:variant>
      <vt:variant>
        <vt:i4>0</vt:i4>
      </vt:variant>
      <vt:variant>
        <vt:i4>5</vt:i4>
      </vt:variant>
      <vt:variant>
        <vt:lpwstr/>
      </vt:variant>
      <vt:variant>
        <vt:lpwstr>_Toc128133811</vt:lpwstr>
      </vt:variant>
      <vt:variant>
        <vt:i4>1441842</vt:i4>
      </vt:variant>
      <vt:variant>
        <vt:i4>128</vt:i4>
      </vt:variant>
      <vt:variant>
        <vt:i4>0</vt:i4>
      </vt:variant>
      <vt:variant>
        <vt:i4>5</vt:i4>
      </vt:variant>
      <vt:variant>
        <vt:lpwstr/>
      </vt:variant>
      <vt:variant>
        <vt:lpwstr>_Toc128133810</vt:lpwstr>
      </vt:variant>
      <vt:variant>
        <vt:i4>1507378</vt:i4>
      </vt:variant>
      <vt:variant>
        <vt:i4>122</vt:i4>
      </vt:variant>
      <vt:variant>
        <vt:i4>0</vt:i4>
      </vt:variant>
      <vt:variant>
        <vt:i4>5</vt:i4>
      </vt:variant>
      <vt:variant>
        <vt:lpwstr/>
      </vt:variant>
      <vt:variant>
        <vt:lpwstr>_Toc128133809</vt:lpwstr>
      </vt:variant>
      <vt:variant>
        <vt:i4>1507378</vt:i4>
      </vt:variant>
      <vt:variant>
        <vt:i4>116</vt:i4>
      </vt:variant>
      <vt:variant>
        <vt:i4>0</vt:i4>
      </vt:variant>
      <vt:variant>
        <vt:i4>5</vt:i4>
      </vt:variant>
      <vt:variant>
        <vt:lpwstr/>
      </vt:variant>
      <vt:variant>
        <vt:lpwstr>_Toc128133808</vt:lpwstr>
      </vt:variant>
      <vt:variant>
        <vt:i4>1507378</vt:i4>
      </vt:variant>
      <vt:variant>
        <vt:i4>110</vt:i4>
      </vt:variant>
      <vt:variant>
        <vt:i4>0</vt:i4>
      </vt:variant>
      <vt:variant>
        <vt:i4>5</vt:i4>
      </vt:variant>
      <vt:variant>
        <vt:lpwstr/>
      </vt:variant>
      <vt:variant>
        <vt:lpwstr>_Toc128133807</vt:lpwstr>
      </vt:variant>
      <vt:variant>
        <vt:i4>1507378</vt:i4>
      </vt:variant>
      <vt:variant>
        <vt:i4>104</vt:i4>
      </vt:variant>
      <vt:variant>
        <vt:i4>0</vt:i4>
      </vt:variant>
      <vt:variant>
        <vt:i4>5</vt:i4>
      </vt:variant>
      <vt:variant>
        <vt:lpwstr/>
      </vt:variant>
      <vt:variant>
        <vt:lpwstr>_Toc128133806</vt:lpwstr>
      </vt:variant>
      <vt:variant>
        <vt:i4>1507378</vt:i4>
      </vt:variant>
      <vt:variant>
        <vt:i4>98</vt:i4>
      </vt:variant>
      <vt:variant>
        <vt:i4>0</vt:i4>
      </vt:variant>
      <vt:variant>
        <vt:i4>5</vt:i4>
      </vt:variant>
      <vt:variant>
        <vt:lpwstr/>
      </vt:variant>
      <vt:variant>
        <vt:lpwstr>_Toc128133805</vt:lpwstr>
      </vt:variant>
      <vt:variant>
        <vt:i4>1507378</vt:i4>
      </vt:variant>
      <vt:variant>
        <vt:i4>92</vt:i4>
      </vt:variant>
      <vt:variant>
        <vt:i4>0</vt:i4>
      </vt:variant>
      <vt:variant>
        <vt:i4>5</vt:i4>
      </vt:variant>
      <vt:variant>
        <vt:lpwstr/>
      </vt:variant>
      <vt:variant>
        <vt:lpwstr>_Toc128133804</vt:lpwstr>
      </vt:variant>
      <vt:variant>
        <vt:i4>1507378</vt:i4>
      </vt:variant>
      <vt:variant>
        <vt:i4>86</vt:i4>
      </vt:variant>
      <vt:variant>
        <vt:i4>0</vt:i4>
      </vt:variant>
      <vt:variant>
        <vt:i4>5</vt:i4>
      </vt:variant>
      <vt:variant>
        <vt:lpwstr/>
      </vt:variant>
      <vt:variant>
        <vt:lpwstr>_Toc128133803</vt:lpwstr>
      </vt:variant>
      <vt:variant>
        <vt:i4>1507378</vt:i4>
      </vt:variant>
      <vt:variant>
        <vt:i4>80</vt:i4>
      </vt:variant>
      <vt:variant>
        <vt:i4>0</vt:i4>
      </vt:variant>
      <vt:variant>
        <vt:i4>5</vt:i4>
      </vt:variant>
      <vt:variant>
        <vt:lpwstr/>
      </vt:variant>
      <vt:variant>
        <vt:lpwstr>_Toc128133802</vt:lpwstr>
      </vt:variant>
      <vt:variant>
        <vt:i4>1507378</vt:i4>
      </vt:variant>
      <vt:variant>
        <vt:i4>74</vt:i4>
      </vt:variant>
      <vt:variant>
        <vt:i4>0</vt:i4>
      </vt:variant>
      <vt:variant>
        <vt:i4>5</vt:i4>
      </vt:variant>
      <vt:variant>
        <vt:lpwstr/>
      </vt:variant>
      <vt:variant>
        <vt:lpwstr>_Toc128133801</vt:lpwstr>
      </vt:variant>
      <vt:variant>
        <vt:i4>1507378</vt:i4>
      </vt:variant>
      <vt:variant>
        <vt:i4>68</vt:i4>
      </vt:variant>
      <vt:variant>
        <vt:i4>0</vt:i4>
      </vt:variant>
      <vt:variant>
        <vt:i4>5</vt:i4>
      </vt:variant>
      <vt:variant>
        <vt:lpwstr/>
      </vt:variant>
      <vt:variant>
        <vt:lpwstr>_Toc128133800</vt:lpwstr>
      </vt:variant>
      <vt:variant>
        <vt:i4>1966141</vt:i4>
      </vt:variant>
      <vt:variant>
        <vt:i4>62</vt:i4>
      </vt:variant>
      <vt:variant>
        <vt:i4>0</vt:i4>
      </vt:variant>
      <vt:variant>
        <vt:i4>5</vt:i4>
      </vt:variant>
      <vt:variant>
        <vt:lpwstr/>
      </vt:variant>
      <vt:variant>
        <vt:lpwstr>_Toc128133799</vt:lpwstr>
      </vt:variant>
      <vt:variant>
        <vt:i4>1966141</vt:i4>
      </vt:variant>
      <vt:variant>
        <vt:i4>56</vt:i4>
      </vt:variant>
      <vt:variant>
        <vt:i4>0</vt:i4>
      </vt:variant>
      <vt:variant>
        <vt:i4>5</vt:i4>
      </vt:variant>
      <vt:variant>
        <vt:lpwstr/>
      </vt:variant>
      <vt:variant>
        <vt:lpwstr>_Toc128133798</vt:lpwstr>
      </vt:variant>
      <vt:variant>
        <vt:i4>1966141</vt:i4>
      </vt:variant>
      <vt:variant>
        <vt:i4>50</vt:i4>
      </vt:variant>
      <vt:variant>
        <vt:i4>0</vt:i4>
      </vt:variant>
      <vt:variant>
        <vt:i4>5</vt:i4>
      </vt:variant>
      <vt:variant>
        <vt:lpwstr/>
      </vt:variant>
      <vt:variant>
        <vt:lpwstr>_Toc128133797</vt:lpwstr>
      </vt:variant>
      <vt:variant>
        <vt:i4>1966141</vt:i4>
      </vt:variant>
      <vt:variant>
        <vt:i4>44</vt:i4>
      </vt:variant>
      <vt:variant>
        <vt:i4>0</vt:i4>
      </vt:variant>
      <vt:variant>
        <vt:i4>5</vt:i4>
      </vt:variant>
      <vt:variant>
        <vt:lpwstr/>
      </vt:variant>
      <vt:variant>
        <vt:lpwstr>_Toc128133796</vt:lpwstr>
      </vt:variant>
      <vt:variant>
        <vt:i4>1966141</vt:i4>
      </vt:variant>
      <vt:variant>
        <vt:i4>38</vt:i4>
      </vt:variant>
      <vt:variant>
        <vt:i4>0</vt:i4>
      </vt:variant>
      <vt:variant>
        <vt:i4>5</vt:i4>
      </vt:variant>
      <vt:variant>
        <vt:lpwstr/>
      </vt:variant>
      <vt:variant>
        <vt:lpwstr>_Toc128133795</vt:lpwstr>
      </vt:variant>
      <vt:variant>
        <vt:i4>1966141</vt:i4>
      </vt:variant>
      <vt:variant>
        <vt:i4>32</vt:i4>
      </vt:variant>
      <vt:variant>
        <vt:i4>0</vt:i4>
      </vt:variant>
      <vt:variant>
        <vt:i4>5</vt:i4>
      </vt:variant>
      <vt:variant>
        <vt:lpwstr/>
      </vt:variant>
      <vt:variant>
        <vt:lpwstr>_Toc128133794</vt:lpwstr>
      </vt:variant>
      <vt:variant>
        <vt:i4>1966141</vt:i4>
      </vt:variant>
      <vt:variant>
        <vt:i4>26</vt:i4>
      </vt:variant>
      <vt:variant>
        <vt:i4>0</vt:i4>
      </vt:variant>
      <vt:variant>
        <vt:i4>5</vt:i4>
      </vt:variant>
      <vt:variant>
        <vt:lpwstr/>
      </vt:variant>
      <vt:variant>
        <vt:lpwstr>_Toc128133793</vt:lpwstr>
      </vt:variant>
      <vt:variant>
        <vt:i4>1966141</vt:i4>
      </vt:variant>
      <vt:variant>
        <vt:i4>20</vt:i4>
      </vt:variant>
      <vt:variant>
        <vt:i4>0</vt:i4>
      </vt:variant>
      <vt:variant>
        <vt:i4>5</vt:i4>
      </vt:variant>
      <vt:variant>
        <vt:lpwstr/>
      </vt:variant>
      <vt:variant>
        <vt:lpwstr>_Toc128133792</vt:lpwstr>
      </vt:variant>
      <vt:variant>
        <vt:i4>1966141</vt:i4>
      </vt:variant>
      <vt:variant>
        <vt:i4>14</vt:i4>
      </vt:variant>
      <vt:variant>
        <vt:i4>0</vt:i4>
      </vt:variant>
      <vt:variant>
        <vt:i4>5</vt:i4>
      </vt:variant>
      <vt:variant>
        <vt:lpwstr/>
      </vt:variant>
      <vt:variant>
        <vt:lpwstr>_Toc128133791</vt:lpwstr>
      </vt:variant>
      <vt:variant>
        <vt:i4>1966141</vt:i4>
      </vt:variant>
      <vt:variant>
        <vt:i4>8</vt:i4>
      </vt:variant>
      <vt:variant>
        <vt:i4>0</vt:i4>
      </vt:variant>
      <vt:variant>
        <vt:i4>5</vt:i4>
      </vt:variant>
      <vt:variant>
        <vt:lpwstr/>
      </vt:variant>
      <vt:variant>
        <vt:lpwstr>_Toc128133790</vt:lpwstr>
      </vt:variant>
      <vt:variant>
        <vt:i4>2031677</vt:i4>
      </vt:variant>
      <vt:variant>
        <vt:i4>2</vt:i4>
      </vt:variant>
      <vt:variant>
        <vt:i4>0</vt:i4>
      </vt:variant>
      <vt:variant>
        <vt:i4>5</vt:i4>
      </vt:variant>
      <vt:variant>
        <vt:lpwstr/>
      </vt:variant>
      <vt:variant>
        <vt:lpwstr>_Toc128133789</vt:lpwstr>
      </vt:variant>
      <vt:variant>
        <vt:i4>6422596</vt:i4>
      </vt:variant>
      <vt:variant>
        <vt:i4>9</vt:i4>
      </vt:variant>
      <vt:variant>
        <vt:i4>0</vt:i4>
      </vt:variant>
      <vt:variant>
        <vt:i4>5</vt:i4>
      </vt:variant>
      <vt:variant>
        <vt:lpwstr>mailto:matthew.pateman@kent.gov.uk</vt:lpwstr>
      </vt:variant>
      <vt:variant>
        <vt:lpwstr/>
      </vt:variant>
      <vt:variant>
        <vt:i4>3014686</vt:i4>
      </vt:variant>
      <vt:variant>
        <vt:i4>6</vt:i4>
      </vt:variant>
      <vt:variant>
        <vt:i4>0</vt:i4>
      </vt:variant>
      <vt:variant>
        <vt:i4>5</vt:i4>
      </vt:variant>
      <vt:variant>
        <vt:lpwstr>mailto:abraham.george@Kent.gov.uk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Pateman, Matthew - AH PH</dc:creator>
  <cp:keywords/>
  <cp:lastModifiedBy>Mark Chambers  - CED SPRCA</cp:lastModifiedBy>
  <cp:revision>6</cp:revision>
  <cp:lastPrinted>2023-03-07T10:04:00Z</cp:lastPrinted>
  <dcterms:created xsi:type="dcterms:W3CDTF">2023-05-11T15:08:00Z</dcterms:created>
  <dcterms:modified xsi:type="dcterms:W3CDTF">2023-05-12T09:39:00Z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0x010100D5185A8CC9B2094F9DFFB1C775E4F3DB</vt:lpwstr>
  </property>
</Properties>
</file>